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06" w:rsidRDefault="00ED4406">
      <w:pPr>
        <w:widowControl/>
        <w:jc w:val="left"/>
        <w:rPr>
          <w:rFonts w:ascii="Arial" w:eastAsia="Times New Roman" w:hAnsi="Arial"/>
          <w:b/>
          <w:color w:val="000000"/>
          <w:sz w:val="22"/>
        </w:rPr>
      </w:pPr>
      <w:r>
        <w:rPr>
          <w:rFonts w:ascii="Arial" w:eastAsia="Times New Roman" w:hAnsi="Arial"/>
          <w:b/>
          <w:color w:val="000000"/>
          <w:sz w:val="22"/>
        </w:rPr>
        <w:t>Appendice 2 Del. ARERA n. 443/2019</w:t>
      </w:r>
    </w:p>
    <w:p w:rsidR="00ED4406" w:rsidRDefault="00ED4406">
      <w:pPr>
        <w:widowControl/>
        <w:rPr>
          <w:rFonts w:ascii="Arial" w:eastAsia="Times New Roman" w:hAnsi="Arial"/>
          <w:b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b/>
          <w:color w:val="000000"/>
          <w:sz w:val="36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b/>
          <w:color w:val="000000"/>
          <w:sz w:val="36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b/>
          <w:color w:val="000000"/>
          <w:sz w:val="36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b/>
          <w:color w:val="000000"/>
          <w:sz w:val="36"/>
        </w:rPr>
      </w:pPr>
      <w:r>
        <w:rPr>
          <w:rFonts w:ascii="Arial" w:eastAsia="Times New Roman" w:hAnsi="Arial"/>
          <w:b/>
          <w:color w:val="000000"/>
          <w:sz w:val="36"/>
        </w:rPr>
        <w:t xml:space="preserve">RELAZIONE DI ACCOMPAGNAMENTO </w:t>
      </w:r>
    </w:p>
    <w:p w:rsidR="00ED4406" w:rsidRDefault="00ED4406">
      <w:pPr>
        <w:widowControl/>
        <w:jc w:val="center"/>
        <w:rPr>
          <w:rFonts w:ascii="Arial" w:eastAsia="Times New Roman" w:hAnsi="Arial"/>
          <w:b/>
          <w:color w:val="000000"/>
          <w:sz w:val="56"/>
        </w:rPr>
      </w:pPr>
      <w:r>
        <w:rPr>
          <w:rFonts w:ascii="Arial" w:eastAsia="Times New Roman" w:hAnsi="Arial"/>
          <w:b/>
          <w:color w:val="000000"/>
          <w:sz w:val="56"/>
        </w:rPr>
        <w:t>PEF 2021</w:t>
      </w:r>
    </w:p>
    <w:p w:rsidR="00ED4406" w:rsidRDefault="00ED4406">
      <w:pPr>
        <w:widowControl/>
        <w:jc w:val="center"/>
        <w:rPr>
          <w:rFonts w:ascii="Arial" w:eastAsia="Times New Roman" w:hAnsi="Arial"/>
          <w:b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b/>
          <w:color w:val="000000"/>
          <w:sz w:val="28"/>
        </w:rPr>
      </w:pPr>
      <w:r>
        <w:rPr>
          <w:rFonts w:ascii="Arial" w:eastAsia="Times New Roman" w:hAnsi="Arial"/>
          <w:b/>
          <w:color w:val="000000"/>
          <w:sz w:val="28"/>
        </w:rPr>
        <w:t>Valutazioni dell’Ente territorialmente competente</w:t>
      </w: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Rif. Cap. 4 Appendice 2 Del. ARERA n. 443/2019</w:t>
      </w: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 w:rsidP="00C25711">
      <w:pPr>
        <w:widowControl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b/>
          <w:color w:val="000000"/>
          <w:sz w:val="36"/>
        </w:rPr>
      </w:pPr>
      <w:r>
        <w:rPr>
          <w:rFonts w:ascii="Arial" w:eastAsia="Times New Roman" w:hAnsi="Arial"/>
          <w:b/>
          <w:color w:val="000000"/>
          <w:sz w:val="36"/>
        </w:rPr>
        <w:t>Comune di ANTRODOCO (</w:t>
      </w:r>
      <w:r w:rsidR="002174D6">
        <w:rPr>
          <w:rFonts w:ascii="Arial" w:eastAsia="Times New Roman" w:hAnsi="Arial"/>
          <w:b/>
          <w:color w:val="000000"/>
          <w:sz w:val="36"/>
        </w:rPr>
        <w:t>RI</w:t>
      </w:r>
      <w:r>
        <w:rPr>
          <w:rFonts w:ascii="Arial" w:eastAsia="Times New Roman" w:hAnsi="Arial"/>
          <w:b/>
          <w:color w:val="000000"/>
          <w:sz w:val="36"/>
        </w:rPr>
        <w:t>)</w:t>
      </w: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center"/>
        <w:rPr>
          <w:rFonts w:ascii="Arial" w:eastAsia="Times New Roman" w:hAnsi="Arial"/>
          <w:b/>
          <w:color w:val="000000"/>
          <w:sz w:val="22"/>
        </w:rPr>
      </w:pPr>
    </w:p>
    <w:p w:rsidR="00ED4406" w:rsidRDefault="00ED4406">
      <w:pPr>
        <w:widowControl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pStyle w:val="Titolo1"/>
        <w:widowControl/>
        <w:numPr>
          <w:ilvl w:val="0"/>
          <w:numId w:val="0"/>
        </w:numPr>
        <w:tabs>
          <w:tab w:val="clear" w:pos="432"/>
        </w:tabs>
        <w:rPr>
          <w:rFonts w:ascii="Arial" w:eastAsia="Times New Roman" w:hAnsi="Arial"/>
          <w:bCs w:val="0"/>
          <w:color w:val="000000"/>
          <w:sz w:val="22"/>
          <w:szCs w:val="24"/>
        </w:rPr>
      </w:pPr>
      <w:r>
        <w:rPr>
          <w:rFonts w:ascii="Arial" w:eastAsia="Times New Roman" w:hAnsi="Arial"/>
          <w:bCs w:val="0"/>
          <w:color w:val="000000"/>
          <w:sz w:val="22"/>
          <w:szCs w:val="24"/>
        </w:rPr>
        <w:lastRenderedPageBreak/>
        <w:t>Indice</w:t>
      </w:r>
    </w:p>
    <w:p w:rsidR="00ED4406" w:rsidRPr="002174D6" w:rsidRDefault="00ED4406">
      <w:pPr>
        <w:widowControl/>
        <w:ind w:firstLine="709"/>
        <w:rPr>
          <w:rFonts w:ascii="Arial" w:eastAsia="Times New Roman" w:hAnsi="Arial"/>
          <w:b/>
          <w:color w:val="000000"/>
          <w:sz w:val="22"/>
        </w:rPr>
      </w:pPr>
      <w:r w:rsidRPr="002174D6">
        <w:rPr>
          <w:rFonts w:ascii="Arial" w:eastAsia="Times New Roman" w:hAnsi="Arial"/>
          <w:b/>
          <w:color w:val="000000"/>
          <w:sz w:val="22"/>
        </w:rPr>
        <w:t>Premessa</w:t>
      </w:r>
    </w:p>
    <w:p w:rsidR="00ED4406" w:rsidRDefault="00ED4406">
      <w:pPr>
        <w:widowControl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rPr>
          <w:rFonts w:ascii="Arial" w:eastAsia="Times New Roman" w:hAnsi="Arial"/>
          <w:b/>
          <w:color w:val="000000"/>
          <w:sz w:val="22"/>
        </w:rPr>
      </w:pPr>
      <w:r>
        <w:rPr>
          <w:rFonts w:ascii="Arial" w:eastAsia="Times New Roman" w:hAnsi="Arial"/>
          <w:b/>
          <w:color w:val="000000"/>
          <w:sz w:val="22"/>
        </w:rPr>
        <w:t>4</w:t>
      </w:r>
      <w:r>
        <w:rPr>
          <w:rFonts w:ascii="Arial" w:eastAsia="Times New Roman" w:hAnsi="Arial"/>
          <w:b/>
          <w:color w:val="000000"/>
          <w:sz w:val="22"/>
        </w:rPr>
        <w:tab/>
        <w:t>Valutazioni dell’Ente territorialmente competente</w:t>
      </w:r>
    </w:p>
    <w:p w:rsidR="00ED4406" w:rsidRDefault="00ED4406">
      <w:pPr>
        <w:widowControl/>
        <w:rPr>
          <w:rFonts w:ascii="Arial" w:eastAsia="Times New Roman" w:hAnsi="Arial"/>
          <w:b/>
          <w:color w:val="000000"/>
          <w:sz w:val="22"/>
        </w:rPr>
      </w:pPr>
    </w:p>
    <w:p w:rsidR="00ED4406" w:rsidRDefault="00ED4406" w:rsidP="002174D6">
      <w:pPr>
        <w:widowControl/>
        <w:spacing w:line="360" w:lineRule="auto"/>
        <w:ind w:left="709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4.1</w:t>
      </w:r>
      <w:r>
        <w:rPr>
          <w:rFonts w:ascii="Arial" w:eastAsia="Times New Roman" w:hAnsi="Arial"/>
          <w:color w:val="000000"/>
          <w:sz w:val="22"/>
        </w:rPr>
        <w:tab/>
        <w:t>Attività di validazione svolta</w:t>
      </w:r>
    </w:p>
    <w:p w:rsidR="00ED4406" w:rsidRDefault="00ED4406" w:rsidP="002174D6">
      <w:pPr>
        <w:widowControl/>
        <w:spacing w:line="360" w:lineRule="auto"/>
        <w:ind w:left="709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4.2</w:t>
      </w:r>
      <w:r>
        <w:rPr>
          <w:rFonts w:ascii="Arial" w:eastAsia="Times New Roman" w:hAnsi="Arial"/>
          <w:color w:val="000000"/>
          <w:sz w:val="22"/>
        </w:rPr>
        <w:tab/>
        <w:t>Limite alla crescita annuale delle entrate tariffarie</w:t>
      </w:r>
    </w:p>
    <w:p w:rsidR="00ED4406" w:rsidRDefault="00ED4406" w:rsidP="002174D6">
      <w:pPr>
        <w:widowControl/>
        <w:spacing w:line="360" w:lineRule="auto"/>
        <w:ind w:left="709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4.3</w:t>
      </w:r>
      <w:r>
        <w:rPr>
          <w:rFonts w:ascii="Arial" w:eastAsia="Times New Roman" w:hAnsi="Arial"/>
          <w:color w:val="000000"/>
          <w:sz w:val="22"/>
        </w:rPr>
        <w:tab/>
        <w:t>Costi operativi incentivanti</w:t>
      </w:r>
    </w:p>
    <w:p w:rsidR="00ED4406" w:rsidRDefault="00ED4406" w:rsidP="002174D6">
      <w:pPr>
        <w:widowControl/>
        <w:spacing w:line="360" w:lineRule="auto"/>
        <w:ind w:left="709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4.4</w:t>
      </w:r>
      <w:r>
        <w:rPr>
          <w:rFonts w:ascii="Arial" w:eastAsia="Times New Roman" w:hAnsi="Arial"/>
          <w:color w:val="000000"/>
          <w:sz w:val="22"/>
        </w:rPr>
        <w:tab/>
        <w:t>Eventuale superamento del limite alla crescita annuale delle entrate tariffarie</w:t>
      </w:r>
    </w:p>
    <w:p w:rsidR="00ED4406" w:rsidRDefault="00ED4406" w:rsidP="002174D6">
      <w:pPr>
        <w:widowControl/>
        <w:spacing w:line="360" w:lineRule="auto"/>
        <w:ind w:left="709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4.5</w:t>
      </w:r>
      <w:r>
        <w:rPr>
          <w:rFonts w:ascii="Arial" w:eastAsia="Times New Roman" w:hAnsi="Arial"/>
          <w:color w:val="000000"/>
          <w:sz w:val="22"/>
        </w:rPr>
        <w:tab/>
        <w:t>Focus sulla gradualità per le annualità 2019 e 2020</w:t>
      </w:r>
    </w:p>
    <w:p w:rsidR="00ED4406" w:rsidRDefault="00ED4406" w:rsidP="002174D6">
      <w:pPr>
        <w:widowControl/>
        <w:spacing w:line="360" w:lineRule="auto"/>
        <w:ind w:left="709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4.6</w:t>
      </w:r>
      <w:r>
        <w:rPr>
          <w:rFonts w:ascii="Arial" w:eastAsia="Times New Roman" w:hAnsi="Arial"/>
          <w:color w:val="000000"/>
          <w:sz w:val="22"/>
        </w:rPr>
        <w:tab/>
        <w:t>Focus sulla valorizzazione dei fattori di sharing</w:t>
      </w:r>
    </w:p>
    <w:p w:rsidR="00ED4406" w:rsidRDefault="00ED4406" w:rsidP="002174D6">
      <w:pPr>
        <w:widowControl/>
        <w:spacing w:line="360" w:lineRule="auto"/>
        <w:ind w:left="709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4.7</w:t>
      </w:r>
      <w:r>
        <w:rPr>
          <w:rFonts w:ascii="Arial" w:eastAsia="Times New Roman" w:hAnsi="Arial"/>
          <w:color w:val="000000"/>
          <w:sz w:val="22"/>
        </w:rPr>
        <w:tab/>
        <w:t>Scelta degli ulteriori parametri</w:t>
      </w:r>
    </w:p>
    <w:p w:rsidR="00ED4406" w:rsidRDefault="00ED4406">
      <w:pPr>
        <w:pStyle w:val="Titolo1"/>
        <w:widowControl/>
        <w:numPr>
          <w:ilvl w:val="0"/>
          <w:numId w:val="0"/>
        </w:numPr>
        <w:tabs>
          <w:tab w:val="clear" w:pos="432"/>
        </w:tabs>
        <w:ind w:left="432"/>
        <w:rPr>
          <w:rFonts w:ascii="Arial" w:eastAsia="Times New Roman" w:hAnsi="Arial"/>
          <w:bCs w:val="0"/>
          <w:color w:val="000000"/>
          <w:sz w:val="22"/>
          <w:szCs w:val="24"/>
        </w:rPr>
      </w:pPr>
    </w:p>
    <w:p w:rsidR="00ED4406" w:rsidRDefault="00ED4406">
      <w:pPr>
        <w:widowControl/>
        <w:jc w:val="left"/>
        <w:rPr>
          <w:rFonts w:ascii="Arial" w:eastAsia="Times New Roman" w:hAnsi="Arial"/>
          <w:b/>
          <w:color w:val="000000"/>
          <w:sz w:val="22"/>
        </w:rPr>
      </w:pPr>
    </w:p>
    <w:p w:rsidR="00ED4406" w:rsidRDefault="00ED4406">
      <w:pPr>
        <w:pStyle w:val="Titolo1"/>
        <w:widowControl/>
        <w:numPr>
          <w:ilvl w:val="0"/>
          <w:numId w:val="0"/>
        </w:numPr>
        <w:tabs>
          <w:tab w:val="clear" w:pos="432"/>
        </w:tabs>
        <w:rPr>
          <w:rFonts w:ascii="Arial" w:eastAsia="Times New Roman" w:hAnsi="Arial"/>
          <w:bCs w:val="0"/>
          <w:color w:val="000000"/>
          <w:sz w:val="22"/>
          <w:szCs w:val="24"/>
        </w:rPr>
      </w:pPr>
      <w:r>
        <w:rPr>
          <w:rFonts w:ascii="Arial" w:eastAsia="Times New Roman" w:hAnsi="Arial"/>
          <w:bCs w:val="0"/>
          <w:color w:val="000000"/>
          <w:sz w:val="22"/>
          <w:szCs w:val="24"/>
        </w:rPr>
        <w:t xml:space="preserve">Premessa  </w:t>
      </w:r>
    </w:p>
    <w:p w:rsidR="00ED4406" w:rsidRDefault="00ED4406">
      <w:pPr>
        <w:widowControl/>
        <w:rPr>
          <w:rFonts w:ascii="Arial" w:eastAsia="Times New Roman" w:hAnsi="Arial"/>
          <w:color w:val="000000"/>
          <w:sz w:val="22"/>
        </w:rPr>
      </w:pPr>
    </w:p>
    <w:p w:rsidR="00ED4406" w:rsidRDefault="00ED4406" w:rsidP="00AB51EA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 xml:space="preserve">Il Comune di ANTRODOCO, in qualità di Ente </w:t>
      </w:r>
      <w:r w:rsidR="00AB51EA">
        <w:rPr>
          <w:rFonts w:ascii="Arial" w:eastAsia="Times New Roman" w:hAnsi="Arial"/>
          <w:color w:val="000000"/>
          <w:sz w:val="22"/>
        </w:rPr>
        <w:t xml:space="preserve">territorialmente competente, </w:t>
      </w:r>
      <w:r>
        <w:rPr>
          <w:rFonts w:ascii="Arial" w:eastAsia="Times New Roman" w:hAnsi="Arial"/>
          <w:color w:val="000000"/>
          <w:sz w:val="22"/>
        </w:rPr>
        <w:t>sito in provincia di RIETI ha verificato la completezza, la coerenza e la congruità dei dati e delle informazioni necessari alla elaborazione annuale del piano economico finanziario (di seguito: PEF), inviato dal ges</w:t>
      </w:r>
      <w:r w:rsidR="00AB51EA">
        <w:rPr>
          <w:rFonts w:ascii="Arial" w:eastAsia="Times New Roman" w:hAnsi="Arial"/>
          <w:color w:val="000000"/>
          <w:sz w:val="22"/>
        </w:rPr>
        <w:t xml:space="preserve">tore </w:t>
      </w:r>
      <w:r w:rsidR="00AB51EA" w:rsidRPr="00AB51EA">
        <w:rPr>
          <w:rFonts w:ascii="Arial" w:eastAsia="Times New Roman" w:hAnsi="Arial"/>
          <w:b/>
          <w:color w:val="000000"/>
          <w:sz w:val="22"/>
        </w:rPr>
        <w:t>SAPRODIR S.r.l.</w:t>
      </w:r>
      <w:r>
        <w:rPr>
          <w:rFonts w:ascii="Arial" w:eastAsia="Times New Roman" w:hAnsi="Arial"/>
          <w:color w:val="000000"/>
          <w:sz w:val="22"/>
        </w:rPr>
        <w:t xml:space="preserve"> sulla base dei seguenti requisiti:</w:t>
      </w:r>
    </w:p>
    <w:p w:rsidR="00ED4406" w:rsidRDefault="00ED4406" w:rsidP="00AB51EA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</w:p>
    <w:p w:rsidR="00ED4406" w:rsidRDefault="00ED4406" w:rsidP="00AB51EA">
      <w:pPr>
        <w:widowControl/>
        <w:numPr>
          <w:ilvl w:val="0"/>
          <w:numId w:val="3"/>
        </w:numPr>
        <w:spacing w:line="360" w:lineRule="auto"/>
        <w:ind w:left="720" w:hanging="360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 xml:space="preserve">il </w:t>
      </w:r>
      <w:r>
        <w:rPr>
          <w:rFonts w:ascii="Arial" w:eastAsia="Times New Roman" w:hAnsi="Arial"/>
          <w:b/>
          <w:color w:val="000000"/>
          <w:sz w:val="22"/>
        </w:rPr>
        <w:t>PEF</w:t>
      </w:r>
      <w:r>
        <w:rPr>
          <w:rFonts w:ascii="Arial" w:eastAsia="Times New Roman" w:hAnsi="Arial"/>
          <w:color w:val="000000"/>
          <w:sz w:val="22"/>
        </w:rPr>
        <w:t xml:space="preserve"> relativo alla gestione è stato redatto secondo lo schema tipo predisposto dall’Autorità di cui all’Appendice 1 della deliberazione 443/2019/R/</w:t>
      </w:r>
      <w:r>
        <w:rPr>
          <w:rFonts w:ascii="Arial" w:eastAsia="Times New Roman" w:hAnsi="Arial"/>
          <w:smallCaps/>
          <w:color w:val="000000"/>
          <w:sz w:val="22"/>
        </w:rPr>
        <w:t xml:space="preserve">rif </w:t>
      </w:r>
      <w:r>
        <w:rPr>
          <w:rFonts w:ascii="Arial" w:eastAsia="Times New Roman" w:hAnsi="Arial"/>
          <w:color w:val="000000"/>
          <w:sz w:val="22"/>
        </w:rPr>
        <w:t xml:space="preserve">e successivamente integrato con l’allegato </w:t>
      </w:r>
      <w:r>
        <w:rPr>
          <w:rFonts w:ascii="Arial" w:eastAsia="Times New Roman" w:hAnsi="Arial"/>
          <w:smallCaps/>
          <w:color w:val="000000"/>
          <w:sz w:val="22"/>
        </w:rPr>
        <w:t>002-20drif_all</w:t>
      </w:r>
      <w:r>
        <w:rPr>
          <w:rFonts w:ascii="Arial" w:eastAsia="Times New Roman" w:hAnsi="Arial"/>
          <w:color w:val="000000"/>
          <w:sz w:val="22"/>
        </w:rPr>
        <w:t xml:space="preserve"> alla determinazione n. 02/D</w:t>
      </w:r>
      <w:r>
        <w:rPr>
          <w:rFonts w:ascii="Arial" w:eastAsia="Times New Roman" w:hAnsi="Arial"/>
          <w:color w:val="000000"/>
          <w:sz w:val="18"/>
        </w:rPr>
        <w:t>RIF</w:t>
      </w:r>
      <w:r>
        <w:rPr>
          <w:rFonts w:ascii="Arial" w:eastAsia="Times New Roman" w:hAnsi="Arial"/>
          <w:color w:val="000000"/>
          <w:sz w:val="22"/>
        </w:rPr>
        <w:t>/2020</w:t>
      </w:r>
      <w:r>
        <w:rPr>
          <w:rFonts w:ascii="Arial" w:eastAsia="Times New Roman" w:hAnsi="Arial"/>
          <w:smallCaps/>
          <w:color w:val="000000"/>
          <w:sz w:val="22"/>
        </w:rPr>
        <w:t xml:space="preserve">, </w:t>
      </w:r>
      <w:r>
        <w:rPr>
          <w:rFonts w:ascii="Arial" w:eastAsia="Times New Roman" w:hAnsi="Arial"/>
          <w:color w:val="000000"/>
          <w:sz w:val="22"/>
        </w:rPr>
        <w:t>compilandolo per le parti di propria competenza;</w:t>
      </w:r>
    </w:p>
    <w:p w:rsidR="00ED4406" w:rsidRDefault="00ED4406" w:rsidP="00AB51EA">
      <w:pPr>
        <w:widowControl/>
        <w:spacing w:line="360" w:lineRule="auto"/>
        <w:ind w:left="720"/>
        <w:rPr>
          <w:rFonts w:ascii="Arial" w:eastAsia="Times New Roman" w:hAnsi="Arial"/>
          <w:color w:val="000000"/>
          <w:sz w:val="22"/>
        </w:rPr>
      </w:pPr>
    </w:p>
    <w:p w:rsidR="00ED4406" w:rsidRDefault="00ED4406" w:rsidP="00AB51EA">
      <w:pPr>
        <w:pStyle w:val="Corpodeltesto2"/>
        <w:numPr>
          <w:ilvl w:val="0"/>
          <w:numId w:val="3"/>
        </w:numPr>
        <w:spacing w:line="360" w:lineRule="auto"/>
        <w:ind w:left="720" w:right="-81" w:hanging="360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 xml:space="preserve">la </w:t>
      </w:r>
      <w:r>
        <w:rPr>
          <w:rFonts w:ascii="Arial" w:eastAsia="Times New Roman" w:hAnsi="Arial"/>
          <w:b/>
          <w:color w:val="000000"/>
          <w:sz w:val="22"/>
        </w:rPr>
        <w:t>dichiarazione</w:t>
      </w:r>
      <w:r>
        <w:rPr>
          <w:rFonts w:ascii="Arial" w:eastAsia="Times New Roman" w:hAnsi="Arial"/>
          <w:color w:val="000000"/>
          <w:sz w:val="22"/>
        </w:rPr>
        <w:t>, predisposta utilizzando lo schema tipo di cui all’Appendice 3 della deliberazione 443/2019/R/</w:t>
      </w:r>
      <w:r>
        <w:rPr>
          <w:rFonts w:ascii="Arial" w:eastAsia="Times New Roman" w:hAnsi="Arial"/>
          <w:smallCaps/>
          <w:color w:val="000000"/>
          <w:sz w:val="22"/>
        </w:rPr>
        <w:t>rif</w:t>
      </w:r>
      <w:r w:rsidR="00AB51EA">
        <w:rPr>
          <w:rFonts w:ascii="Arial" w:eastAsia="Times New Roman" w:hAnsi="Arial"/>
          <w:color w:val="000000"/>
          <w:sz w:val="22"/>
        </w:rPr>
        <w:t>, ai sensi del D</w:t>
      </w:r>
      <w:r>
        <w:rPr>
          <w:rFonts w:ascii="Arial" w:eastAsia="Times New Roman" w:hAnsi="Arial"/>
          <w:color w:val="000000"/>
          <w:sz w:val="22"/>
        </w:rPr>
        <w:t>.P.R. 445/00, sottoscritta dal legale rappresentante, attestante la veridicità dei dati trasmessi e la corrispondenza tra i valori riportati nei prospetti dei modelli e i valori desumibili dalla documentazione contabile di riferimento tenuta ai sensi di legge;</w:t>
      </w:r>
    </w:p>
    <w:p w:rsidR="00ED4406" w:rsidRDefault="00ED4406" w:rsidP="00AB51EA">
      <w:pPr>
        <w:pStyle w:val="Corpodeltesto2"/>
        <w:spacing w:line="360" w:lineRule="auto"/>
        <w:ind w:right="-81"/>
        <w:jc w:val="center"/>
        <w:rPr>
          <w:rFonts w:ascii="Arial" w:eastAsia="Times New Roman" w:hAnsi="Arial"/>
          <w:color w:val="000000"/>
          <w:sz w:val="22"/>
        </w:rPr>
      </w:pPr>
    </w:p>
    <w:p w:rsidR="00ED4406" w:rsidRDefault="00ED4406" w:rsidP="00AB51EA">
      <w:pPr>
        <w:widowControl/>
        <w:numPr>
          <w:ilvl w:val="0"/>
          <w:numId w:val="3"/>
        </w:numPr>
        <w:spacing w:line="360" w:lineRule="auto"/>
        <w:ind w:left="720" w:hanging="360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 xml:space="preserve">la </w:t>
      </w:r>
      <w:r>
        <w:rPr>
          <w:rFonts w:ascii="Arial" w:eastAsia="Times New Roman" w:hAnsi="Arial"/>
          <w:b/>
          <w:color w:val="000000"/>
          <w:sz w:val="22"/>
        </w:rPr>
        <w:t>relazione</w:t>
      </w:r>
      <w:r>
        <w:rPr>
          <w:rFonts w:ascii="Arial" w:eastAsia="Times New Roman" w:hAnsi="Arial"/>
          <w:color w:val="000000"/>
          <w:sz w:val="22"/>
        </w:rPr>
        <w:t xml:space="preserve"> che illustra sia i criteri di corrispondenza tra i valori riportati nella modulistica e i valori desumibili dalla documentazione contabile, sia le evidenze contabili sottostanti, secondo il presente schema di relazione tipo.</w:t>
      </w:r>
    </w:p>
    <w:p w:rsidR="00ED4406" w:rsidRDefault="00ED4406" w:rsidP="00AB51EA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</w:p>
    <w:p w:rsidR="00ED4406" w:rsidRDefault="00ED4406" w:rsidP="00AB51EA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 xml:space="preserve">Il Comune di ANTRODOCO in qualità di Ente </w:t>
      </w:r>
      <w:r w:rsidR="00AB51EA">
        <w:rPr>
          <w:rFonts w:ascii="Arial" w:eastAsia="Times New Roman" w:hAnsi="Arial"/>
          <w:color w:val="000000"/>
          <w:sz w:val="22"/>
        </w:rPr>
        <w:t xml:space="preserve">territorialmente competente, </w:t>
      </w:r>
      <w:r>
        <w:rPr>
          <w:rFonts w:ascii="Arial" w:eastAsia="Times New Roman" w:hAnsi="Arial"/>
          <w:color w:val="000000"/>
          <w:sz w:val="22"/>
        </w:rPr>
        <w:t>pertanto, ricevuta e verificata</w:t>
      </w:r>
      <w:r w:rsidR="00AB51EA">
        <w:rPr>
          <w:rFonts w:ascii="Arial" w:eastAsia="Times New Roman" w:hAnsi="Arial"/>
          <w:color w:val="000000"/>
          <w:sz w:val="22"/>
        </w:rPr>
        <w:t xml:space="preserve"> la suddetta documentazione, </w:t>
      </w:r>
      <w:r>
        <w:rPr>
          <w:rFonts w:ascii="Arial" w:eastAsia="Times New Roman" w:hAnsi="Arial"/>
          <w:color w:val="000000"/>
          <w:sz w:val="22"/>
        </w:rPr>
        <w:t>un</w:t>
      </w:r>
      <w:r w:rsidR="00AB51EA">
        <w:rPr>
          <w:rFonts w:ascii="Arial" w:eastAsia="Times New Roman" w:hAnsi="Arial"/>
          <w:color w:val="000000"/>
          <w:sz w:val="22"/>
        </w:rPr>
        <w:t>itamente alla presente, trasmette</w:t>
      </w:r>
      <w:r>
        <w:rPr>
          <w:rFonts w:ascii="Arial" w:eastAsia="Times New Roman" w:hAnsi="Arial"/>
          <w:color w:val="000000"/>
          <w:sz w:val="22"/>
        </w:rPr>
        <w:t xml:space="preserve"> in allegato, oltre i dati e </w:t>
      </w:r>
      <w:r>
        <w:rPr>
          <w:rFonts w:ascii="Arial" w:eastAsia="Times New Roman" w:hAnsi="Arial"/>
          <w:color w:val="000000"/>
          <w:sz w:val="22"/>
        </w:rPr>
        <w:lastRenderedPageBreak/>
        <w:t>gli atti menzionati, la ricevuta documentazione contabile sottostante alle attestazioni prodotte in ottemperanza all’art. 6 della deliberazione 443/2019/R/</w:t>
      </w:r>
      <w:r>
        <w:rPr>
          <w:rFonts w:ascii="Arial" w:eastAsia="Times New Roman" w:hAnsi="Arial"/>
          <w:smallCaps/>
          <w:color w:val="000000"/>
          <w:sz w:val="22"/>
        </w:rPr>
        <w:t>rif</w:t>
      </w:r>
      <w:r>
        <w:rPr>
          <w:rFonts w:ascii="Arial" w:eastAsia="Times New Roman" w:hAnsi="Arial"/>
          <w:color w:val="000000"/>
          <w:sz w:val="22"/>
        </w:rPr>
        <w:t xml:space="preserve">. </w:t>
      </w:r>
    </w:p>
    <w:p w:rsidR="00ED4406" w:rsidRDefault="00ED4406">
      <w:pPr>
        <w:widowControl/>
        <w:spacing w:line="276" w:lineRule="auto"/>
        <w:rPr>
          <w:rFonts w:ascii="Arial" w:eastAsia="Times New Roman" w:hAnsi="Arial"/>
          <w:sz w:val="22"/>
        </w:rPr>
      </w:pPr>
    </w:p>
    <w:p w:rsidR="00ED4406" w:rsidRDefault="00ED4406">
      <w:pPr>
        <w:widowControl/>
        <w:jc w:val="left"/>
        <w:rPr>
          <w:rFonts w:ascii="Arial" w:eastAsia="Times New Roman" w:hAnsi="Arial"/>
          <w:color w:val="FF0000"/>
          <w:sz w:val="22"/>
          <w:highlight w:val="yellow"/>
          <w:shd w:val="clear" w:color="auto" w:fill="FFFF00"/>
        </w:rPr>
      </w:pPr>
    </w:p>
    <w:p w:rsidR="00ED4406" w:rsidRDefault="00ED4406">
      <w:pPr>
        <w:pStyle w:val="Titolo1"/>
        <w:widowControl/>
        <w:numPr>
          <w:ilvl w:val="0"/>
          <w:numId w:val="5"/>
        </w:numPr>
        <w:rPr>
          <w:rFonts w:ascii="Arial" w:eastAsia="Times New Roman" w:hAnsi="Arial"/>
          <w:bCs w:val="0"/>
          <w:color w:val="000000"/>
          <w:sz w:val="22"/>
          <w:szCs w:val="24"/>
        </w:rPr>
      </w:pPr>
      <w:r>
        <w:rPr>
          <w:rFonts w:ascii="Arial" w:eastAsia="Times New Roman" w:hAnsi="Arial"/>
          <w:bCs w:val="0"/>
          <w:color w:val="000000"/>
          <w:sz w:val="22"/>
          <w:szCs w:val="24"/>
        </w:rPr>
        <w:t>Valutazioni dell’Ente territorialmente competente</w:t>
      </w:r>
    </w:p>
    <w:p w:rsidR="00ED4406" w:rsidRDefault="00B2205D">
      <w:pPr>
        <w:pStyle w:val="Titolo2"/>
        <w:widowControl/>
        <w:rPr>
          <w:rFonts w:ascii="Arial" w:eastAsia="Times New Roman" w:hAnsi="Arial"/>
          <w:bCs w:val="0"/>
          <w:color w:val="000000"/>
          <w:sz w:val="22"/>
        </w:rPr>
      </w:pPr>
      <w:r>
        <w:rPr>
          <w:rFonts w:ascii="Arial" w:eastAsia="Times New Roman" w:hAnsi="Arial"/>
          <w:bCs w:val="0"/>
          <w:color w:val="000000"/>
          <w:sz w:val="22"/>
        </w:rPr>
        <w:t xml:space="preserve">4.1 </w:t>
      </w:r>
      <w:r w:rsidR="00ED4406">
        <w:rPr>
          <w:rFonts w:ascii="Arial" w:eastAsia="Times New Roman" w:hAnsi="Arial"/>
          <w:bCs w:val="0"/>
          <w:color w:val="000000"/>
          <w:sz w:val="22"/>
        </w:rPr>
        <w:t xml:space="preserve">Attività di validazione svolta </w:t>
      </w:r>
    </w:p>
    <w:p w:rsidR="00ED4406" w:rsidRDefault="00ED4406">
      <w:pPr>
        <w:widowControl/>
        <w:spacing w:line="276" w:lineRule="auto"/>
        <w:rPr>
          <w:rFonts w:ascii="Arial" w:eastAsia="Times New Roman" w:hAnsi="Arial"/>
          <w:color w:val="000000"/>
          <w:sz w:val="22"/>
        </w:rPr>
      </w:pPr>
    </w:p>
    <w:p w:rsidR="00ED4406" w:rsidRDefault="00ED4406" w:rsidP="00AB51EA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 xml:space="preserve">Il Comune di ANTRODOCO, in qualità di Ente </w:t>
      </w:r>
      <w:r w:rsidR="00AB51EA">
        <w:rPr>
          <w:rFonts w:ascii="Arial" w:eastAsia="Times New Roman" w:hAnsi="Arial"/>
          <w:color w:val="000000"/>
          <w:sz w:val="22"/>
        </w:rPr>
        <w:t xml:space="preserve">territorialmente competente, </w:t>
      </w:r>
      <w:r>
        <w:rPr>
          <w:rFonts w:ascii="Arial" w:eastAsia="Times New Roman" w:hAnsi="Arial"/>
          <w:color w:val="000000"/>
          <w:sz w:val="22"/>
        </w:rPr>
        <w:t>ha validato i dati trasme</w:t>
      </w:r>
      <w:r w:rsidR="00AB51EA">
        <w:rPr>
          <w:rFonts w:ascii="Arial" w:eastAsia="Times New Roman" w:hAnsi="Arial"/>
          <w:color w:val="000000"/>
          <w:sz w:val="22"/>
        </w:rPr>
        <w:t>ssi dal gestore e riportati negli allegati 1-2-3, riguardanti</w:t>
      </w:r>
      <w:r>
        <w:rPr>
          <w:rFonts w:ascii="Arial" w:eastAsia="Times New Roman" w:hAnsi="Arial"/>
          <w:color w:val="000000"/>
          <w:sz w:val="22"/>
        </w:rPr>
        <w:t xml:space="preserve"> l’annualità 2021 relativamente alla determinazione dei costi efficienti dell’annualità 2019.</w:t>
      </w:r>
    </w:p>
    <w:p w:rsidR="00ED4406" w:rsidRDefault="00ED4406" w:rsidP="00AB51EA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</w:p>
    <w:p w:rsidR="00ED4406" w:rsidRDefault="00ED4406" w:rsidP="00AB51EA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È stata, pertanto verificata:</w:t>
      </w:r>
    </w:p>
    <w:p w:rsidR="00ED4406" w:rsidRDefault="00ED4406" w:rsidP="00AB51EA">
      <w:pPr>
        <w:pStyle w:val="Paragrafoelenco"/>
        <w:widowControl/>
        <w:numPr>
          <w:ilvl w:val="0"/>
          <w:numId w:val="6"/>
        </w:numPr>
        <w:spacing w:line="360" w:lineRule="auto"/>
        <w:ind w:hanging="360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>la coerenza degli elementi di costo riportati nel PEF rispetto ai dati contabili dei gestori;</w:t>
      </w:r>
    </w:p>
    <w:p w:rsidR="00ED4406" w:rsidRDefault="00ED4406" w:rsidP="00AB51EA">
      <w:pPr>
        <w:pStyle w:val="Paragrafoelenco"/>
        <w:widowControl/>
        <w:numPr>
          <w:ilvl w:val="0"/>
          <w:numId w:val="6"/>
        </w:numPr>
        <w:spacing w:line="360" w:lineRule="auto"/>
        <w:ind w:hanging="360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>il rispetto della metodologia prevista dal MTR per la determinazione dei costi riconosciuti;</w:t>
      </w:r>
    </w:p>
    <w:p w:rsidR="00ED4406" w:rsidRDefault="00ED4406" w:rsidP="00AB51EA">
      <w:pPr>
        <w:pStyle w:val="Paragrafoelenco"/>
        <w:widowControl/>
        <w:numPr>
          <w:ilvl w:val="0"/>
          <w:numId w:val="6"/>
        </w:numPr>
        <w:spacing w:line="360" w:lineRule="auto"/>
        <w:ind w:hanging="360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>il rispetto dell’equilibrio economico finanziario del gestore.</w:t>
      </w:r>
    </w:p>
    <w:p w:rsidR="00ED4406" w:rsidRDefault="00ED4406" w:rsidP="00AB51EA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</w:p>
    <w:p w:rsidR="00ED4406" w:rsidRDefault="00ED4406" w:rsidP="00AB51EA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La suddetta attività di validazione è stata svolta analizzando i</w:t>
      </w:r>
      <w:r w:rsidR="00AB51EA">
        <w:rPr>
          <w:rFonts w:ascii="Arial" w:eastAsia="Times New Roman" w:hAnsi="Arial"/>
          <w:color w:val="000000"/>
          <w:sz w:val="22"/>
        </w:rPr>
        <w:t xml:space="preserve"> dati trasmessi dal gestore </w:t>
      </w:r>
      <w:r w:rsidR="00AB51EA" w:rsidRPr="00AB51EA">
        <w:rPr>
          <w:rFonts w:ascii="Arial" w:eastAsia="Times New Roman" w:hAnsi="Arial"/>
          <w:b/>
          <w:color w:val="000000"/>
          <w:sz w:val="22"/>
        </w:rPr>
        <w:t>SAPRODIR S.r.l.</w:t>
      </w:r>
      <w:r>
        <w:rPr>
          <w:rFonts w:ascii="Arial" w:eastAsia="Times New Roman" w:hAnsi="Arial"/>
          <w:color w:val="000000"/>
          <w:sz w:val="22"/>
        </w:rPr>
        <w:t xml:space="preserve"> raffrontandoli, oltre che con le spese sostenute per le annualità 2019, con le caratteristiche del servizio effettivamente reso.</w:t>
      </w:r>
    </w:p>
    <w:p w:rsidR="00ED4406" w:rsidRDefault="00ED4406" w:rsidP="00AB51EA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Sono state analizzate tutte le componenti di costo previste nel MTR.</w:t>
      </w:r>
    </w:p>
    <w:p w:rsidR="00ED4406" w:rsidRDefault="00ED4406" w:rsidP="00AB51EA">
      <w:pPr>
        <w:widowControl/>
        <w:spacing w:line="360" w:lineRule="auto"/>
        <w:rPr>
          <w:rFonts w:ascii="Bookman Old Style" w:eastAsia="Times New Roman" w:hAnsi="Bookman Old Style"/>
          <w:color w:val="000000"/>
          <w:sz w:val="22"/>
        </w:rPr>
      </w:pPr>
    </w:p>
    <w:p w:rsidR="00ED4406" w:rsidRDefault="00ED4406" w:rsidP="00AB51EA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È stato verificato, in base all’articolo 6 del MTR, “I costi ammessi a riconoscimento tariffario sono calcolati secondo criteri di efficienza, considerando i costi al netto dell’IVA detraibile e delle imposte</w:t>
      </w:r>
      <w:r w:rsidR="00AB51EA">
        <w:rPr>
          <w:rFonts w:ascii="Arial" w:eastAsia="Times New Roman" w:hAnsi="Arial"/>
          <w:color w:val="000000"/>
          <w:sz w:val="22"/>
        </w:rPr>
        <w:t>”</w:t>
      </w:r>
      <w:r>
        <w:rPr>
          <w:rFonts w:ascii="Arial" w:eastAsia="Times New Roman" w:hAnsi="Arial"/>
          <w:color w:val="000000"/>
          <w:sz w:val="22"/>
        </w:rPr>
        <w:t xml:space="preserve">. </w:t>
      </w:r>
    </w:p>
    <w:p w:rsidR="00ED4406" w:rsidRDefault="00ED4406" w:rsidP="00AB51EA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</w:p>
    <w:p w:rsidR="00ED4406" w:rsidRDefault="00ED4406" w:rsidP="00AB51EA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Come anticipato, “</w:t>
      </w:r>
      <w:r>
        <w:rPr>
          <w:rFonts w:ascii="Arial" w:eastAsia="Times New Roman" w:hAnsi="Arial"/>
          <w:b/>
          <w:color w:val="000000"/>
          <w:sz w:val="22"/>
        </w:rPr>
        <w:t xml:space="preserve">I costi efficienti di esercizio e di investimento riconosciuti per ciascun anno a </w:t>
      </w:r>
      <w:r>
        <w:rPr>
          <w:rFonts w:ascii="Arial" w:eastAsia="Times New Roman" w:hAnsi="Arial"/>
          <w:color w:val="000000"/>
          <w:sz w:val="22"/>
        </w:rPr>
        <w:t xml:space="preserve">= {2021, 2022} </w:t>
      </w:r>
      <w:r>
        <w:rPr>
          <w:rFonts w:ascii="Arial" w:eastAsia="Times New Roman" w:hAnsi="Arial"/>
          <w:b/>
          <w:color w:val="000000"/>
          <w:sz w:val="22"/>
        </w:rPr>
        <w:t>per il servizio del ciclo integrato sono stati determinati sulla base di quelli effettivi rilevati nell’anno di riferimento (a-2) come risultanti da fonti contabili obbligatorie</w:t>
      </w:r>
      <w:r>
        <w:rPr>
          <w:rFonts w:ascii="Arial" w:eastAsia="Times New Roman" w:hAnsi="Arial"/>
          <w:color w:val="000000"/>
          <w:sz w:val="22"/>
        </w:rPr>
        <w:t>” (co.2 dello stesso art. 6).</w:t>
      </w:r>
    </w:p>
    <w:p w:rsidR="00ED4406" w:rsidRDefault="00ED4406">
      <w:pPr>
        <w:widowControl/>
        <w:spacing w:line="276" w:lineRule="auto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spacing w:line="276" w:lineRule="auto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 xml:space="preserve">Si riporta </w:t>
      </w:r>
      <w:r w:rsidR="00AB51EA">
        <w:rPr>
          <w:rFonts w:ascii="Arial" w:eastAsia="Times New Roman" w:hAnsi="Arial"/>
          <w:color w:val="000000"/>
          <w:sz w:val="22"/>
        </w:rPr>
        <w:t xml:space="preserve">di seguito </w:t>
      </w:r>
      <w:r w:rsidR="00177B55">
        <w:rPr>
          <w:rFonts w:ascii="Arial" w:eastAsia="Times New Roman" w:hAnsi="Arial"/>
          <w:color w:val="000000"/>
          <w:sz w:val="22"/>
        </w:rPr>
        <w:t xml:space="preserve">il </w:t>
      </w:r>
      <w:r>
        <w:rPr>
          <w:rFonts w:ascii="Arial" w:eastAsia="Times New Roman" w:hAnsi="Arial"/>
          <w:color w:val="000000"/>
          <w:sz w:val="22"/>
        </w:rPr>
        <w:t>prospetto dei costi:</w:t>
      </w:r>
    </w:p>
    <w:p w:rsidR="00ED4406" w:rsidRDefault="00ED4406">
      <w:pPr>
        <w:widowControl/>
        <w:spacing w:line="276" w:lineRule="auto"/>
        <w:rPr>
          <w:rFonts w:ascii="Arial" w:eastAsia="Times New Roman" w:hAnsi="Arial"/>
          <w:color w:val="000000"/>
          <w:sz w:val="22"/>
        </w:rPr>
      </w:pPr>
    </w:p>
    <w:tbl>
      <w:tblPr>
        <w:tblW w:w="9519" w:type="dxa"/>
        <w:tblInd w:w="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51"/>
        <w:gridCol w:w="2268"/>
      </w:tblGrid>
      <w:tr w:rsidR="00ED4406">
        <w:trPr>
          <w:trHeight w:val="283"/>
        </w:trPr>
        <w:tc>
          <w:tcPr>
            <w:tcW w:w="951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i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Ciclo integrato RU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tabs>
                <w:tab w:val="left" w:pos="7710"/>
              </w:tabs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Costi dell’attività di raccolta e trasporto dei rifiuti urbani indifferenziati –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CRT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43.216,00 €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Costi dell’attività di trattamento e smaltimento dei rifiuti urbani –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CTS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36.502,00 €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Costi dell’attività di trattamento e recupero dei rifiuti urbani –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CTR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31.814,00 €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Costi dell’attività di raccolta e trasporto delle frazioni differenziate –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CRD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153.449,00 €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Costi operati incentivanti variabili di cui all'articolo 8 del MTR –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COI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perscript"/>
              </w:rPr>
              <w:t>EXP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TV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0,00 €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Proventi della vendita di materiale ed energia derivante da rifiuti –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AR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1.967,00 €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BC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Fattore di sharing –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b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2EFBC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      0,60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lastRenderedPageBreak/>
              <w:t xml:space="preserve">Proventi della vendita di materiale ed energia derivante da rifiuti dopo sharing –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b(AR)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1.180,20 €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Ricavi derivanti dai corrispettivi riconosciuti dal CONAI –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AR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CONAI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5.886,00 €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BC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Fattore di sharing –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b(1+ω)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2EFBC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      0,84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Ricavi derivanti dai corrispettivi riconosciuti dal CONAI dopo sharing –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b(1+ω)AR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CONAI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4.944,24 €  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Componente a conguaglio relativa ai costi variabili–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RCtv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-61.572,94 €  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BC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Coefficiente di gradualità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(1+ɣ)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2EFBC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      0,69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BC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Rateizzazione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2EFBC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        1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Componente a conguaglio relativa ai costi variabili–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(1+ɣ)RCtv/r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-42.485,32 €  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Oneri relativi all'IVA e altre imposte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28.985,41 €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Totale voci libere costi variabili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0,00 €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∑TV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a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totale entrate tariffarie relative alle componenti di costo variabile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245.356,65 €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Costi dell’attività di spazzamento e di lavaggio –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CSL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31.099,10 €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ind w:left="708"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Costi per l’attività di gestione delle tariffe e dei rapporti con gli utenti -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CARC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20.114,51 €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ind w:left="708"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Costi generali di gestione -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CGG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20.736,25 €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ind w:left="708"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Costi relativi alla quota di crediti inesigibili -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CCD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0,00 €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ind w:left="708"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Altri costi -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COal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52,00 €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Costi comuni –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CC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40.902,76 €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ind w:left="708"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Ammortamenti -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Amm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12.048,00 €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ind w:left="708"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Accantonamenti -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Acc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72.231,35 €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ind w:left="1416"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- di cui costi di gestione post-operativa delle discariche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0,00 €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ind w:left="1416"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- di cui per crediti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0,00 €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ind w:left="1416"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- di cui per rischi e oneri previsti da normativa di settore e/o dal contratto di affidamento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0,00 €   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ind w:left="1416"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- di cui per altri non in eccesso rispetto a norme tributarie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0,00 €   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ind w:left="708"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Remunerazione del capitale investito netto -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8.037,00 €  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ind w:left="708"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Remunerazione delle immobilizzazioni in corso -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R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lic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0,00 €   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Costi d'uso del capitale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- CK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92.316,35 €   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Costi operati incentivanti fissi di cui all'articolo 8 del MTR –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COI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perscript"/>
              </w:rPr>
              <w:t>EXP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TF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0,00 €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Componente a conguaglio relativa ai costi fissi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–RC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TF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-63.616,34 €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BC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Coefficiente di gradualità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(1+ɣ)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2EFBC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      0,69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BC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Rateizzazione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2EFBC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        1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Componente a conguaglio relativa ai costi fissi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–(1+ɣ)RC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TF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/r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-43.895,27 €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Oneri relativi all'IVA e altre imposte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1.913,53 €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Totale voci libere costi fissi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0,00 €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∑TF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a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totale entrate tariffarie relative alle componenti di costo fisso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ED4406" w:rsidRDefault="00E00227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hyperlink r:id="rId7" w:history="1">
              <w:r w:rsidR="00ED4406">
                <w:rPr>
                  <w:rFonts w:ascii="Arial" w:eastAsia="Times New Roman" w:hAnsi="Arial"/>
                  <w:b/>
                  <w:color w:val="000000"/>
                  <w:sz w:val="20"/>
                </w:rPr>
                <w:t>116.188,21 €</w:t>
              </w:r>
            </w:hyperlink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Detrazioni di cui al comma 1.4 della determina n.2/DRIF/2020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6.148,26 €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Attività esterne Ciclo integrato RU incluse nel PEF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0,00 €</w:t>
            </w:r>
          </w:p>
        </w:tc>
      </w:tr>
    </w:tbl>
    <w:p w:rsidR="00ED4406" w:rsidRDefault="00ED4406">
      <w:pPr>
        <w:widowControl/>
        <w:spacing w:line="276" w:lineRule="auto"/>
        <w:rPr>
          <w:rFonts w:ascii="Arial" w:eastAsia="Times New Roman" w:hAnsi="Arial"/>
          <w:color w:val="000000"/>
          <w:sz w:val="22"/>
        </w:rPr>
      </w:pPr>
    </w:p>
    <w:p w:rsidR="00ED4406" w:rsidRDefault="00ED4406" w:rsidP="00ED4406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 xml:space="preserve">È stato acquisito da parte del gestore </w:t>
      </w:r>
      <w:r w:rsidRPr="00AB51EA">
        <w:rPr>
          <w:rFonts w:ascii="Arial" w:eastAsia="Times New Roman" w:hAnsi="Arial"/>
          <w:b/>
          <w:color w:val="000000"/>
          <w:sz w:val="22"/>
        </w:rPr>
        <w:t>SAPRODIR S.r.l.</w:t>
      </w:r>
      <w:r>
        <w:rPr>
          <w:rFonts w:ascii="Arial" w:eastAsia="Times New Roman" w:hAnsi="Arial"/>
          <w:color w:val="000000"/>
          <w:sz w:val="22"/>
        </w:rPr>
        <w:t xml:space="preserve"> il PEF con i seguenti elementi, che si allegano: </w:t>
      </w:r>
    </w:p>
    <w:p w:rsidR="00ED4406" w:rsidRDefault="00ED4406" w:rsidP="00ED4406">
      <w:pPr>
        <w:pStyle w:val="Paragrafoelenco"/>
        <w:widowControl/>
        <w:numPr>
          <w:ilvl w:val="0"/>
          <w:numId w:val="7"/>
        </w:numPr>
        <w:spacing w:line="360" w:lineRule="auto"/>
        <w:ind w:hanging="357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 xml:space="preserve">le risorse finanziarie necessarie per effettuare il servizio di gestione integrata dei RU ovvero dei singoli servizi che lo compongono; </w:t>
      </w:r>
    </w:p>
    <w:p w:rsidR="00ED4406" w:rsidRDefault="00ED4406" w:rsidP="00ED4406">
      <w:pPr>
        <w:pStyle w:val="Paragrafoelenco"/>
        <w:widowControl/>
        <w:numPr>
          <w:ilvl w:val="0"/>
          <w:numId w:val="7"/>
        </w:numPr>
        <w:spacing w:after="59" w:line="360" w:lineRule="auto"/>
        <w:ind w:hanging="357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>una relazione nella quale sono indicati i seguenti elementi:</w:t>
      </w:r>
    </w:p>
    <w:p w:rsidR="00ED4406" w:rsidRDefault="00ED4406" w:rsidP="00ED4406">
      <w:pPr>
        <w:pStyle w:val="Paragrafoelenco"/>
        <w:widowControl/>
        <w:numPr>
          <w:ilvl w:val="1"/>
          <w:numId w:val="7"/>
        </w:numPr>
        <w:spacing w:after="59" w:line="360" w:lineRule="auto"/>
        <w:ind w:left="1134" w:hanging="357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lastRenderedPageBreak/>
        <w:t>il modello gestionale e organi</w:t>
      </w:r>
      <w:r w:rsidR="001368C5">
        <w:rPr>
          <w:rFonts w:ascii="Arial" w:eastAsia="Times New Roman" w:hAnsi="Arial"/>
          <w:color w:val="000000"/>
          <w:sz w:val="22"/>
          <w:szCs w:val="24"/>
        </w:rPr>
        <w:t>zzativo</w:t>
      </w:r>
      <w:r>
        <w:rPr>
          <w:rFonts w:ascii="Arial" w:eastAsia="Times New Roman" w:hAnsi="Arial"/>
          <w:color w:val="000000"/>
          <w:sz w:val="22"/>
          <w:szCs w:val="24"/>
        </w:rPr>
        <w:t xml:space="preserve">; </w:t>
      </w:r>
    </w:p>
    <w:p w:rsidR="00ED4406" w:rsidRPr="001368C5" w:rsidRDefault="00ED4406" w:rsidP="001368C5">
      <w:pPr>
        <w:pStyle w:val="Paragrafoelenco"/>
        <w:widowControl/>
        <w:numPr>
          <w:ilvl w:val="1"/>
          <w:numId w:val="7"/>
        </w:numPr>
        <w:spacing w:after="59" w:line="360" w:lineRule="auto"/>
        <w:ind w:left="1134" w:hanging="357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>i livelli di qualità del s</w:t>
      </w:r>
      <w:r w:rsidR="001368C5">
        <w:rPr>
          <w:rFonts w:ascii="Arial" w:eastAsia="Times New Roman" w:hAnsi="Arial"/>
          <w:color w:val="000000"/>
          <w:sz w:val="22"/>
          <w:szCs w:val="24"/>
        </w:rPr>
        <w:t>ervizio.</w:t>
      </w:r>
    </w:p>
    <w:p w:rsidR="00ED4406" w:rsidRDefault="00ED4406">
      <w:pPr>
        <w:widowControl/>
        <w:spacing w:line="276" w:lineRule="auto"/>
        <w:rPr>
          <w:rFonts w:ascii="Bookman Old Style" w:eastAsia="Times New Roman" w:hAnsi="Bookman Old Style"/>
          <w:color w:val="000000"/>
          <w:sz w:val="22"/>
          <w:highlight w:val="yellow"/>
          <w:shd w:val="clear" w:color="auto" w:fill="FFFF00"/>
        </w:rPr>
      </w:pPr>
    </w:p>
    <w:p w:rsidR="00ED4406" w:rsidRPr="00B8793E" w:rsidRDefault="00ED4406" w:rsidP="00B8793E">
      <w:pPr>
        <w:widowControl/>
        <w:spacing w:line="360" w:lineRule="auto"/>
        <w:rPr>
          <w:rFonts w:ascii="Arial" w:eastAsia="Times New Roman" w:hAnsi="Arial"/>
          <w:b/>
          <w:color w:val="000000"/>
          <w:sz w:val="22"/>
        </w:rPr>
      </w:pPr>
      <w:r>
        <w:rPr>
          <w:rFonts w:ascii="Arial" w:eastAsia="Times New Roman" w:hAnsi="Arial"/>
          <w:b/>
          <w:color w:val="000000"/>
          <w:sz w:val="22"/>
        </w:rPr>
        <w:t>Per quanto riguarda i dati del conto economico è stato verificato</w:t>
      </w:r>
      <w:r w:rsidR="00C25711">
        <w:rPr>
          <w:rFonts w:ascii="Arial" w:eastAsia="Times New Roman" w:hAnsi="Arial"/>
          <w:b/>
          <w:color w:val="000000"/>
          <w:sz w:val="22"/>
        </w:rPr>
        <w:t xml:space="preserve"> </w:t>
      </w:r>
      <w:r>
        <w:rPr>
          <w:rFonts w:ascii="Arial" w:eastAsia="Times New Roman" w:hAnsi="Arial"/>
          <w:b/>
          <w:color w:val="000000"/>
          <w:sz w:val="22"/>
        </w:rPr>
        <w:t>che le componenti di costo riportate</w:t>
      </w:r>
      <w:r w:rsidR="00B8793E">
        <w:rPr>
          <w:rFonts w:ascii="Arial" w:eastAsia="Times New Roman" w:hAnsi="Arial"/>
          <w:b/>
          <w:color w:val="000000"/>
          <w:sz w:val="22"/>
        </w:rPr>
        <w:t xml:space="preserve"> nel</w:t>
      </w:r>
      <w:r>
        <w:rPr>
          <w:rFonts w:ascii="Arial" w:eastAsia="Times New Roman" w:hAnsi="Arial"/>
          <w:b/>
          <w:color w:val="000000"/>
          <w:sz w:val="22"/>
        </w:rPr>
        <w:t xml:space="preserve"> PEF sono state riconciliate con la somma dei costi effettivamente sostenuti dal gestore nell’anno </w:t>
      </w:r>
      <w:r>
        <w:rPr>
          <w:rFonts w:ascii="Arial" w:eastAsia="Times New Roman" w:hAnsi="Arial"/>
          <w:b/>
          <w:i/>
          <w:color w:val="000000"/>
          <w:sz w:val="22"/>
        </w:rPr>
        <w:t>a-2</w:t>
      </w:r>
      <w:r>
        <w:rPr>
          <w:rFonts w:ascii="Arial" w:eastAsia="Times New Roman" w:hAnsi="Arial"/>
          <w:i/>
          <w:color w:val="000000"/>
          <w:sz w:val="22"/>
        </w:rPr>
        <w:t xml:space="preserve">. </w:t>
      </w:r>
    </w:p>
    <w:p w:rsidR="00ED4406" w:rsidRDefault="00ED4406" w:rsidP="00B8793E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Sono infatti stati indica</w:t>
      </w:r>
      <w:r w:rsidR="00B8793E">
        <w:rPr>
          <w:rFonts w:ascii="Arial" w:eastAsia="Times New Roman" w:hAnsi="Arial"/>
          <w:color w:val="000000"/>
          <w:sz w:val="22"/>
        </w:rPr>
        <w:t xml:space="preserve">ti dal gestore </w:t>
      </w:r>
      <w:r w:rsidR="00B8793E" w:rsidRPr="00AB51EA">
        <w:rPr>
          <w:rFonts w:ascii="Arial" w:eastAsia="Times New Roman" w:hAnsi="Arial"/>
          <w:b/>
          <w:color w:val="000000"/>
          <w:sz w:val="22"/>
        </w:rPr>
        <w:t>SAPRODIR S.r.l.</w:t>
      </w:r>
      <w:r>
        <w:rPr>
          <w:rFonts w:ascii="Arial" w:eastAsia="Times New Roman" w:hAnsi="Arial"/>
          <w:color w:val="000000"/>
          <w:sz w:val="22"/>
        </w:rPr>
        <w:t xml:space="preserve">: </w:t>
      </w:r>
    </w:p>
    <w:p w:rsidR="00ED4406" w:rsidRDefault="00ED4406" w:rsidP="00207BAF">
      <w:pPr>
        <w:pStyle w:val="Paragrafoelenco"/>
        <w:widowControl/>
        <w:numPr>
          <w:ilvl w:val="0"/>
          <w:numId w:val="10"/>
        </w:numPr>
        <w:spacing w:after="47" w:line="360" w:lineRule="auto"/>
        <w:ind w:hanging="360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 xml:space="preserve">il criterio e i </w:t>
      </w:r>
      <w:r>
        <w:rPr>
          <w:rFonts w:ascii="Arial" w:eastAsia="Times New Roman" w:hAnsi="Arial"/>
          <w:i/>
          <w:color w:val="000000"/>
          <w:sz w:val="22"/>
          <w:szCs w:val="24"/>
        </w:rPr>
        <w:t xml:space="preserve">driver </w:t>
      </w:r>
      <w:r>
        <w:rPr>
          <w:rFonts w:ascii="Arial" w:eastAsia="Times New Roman" w:hAnsi="Arial"/>
          <w:color w:val="000000"/>
          <w:sz w:val="22"/>
          <w:szCs w:val="24"/>
        </w:rPr>
        <w:t xml:space="preserve">con il quale sono state ripartite le poste comuni </w:t>
      </w:r>
      <w:r w:rsidR="00A07F82">
        <w:rPr>
          <w:rFonts w:ascii="Arial" w:eastAsia="Times New Roman" w:hAnsi="Arial"/>
          <w:color w:val="000000"/>
          <w:sz w:val="22"/>
          <w:szCs w:val="24"/>
        </w:rPr>
        <w:t xml:space="preserve"> dei costi e dei ricavi</w:t>
      </w:r>
      <w:r>
        <w:rPr>
          <w:rFonts w:ascii="Arial" w:eastAsia="Times New Roman" w:hAnsi="Arial"/>
          <w:color w:val="000000"/>
          <w:sz w:val="22"/>
          <w:szCs w:val="24"/>
        </w:rPr>
        <w:t xml:space="preserve">; </w:t>
      </w:r>
    </w:p>
    <w:p w:rsidR="00ED4406" w:rsidRDefault="00ED4406" w:rsidP="00207BAF">
      <w:pPr>
        <w:pStyle w:val="Paragrafoelenco"/>
        <w:widowControl/>
        <w:numPr>
          <w:ilvl w:val="0"/>
          <w:numId w:val="10"/>
        </w:numPr>
        <w:spacing w:after="47" w:line="360" w:lineRule="auto"/>
        <w:ind w:hanging="360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 xml:space="preserve">il dettaglio </w:t>
      </w:r>
      <w:r>
        <w:rPr>
          <w:rFonts w:ascii="Cambria Math" w:eastAsia="Times New Roman" w:hAnsi="Cambria Math"/>
          <w:color w:val="000000"/>
          <w:sz w:val="22"/>
          <w:szCs w:val="24"/>
        </w:rPr>
        <w:t>𝐶𝑂𝐴𝐿</w:t>
      </w:r>
      <w:r>
        <w:rPr>
          <w:rFonts w:ascii="Arial" w:eastAsia="Times New Roman" w:hAnsi="Arial"/>
          <w:color w:val="000000"/>
          <w:sz w:val="22"/>
          <w:szCs w:val="24"/>
        </w:rPr>
        <w:t>,</w:t>
      </w:r>
      <w:r>
        <w:rPr>
          <w:rFonts w:ascii="Cambria Math" w:eastAsia="Times New Roman" w:hAnsi="Cambria Math"/>
          <w:color w:val="000000"/>
          <w:sz w:val="22"/>
          <w:szCs w:val="24"/>
        </w:rPr>
        <w:t>𝑎</w:t>
      </w:r>
      <w:r>
        <w:rPr>
          <w:rFonts w:ascii="Arial" w:eastAsia="Times New Roman" w:hAnsi="Arial"/>
          <w:color w:val="000000"/>
          <w:sz w:val="22"/>
          <w:szCs w:val="24"/>
        </w:rPr>
        <w:t xml:space="preserve"> oneri di funzionamento</w:t>
      </w:r>
      <w:r w:rsidR="003328F9">
        <w:rPr>
          <w:rFonts w:ascii="Arial" w:eastAsia="Times New Roman" w:hAnsi="Arial"/>
          <w:color w:val="000000"/>
          <w:sz w:val="22"/>
          <w:szCs w:val="24"/>
        </w:rPr>
        <w:t xml:space="preserve"> degli ETC, di ARERA</w:t>
      </w:r>
      <w:r>
        <w:rPr>
          <w:rFonts w:ascii="Arial" w:eastAsia="Times New Roman" w:hAnsi="Arial"/>
          <w:color w:val="000000"/>
          <w:sz w:val="22"/>
          <w:szCs w:val="24"/>
        </w:rPr>
        <w:t xml:space="preserve">; </w:t>
      </w:r>
    </w:p>
    <w:p w:rsidR="00ED4406" w:rsidRDefault="00ED4406" w:rsidP="00207BAF">
      <w:pPr>
        <w:pStyle w:val="Paragrafoelenco"/>
        <w:widowControl/>
        <w:numPr>
          <w:ilvl w:val="0"/>
          <w:numId w:val="10"/>
        </w:numPr>
        <w:spacing w:after="47" w:line="360" w:lineRule="auto"/>
        <w:ind w:hanging="360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 xml:space="preserve">le singole voci di ricavo che devono essere rappresentate dettagliatamente distinguendo tra i ricavi derivanti da vendita di materiali ed energia e ricavi derivanti dai corrispettivi riconosciuti dal CONAI; </w:t>
      </w:r>
    </w:p>
    <w:p w:rsidR="00ED4406" w:rsidRDefault="00ED4406" w:rsidP="00207BAF">
      <w:pPr>
        <w:pStyle w:val="Paragrafoelenco"/>
        <w:widowControl/>
        <w:numPr>
          <w:ilvl w:val="0"/>
          <w:numId w:val="10"/>
        </w:numPr>
        <w:spacing w:line="360" w:lineRule="auto"/>
        <w:ind w:hanging="360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>le poste che vanno ad aumentare/ridurre il totale</w:t>
      </w:r>
      <w:r w:rsidR="0082622A">
        <w:rPr>
          <w:rFonts w:ascii="Arial" w:eastAsia="Times New Roman" w:hAnsi="Arial"/>
          <w:color w:val="000000"/>
          <w:sz w:val="22"/>
          <w:szCs w:val="24"/>
        </w:rPr>
        <w:t xml:space="preserve"> costi del PEF, quali le</w:t>
      </w:r>
      <w:r>
        <w:rPr>
          <w:rFonts w:ascii="Arial" w:eastAsia="Times New Roman" w:hAnsi="Arial"/>
          <w:color w:val="000000"/>
          <w:sz w:val="22"/>
          <w:szCs w:val="24"/>
        </w:rPr>
        <w:t xml:space="preserve"> poste di competenza di esercizi </w:t>
      </w:r>
      <w:r w:rsidR="0082622A">
        <w:rPr>
          <w:rFonts w:ascii="Arial" w:eastAsia="Times New Roman" w:hAnsi="Arial"/>
          <w:color w:val="000000"/>
          <w:sz w:val="22"/>
          <w:szCs w:val="24"/>
        </w:rPr>
        <w:t>precedenti come i conguagli</w:t>
      </w:r>
      <w:r>
        <w:rPr>
          <w:rFonts w:ascii="Arial" w:eastAsia="Times New Roman" w:hAnsi="Arial"/>
          <w:color w:val="000000"/>
          <w:sz w:val="22"/>
          <w:szCs w:val="24"/>
        </w:rPr>
        <w:t xml:space="preserve">. </w:t>
      </w:r>
    </w:p>
    <w:p w:rsidR="00ED4406" w:rsidRDefault="00ED4406" w:rsidP="00207BAF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</w:p>
    <w:p w:rsidR="00ED4406" w:rsidRDefault="00ED4406" w:rsidP="00AD067D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Sono stati altresì verificati i contenuti della relazione di accompagnamento</w:t>
      </w:r>
      <w:r w:rsidR="00C25711">
        <w:rPr>
          <w:rFonts w:ascii="Arial" w:eastAsia="Times New Roman" w:hAnsi="Arial"/>
          <w:color w:val="000000"/>
          <w:sz w:val="22"/>
        </w:rPr>
        <w:t xml:space="preserve"> </w:t>
      </w:r>
      <w:r>
        <w:rPr>
          <w:rFonts w:ascii="Arial" w:eastAsia="Times New Roman" w:hAnsi="Arial"/>
          <w:color w:val="000000"/>
          <w:sz w:val="22"/>
        </w:rPr>
        <w:t xml:space="preserve">che risultano esaustivi, analitici e conformi alle disposizioni del MTR, nella quale risultano descritti i seguenti aspetti: </w:t>
      </w:r>
    </w:p>
    <w:p w:rsidR="00ED4406" w:rsidRDefault="00ED4406" w:rsidP="00AD067D">
      <w:pPr>
        <w:pStyle w:val="Paragrafoelenco"/>
        <w:widowControl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>descrizione del territorio se</w:t>
      </w:r>
      <w:r w:rsidR="00AD067D">
        <w:rPr>
          <w:rFonts w:ascii="Arial" w:eastAsia="Times New Roman" w:hAnsi="Arial"/>
          <w:color w:val="000000"/>
          <w:sz w:val="22"/>
          <w:szCs w:val="24"/>
        </w:rPr>
        <w:t>rvito con riferimento alla</w:t>
      </w:r>
      <w:r>
        <w:rPr>
          <w:rFonts w:ascii="Arial" w:eastAsia="Times New Roman" w:hAnsi="Arial"/>
          <w:color w:val="000000"/>
          <w:sz w:val="22"/>
          <w:szCs w:val="24"/>
        </w:rPr>
        <w:t xml:space="preserve"> gestione;</w:t>
      </w:r>
    </w:p>
    <w:p w:rsidR="00ED4406" w:rsidRDefault="00ED4406" w:rsidP="00AD067D">
      <w:pPr>
        <w:pStyle w:val="Paragrafoelenco"/>
        <w:widowControl/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>attività e</w:t>
      </w:r>
      <w:r w:rsidR="00AD067D">
        <w:rPr>
          <w:rFonts w:ascii="Arial" w:eastAsia="Times New Roman" w:hAnsi="Arial"/>
          <w:color w:val="000000"/>
          <w:sz w:val="22"/>
          <w:szCs w:val="24"/>
        </w:rPr>
        <w:t>ffettuate in relazione al</w:t>
      </w:r>
      <w:r>
        <w:rPr>
          <w:rFonts w:ascii="Arial" w:eastAsia="Times New Roman" w:hAnsi="Arial"/>
          <w:color w:val="000000"/>
          <w:sz w:val="22"/>
          <w:szCs w:val="24"/>
        </w:rPr>
        <w:t xml:space="preserve"> Comune servito;</w:t>
      </w:r>
    </w:p>
    <w:p w:rsidR="00ED4406" w:rsidRDefault="00ED4406" w:rsidP="00AD067D">
      <w:pPr>
        <w:pStyle w:val="Paragrafoelenco"/>
        <w:widowControl/>
        <w:numPr>
          <w:ilvl w:val="0"/>
          <w:numId w:val="8"/>
        </w:numPr>
        <w:spacing w:after="47" w:line="360" w:lineRule="auto"/>
        <w:ind w:left="714" w:hanging="357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>indicazio</w:t>
      </w:r>
      <w:r w:rsidR="00AD067D">
        <w:rPr>
          <w:rFonts w:ascii="Arial" w:eastAsia="Times New Roman" w:hAnsi="Arial"/>
          <w:color w:val="000000"/>
          <w:sz w:val="22"/>
          <w:szCs w:val="24"/>
        </w:rPr>
        <w:t>ne dell’</w:t>
      </w:r>
      <w:r>
        <w:rPr>
          <w:rFonts w:ascii="Arial" w:eastAsia="Times New Roman" w:hAnsi="Arial"/>
          <w:color w:val="000000"/>
          <w:sz w:val="22"/>
          <w:szCs w:val="24"/>
        </w:rPr>
        <w:t>acquisizione</w:t>
      </w:r>
      <w:r w:rsidR="00AD067D">
        <w:rPr>
          <w:rFonts w:ascii="Arial" w:eastAsia="Times New Roman" w:hAnsi="Arial"/>
          <w:color w:val="000000"/>
          <w:sz w:val="22"/>
          <w:szCs w:val="24"/>
        </w:rPr>
        <w:t xml:space="preserve"> dei</w:t>
      </w:r>
      <w:r>
        <w:rPr>
          <w:rFonts w:ascii="Arial" w:eastAsia="Times New Roman" w:hAnsi="Arial"/>
          <w:color w:val="000000"/>
          <w:sz w:val="22"/>
          <w:szCs w:val="24"/>
        </w:rPr>
        <w:t xml:space="preserve"> C</w:t>
      </w:r>
      <w:r w:rsidR="00AD067D">
        <w:rPr>
          <w:rFonts w:ascii="Arial" w:eastAsia="Times New Roman" w:hAnsi="Arial"/>
          <w:color w:val="000000"/>
          <w:sz w:val="22"/>
          <w:szCs w:val="24"/>
        </w:rPr>
        <w:t xml:space="preserve">omuni serviti dei servizi forniti </w:t>
      </w:r>
      <w:r>
        <w:rPr>
          <w:rFonts w:ascii="Arial" w:eastAsia="Times New Roman" w:hAnsi="Arial"/>
          <w:color w:val="000000"/>
          <w:sz w:val="22"/>
          <w:szCs w:val="24"/>
        </w:rPr>
        <w:t>a partire</w:t>
      </w:r>
      <w:r w:rsidR="00AD067D">
        <w:rPr>
          <w:rFonts w:ascii="Arial" w:eastAsia="Times New Roman" w:hAnsi="Arial"/>
          <w:color w:val="000000"/>
          <w:sz w:val="22"/>
          <w:szCs w:val="24"/>
        </w:rPr>
        <w:t xml:space="preserve"> dal 2019</w:t>
      </w:r>
      <w:r>
        <w:rPr>
          <w:rFonts w:ascii="Arial" w:eastAsia="Times New Roman" w:hAnsi="Arial"/>
          <w:color w:val="000000"/>
          <w:sz w:val="22"/>
          <w:szCs w:val="24"/>
        </w:rPr>
        <w:t xml:space="preserve">; </w:t>
      </w:r>
    </w:p>
    <w:p w:rsidR="00ED4406" w:rsidRDefault="00ED4406" w:rsidP="00AD067D">
      <w:pPr>
        <w:pStyle w:val="Paragrafoelenco"/>
        <w:widowControl/>
        <w:numPr>
          <w:ilvl w:val="0"/>
          <w:numId w:val="8"/>
        </w:numPr>
        <w:spacing w:after="47" w:line="360" w:lineRule="auto"/>
        <w:ind w:left="714" w:hanging="357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>st</w:t>
      </w:r>
      <w:r w:rsidR="00FE547C">
        <w:rPr>
          <w:rFonts w:ascii="Arial" w:eastAsia="Times New Roman" w:hAnsi="Arial"/>
          <w:color w:val="000000"/>
          <w:sz w:val="22"/>
          <w:szCs w:val="24"/>
        </w:rPr>
        <w:t xml:space="preserve">ato giuridico-patrimoniale quali </w:t>
      </w:r>
      <w:r>
        <w:rPr>
          <w:rFonts w:ascii="Arial" w:eastAsia="Times New Roman" w:hAnsi="Arial"/>
          <w:color w:val="000000"/>
          <w:sz w:val="22"/>
          <w:szCs w:val="24"/>
        </w:rPr>
        <w:t>procedure fallimentar</w:t>
      </w:r>
      <w:r w:rsidR="00FE547C">
        <w:rPr>
          <w:rFonts w:ascii="Arial" w:eastAsia="Times New Roman" w:hAnsi="Arial"/>
          <w:color w:val="000000"/>
          <w:sz w:val="22"/>
          <w:szCs w:val="24"/>
        </w:rPr>
        <w:t>i, concordato preventivo</w:t>
      </w:r>
      <w:r>
        <w:rPr>
          <w:rFonts w:ascii="Arial" w:eastAsia="Times New Roman" w:hAnsi="Arial"/>
          <w:color w:val="000000"/>
          <w:sz w:val="22"/>
          <w:szCs w:val="24"/>
        </w:rPr>
        <w:t xml:space="preserve">; </w:t>
      </w:r>
    </w:p>
    <w:p w:rsidR="00ED4406" w:rsidRDefault="00ED4406" w:rsidP="00AD067D">
      <w:pPr>
        <w:pStyle w:val="Paragrafoelenco"/>
        <w:widowControl/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 xml:space="preserve">ricorsi pendenti e le sentenze passate in giudicato; </w:t>
      </w:r>
    </w:p>
    <w:p w:rsidR="00ED4406" w:rsidRDefault="00ED4406" w:rsidP="00AD067D">
      <w:pPr>
        <w:pStyle w:val="Paragrafoelenco"/>
        <w:widowControl/>
        <w:numPr>
          <w:ilvl w:val="0"/>
          <w:numId w:val="8"/>
        </w:numPr>
        <w:spacing w:after="47" w:line="360" w:lineRule="auto"/>
        <w:ind w:left="714" w:hanging="357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>variazioni attese di perimetro (</w:t>
      </w:r>
      <w:r>
        <w:rPr>
          <w:rFonts w:ascii="Arial" w:eastAsia="Times New Roman" w:hAnsi="Arial"/>
          <w:b/>
          <w:i/>
          <w:color w:val="000000"/>
          <w:sz w:val="22"/>
          <w:szCs w:val="24"/>
        </w:rPr>
        <w:t>PG</w:t>
      </w:r>
      <w:r>
        <w:rPr>
          <w:rFonts w:ascii="Arial" w:eastAsia="Times New Roman" w:hAnsi="Arial"/>
          <w:color w:val="000000"/>
          <w:sz w:val="22"/>
          <w:szCs w:val="24"/>
        </w:rPr>
        <w:t>), costituite dalla variazione delle attività effettua</w:t>
      </w:r>
      <w:r w:rsidR="00B45242">
        <w:rPr>
          <w:rFonts w:ascii="Arial" w:eastAsia="Times New Roman" w:hAnsi="Arial"/>
          <w:color w:val="000000"/>
          <w:sz w:val="22"/>
          <w:szCs w:val="24"/>
        </w:rPr>
        <w:t>te dal gestore come</w:t>
      </w:r>
      <w:r>
        <w:rPr>
          <w:rFonts w:ascii="Arial" w:eastAsia="Times New Roman" w:hAnsi="Arial"/>
          <w:color w:val="000000"/>
          <w:sz w:val="22"/>
          <w:szCs w:val="24"/>
        </w:rPr>
        <w:t xml:space="preserve"> il passaggio dalla raccolta stradale alla</w:t>
      </w:r>
      <w:r w:rsidR="00B45242">
        <w:rPr>
          <w:rFonts w:ascii="Arial" w:eastAsia="Times New Roman" w:hAnsi="Arial"/>
          <w:color w:val="000000"/>
          <w:sz w:val="22"/>
          <w:szCs w:val="24"/>
        </w:rPr>
        <w:t xml:space="preserve"> raccolta porta a porta</w:t>
      </w:r>
      <w:r>
        <w:rPr>
          <w:rFonts w:ascii="Arial" w:eastAsia="Times New Roman" w:hAnsi="Arial"/>
          <w:color w:val="000000"/>
          <w:sz w:val="22"/>
          <w:szCs w:val="24"/>
        </w:rPr>
        <w:t xml:space="preserve">; </w:t>
      </w:r>
    </w:p>
    <w:p w:rsidR="00ED4406" w:rsidRDefault="00ED4406" w:rsidP="00AD067D">
      <w:pPr>
        <w:pStyle w:val="Paragrafoelenco"/>
        <w:widowControl/>
        <w:numPr>
          <w:ilvl w:val="0"/>
          <w:numId w:val="8"/>
        </w:numPr>
        <w:spacing w:after="47" w:line="360" w:lineRule="auto"/>
        <w:ind w:left="714" w:hanging="357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 xml:space="preserve">variazioni attese delle caratteristiche del servizio </w:t>
      </w:r>
      <w:r>
        <w:rPr>
          <w:rFonts w:ascii="Arial" w:eastAsia="Times New Roman" w:hAnsi="Arial"/>
          <w:b/>
          <w:color w:val="000000"/>
          <w:sz w:val="22"/>
          <w:szCs w:val="24"/>
        </w:rPr>
        <w:t>(</w:t>
      </w:r>
      <w:r>
        <w:rPr>
          <w:rFonts w:ascii="Arial" w:eastAsia="Times New Roman" w:hAnsi="Arial"/>
          <w:b/>
          <w:i/>
          <w:color w:val="000000"/>
          <w:sz w:val="22"/>
          <w:szCs w:val="24"/>
        </w:rPr>
        <w:t>QL</w:t>
      </w:r>
      <w:r>
        <w:rPr>
          <w:rFonts w:ascii="Arial" w:eastAsia="Times New Roman" w:hAnsi="Arial"/>
          <w:b/>
          <w:color w:val="000000"/>
          <w:sz w:val="22"/>
          <w:szCs w:val="24"/>
        </w:rPr>
        <w:t xml:space="preserve">) </w:t>
      </w:r>
      <w:r>
        <w:rPr>
          <w:rFonts w:ascii="Arial" w:eastAsia="Times New Roman" w:hAnsi="Arial"/>
          <w:color w:val="000000"/>
          <w:sz w:val="22"/>
          <w:szCs w:val="24"/>
        </w:rPr>
        <w:t>intese come variazioni delle modalità e caratteristiche del servizio integrato di gestione dei RU ovvero dei singoli servizi che lo compongono o dal miglioramento delle prestazioni erogate agli utenti;</w:t>
      </w:r>
    </w:p>
    <w:p w:rsidR="00ED4406" w:rsidRDefault="00ED4406" w:rsidP="00AD067D">
      <w:pPr>
        <w:pStyle w:val="Paragrafoelenco"/>
        <w:widowControl/>
        <w:numPr>
          <w:ilvl w:val="0"/>
          <w:numId w:val="8"/>
        </w:numPr>
        <w:spacing w:after="47" w:line="360" w:lineRule="auto"/>
        <w:ind w:left="714" w:hanging="357"/>
        <w:jc w:val="both"/>
        <w:rPr>
          <w:rFonts w:ascii="Arial" w:eastAsia="Times New Roman" w:hAnsi="Arial"/>
          <w:color w:val="000000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>l’obiettivo relativo alla percentuale di raccolta differenziata</w:t>
      </w:r>
      <w:r w:rsidR="00B45242">
        <w:rPr>
          <w:rFonts w:ascii="Arial" w:eastAsia="Times New Roman" w:hAnsi="Arial"/>
          <w:color w:val="000000"/>
          <w:sz w:val="22"/>
          <w:szCs w:val="24"/>
        </w:rPr>
        <w:t>;</w:t>
      </w:r>
    </w:p>
    <w:p w:rsidR="00ED4406" w:rsidRDefault="00ED4406" w:rsidP="00AD067D">
      <w:pPr>
        <w:pStyle w:val="Paragrafoelenco"/>
        <w:widowControl/>
        <w:numPr>
          <w:ilvl w:val="0"/>
          <w:numId w:val="8"/>
        </w:numPr>
        <w:spacing w:after="45" w:line="360" w:lineRule="auto"/>
        <w:ind w:left="714" w:hanging="357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 xml:space="preserve">l’efficacia delle attività di preparazione per il riutilizzo e il riciclo, </w:t>
      </w:r>
      <w:r w:rsidR="00B45242">
        <w:rPr>
          <w:rFonts w:ascii="Arial" w:eastAsia="Times New Roman" w:hAnsi="Arial"/>
          <w:color w:val="000000"/>
          <w:sz w:val="22"/>
          <w:szCs w:val="24"/>
        </w:rPr>
        <w:t>relative</w:t>
      </w:r>
      <w:r>
        <w:rPr>
          <w:rFonts w:ascii="Arial" w:eastAsia="Times New Roman" w:hAnsi="Arial"/>
          <w:color w:val="000000"/>
          <w:sz w:val="22"/>
          <w:szCs w:val="24"/>
        </w:rPr>
        <w:t xml:space="preserve"> alla raccolta differenziata come risultante dal conferimento al CONAI; </w:t>
      </w:r>
    </w:p>
    <w:p w:rsidR="00ED4406" w:rsidRPr="00072001" w:rsidRDefault="00ED4406" w:rsidP="00072001">
      <w:pPr>
        <w:pStyle w:val="Paragrafoelenco"/>
        <w:widowControl/>
        <w:numPr>
          <w:ilvl w:val="0"/>
          <w:numId w:val="8"/>
        </w:numPr>
        <w:spacing w:after="45" w:line="360" w:lineRule="auto"/>
        <w:ind w:left="714" w:hanging="357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>il dettaglio delle fonti di finanziamento, con particolare riferimento a quelle d</w:t>
      </w:r>
      <w:r w:rsidR="00E807B3">
        <w:rPr>
          <w:rFonts w:ascii="Arial" w:eastAsia="Times New Roman" w:hAnsi="Arial"/>
          <w:color w:val="000000"/>
          <w:sz w:val="22"/>
          <w:szCs w:val="24"/>
        </w:rPr>
        <w:t>erivanti da mezzi di terzi</w:t>
      </w:r>
      <w:r w:rsidRPr="00072001">
        <w:rPr>
          <w:rFonts w:ascii="Arial" w:eastAsia="Times New Roman" w:hAnsi="Arial"/>
          <w:color w:val="000000"/>
          <w:sz w:val="22"/>
          <w:szCs w:val="24"/>
        </w:rPr>
        <w:t xml:space="preserve">. </w:t>
      </w:r>
    </w:p>
    <w:p w:rsidR="00ED4406" w:rsidRDefault="00ED4406">
      <w:pPr>
        <w:pStyle w:val="Paragrafoelenco"/>
        <w:widowControl/>
        <w:jc w:val="both"/>
        <w:rPr>
          <w:rFonts w:ascii="Arial" w:eastAsia="Times New Roman" w:hAnsi="Arial"/>
          <w:color w:val="000000"/>
          <w:sz w:val="22"/>
          <w:szCs w:val="24"/>
        </w:rPr>
      </w:pPr>
    </w:p>
    <w:p w:rsidR="00ED4406" w:rsidRDefault="00B2205D">
      <w:pPr>
        <w:pStyle w:val="Titolo2"/>
        <w:widowControl/>
        <w:rPr>
          <w:rFonts w:ascii="Arial" w:eastAsia="Times New Roman" w:hAnsi="Arial"/>
          <w:bCs w:val="0"/>
          <w:color w:val="000000"/>
          <w:sz w:val="22"/>
        </w:rPr>
      </w:pPr>
      <w:r>
        <w:rPr>
          <w:rFonts w:ascii="Arial" w:eastAsia="Times New Roman" w:hAnsi="Arial"/>
          <w:bCs w:val="0"/>
          <w:color w:val="000000"/>
          <w:sz w:val="22"/>
        </w:rPr>
        <w:t xml:space="preserve">4.2 </w:t>
      </w:r>
      <w:r w:rsidR="00ED4406">
        <w:rPr>
          <w:rFonts w:ascii="Arial" w:eastAsia="Times New Roman" w:hAnsi="Arial"/>
          <w:bCs w:val="0"/>
          <w:color w:val="000000"/>
          <w:sz w:val="22"/>
        </w:rPr>
        <w:t xml:space="preserve">Limite alla crescita annuale delle entrate tariffarie </w:t>
      </w:r>
    </w:p>
    <w:p w:rsidR="00ED4406" w:rsidRDefault="00ED4406">
      <w:pPr>
        <w:widowControl/>
        <w:spacing w:line="276" w:lineRule="auto"/>
        <w:rPr>
          <w:rFonts w:eastAsia="Times New Roman"/>
          <w:color w:val="000000"/>
        </w:rPr>
      </w:pPr>
    </w:p>
    <w:p w:rsidR="00ED4406" w:rsidRDefault="00ED4406" w:rsidP="00A57EC9">
      <w:pPr>
        <w:widowControl/>
        <w:spacing w:after="50" w:line="360" w:lineRule="auto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lastRenderedPageBreak/>
        <w:t>Il Comune di ANTRODOCO, in qualità di Ente territorialmente</w:t>
      </w:r>
      <w:r w:rsidR="00A57EC9">
        <w:rPr>
          <w:rFonts w:ascii="Arial" w:eastAsia="Times New Roman" w:hAnsi="Arial"/>
          <w:color w:val="000000"/>
          <w:sz w:val="22"/>
        </w:rPr>
        <w:t xml:space="preserve"> competente, </w:t>
      </w:r>
      <w:r>
        <w:rPr>
          <w:rFonts w:ascii="Arial" w:eastAsia="Times New Roman" w:hAnsi="Arial"/>
          <w:color w:val="000000"/>
          <w:sz w:val="22"/>
        </w:rPr>
        <w:t xml:space="preserve">ha determinato i coefficienti relativi al </w:t>
      </w:r>
      <w:r>
        <w:rPr>
          <w:rFonts w:ascii="Arial" w:eastAsia="Times New Roman" w:hAnsi="Arial"/>
          <w:b/>
          <w:color w:val="000000"/>
          <w:sz w:val="22"/>
        </w:rPr>
        <w:t xml:space="preserve">limite di crescita annuale delle entrate </w:t>
      </w:r>
      <w:r>
        <w:rPr>
          <w:rFonts w:ascii="Arial" w:eastAsia="Times New Roman" w:hAnsi="Arial"/>
          <w:color w:val="000000"/>
          <w:sz w:val="22"/>
        </w:rPr>
        <w:t xml:space="preserve">tariffarie nell’ambito dell’intervallo di valori determinati dall’Autorità, quali: </w:t>
      </w:r>
    </w:p>
    <w:p w:rsidR="00ED4406" w:rsidRDefault="00ED4406" w:rsidP="00A57EC9">
      <w:pPr>
        <w:pStyle w:val="Paragrafoelenco"/>
        <w:widowControl/>
        <w:numPr>
          <w:ilvl w:val="0"/>
          <w:numId w:val="11"/>
        </w:numPr>
        <w:spacing w:after="50" w:line="360" w:lineRule="auto"/>
        <w:ind w:hanging="360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>il coefficiente di recupero di produttività (</w:t>
      </w:r>
      <w:r>
        <w:rPr>
          <w:rFonts w:ascii="Cambria Math" w:eastAsia="Times New Roman" w:hAnsi="Cambria Math"/>
          <w:color w:val="000000"/>
          <w:sz w:val="22"/>
          <w:szCs w:val="24"/>
        </w:rPr>
        <w:t>𝑋𝑎</w:t>
      </w:r>
      <w:r>
        <w:rPr>
          <w:rFonts w:ascii="Arial" w:eastAsia="Times New Roman" w:hAnsi="Arial"/>
          <w:color w:val="000000"/>
          <w:sz w:val="22"/>
          <w:szCs w:val="24"/>
        </w:rPr>
        <w:t>)</w:t>
      </w:r>
    </w:p>
    <w:p w:rsidR="00ED4406" w:rsidRDefault="00ED4406" w:rsidP="00A57EC9">
      <w:pPr>
        <w:pStyle w:val="Paragrafoelenco"/>
        <w:widowControl/>
        <w:numPr>
          <w:ilvl w:val="0"/>
          <w:numId w:val="11"/>
        </w:numPr>
        <w:spacing w:after="50" w:line="360" w:lineRule="auto"/>
        <w:ind w:hanging="360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>il coefficiente per il miglioramento previsto della qualità e delle caratteristiche delle prestazioni erogate agli utenti (</w:t>
      </w:r>
      <w:r>
        <w:rPr>
          <w:rFonts w:ascii="Cambria Math" w:eastAsia="Times New Roman" w:hAnsi="Cambria Math"/>
          <w:color w:val="000000"/>
          <w:sz w:val="22"/>
          <w:szCs w:val="24"/>
        </w:rPr>
        <w:t>𝑄𝐿𝑎</w:t>
      </w:r>
      <w:r>
        <w:rPr>
          <w:rFonts w:ascii="Arial" w:eastAsia="Times New Roman" w:hAnsi="Arial"/>
          <w:color w:val="000000"/>
          <w:sz w:val="22"/>
          <w:szCs w:val="24"/>
        </w:rPr>
        <w:t>),</w:t>
      </w:r>
    </w:p>
    <w:p w:rsidR="00ED4406" w:rsidRDefault="00ED4406" w:rsidP="00A57EC9">
      <w:pPr>
        <w:pStyle w:val="Paragrafoelenco"/>
        <w:widowControl/>
        <w:numPr>
          <w:ilvl w:val="0"/>
          <w:numId w:val="11"/>
        </w:numPr>
        <w:spacing w:after="50" w:line="360" w:lineRule="auto"/>
        <w:ind w:hanging="360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>il coefficiente per la valorizzazione di modifiche del perimetro gestionale con riferimento ad aspetti tecnici e/o operativi (</w:t>
      </w:r>
      <w:r>
        <w:rPr>
          <w:rFonts w:ascii="Cambria Math" w:eastAsia="Times New Roman" w:hAnsi="Cambria Math"/>
          <w:color w:val="000000"/>
          <w:sz w:val="22"/>
          <w:szCs w:val="24"/>
        </w:rPr>
        <w:t>𝑃𝐺𝑎</w:t>
      </w:r>
      <w:r>
        <w:rPr>
          <w:rFonts w:ascii="Arial" w:eastAsia="Times New Roman" w:hAnsi="Arial"/>
          <w:color w:val="000000"/>
          <w:sz w:val="22"/>
          <w:szCs w:val="24"/>
        </w:rPr>
        <w:t xml:space="preserve">); </w:t>
      </w:r>
    </w:p>
    <w:p w:rsidR="00ED4406" w:rsidRDefault="00ED4406">
      <w:pPr>
        <w:widowControl/>
        <w:spacing w:after="50" w:line="276" w:lineRule="auto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spacing w:line="276" w:lineRule="auto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Sono stati valorizzati come indicato dalla tabella che segue per le seguenti ragioni: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05"/>
        <w:gridCol w:w="1984"/>
      </w:tblGrid>
      <w:tr w:rsidR="00ED4406">
        <w:trPr>
          <w:trHeight w:val="34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</w:rPr>
              <w:t>parametro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</w:rPr>
              <w:t>valore</w:t>
            </w:r>
          </w:p>
        </w:tc>
      </w:tr>
      <w:tr w:rsidR="00ED4406">
        <w:trPr>
          <w:trHeight w:val="121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Coefficiente di recupero di produttività -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0,10</w:t>
            </w:r>
          </w:p>
        </w:tc>
      </w:tr>
      <w:tr w:rsidR="00ED4406">
        <w:trPr>
          <w:trHeight w:val="236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Coeff. per il miglioramento previsto della qualità -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QLa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0,00</w:t>
            </w:r>
          </w:p>
        </w:tc>
      </w:tr>
      <w:tr w:rsidR="00ED4406">
        <w:trPr>
          <w:trHeight w:val="12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Coeff. per la valorizzazione di modifiche del perimetro gestionale -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PGa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0,00</w:t>
            </w:r>
          </w:p>
        </w:tc>
      </w:tr>
      <w:tr w:rsidR="00ED4406">
        <w:trPr>
          <w:trHeight w:val="12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Coeff. per eventi imprevedibili ed eccezionali - </w:t>
            </w:r>
            <w:r>
              <w:rPr>
                <w:rFonts w:ascii="Cambria Math" w:eastAsia="Times New Roman" w:hAnsi="Cambria Math"/>
                <w:b/>
                <w:color w:val="000000"/>
                <w:sz w:val="22"/>
              </w:rPr>
              <w:t>𝐶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19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0,00</w:t>
            </w:r>
          </w:p>
        </w:tc>
      </w:tr>
    </w:tbl>
    <w:p w:rsidR="00ED4406" w:rsidRDefault="00ED4406">
      <w:pPr>
        <w:widowControl/>
        <w:rPr>
          <w:rFonts w:ascii="Arial" w:eastAsia="Times New Roman" w:hAnsi="Arial"/>
          <w:color w:val="000000"/>
          <w:sz w:val="22"/>
        </w:rPr>
      </w:pPr>
    </w:p>
    <w:p w:rsidR="00AF1016" w:rsidRPr="00D25701" w:rsidRDefault="00AF1016" w:rsidP="00AF1016">
      <w:pPr>
        <w:widowControl/>
        <w:spacing w:line="360" w:lineRule="auto"/>
        <w:rPr>
          <w:rFonts w:ascii="Arial" w:hAnsi="Arial"/>
          <w:sz w:val="22"/>
        </w:rPr>
      </w:pPr>
      <w:r w:rsidRPr="00D25701">
        <w:rPr>
          <w:rFonts w:ascii="Arial" w:hAnsi="Arial"/>
          <w:b/>
          <w:bCs/>
          <w:sz w:val="22"/>
        </w:rPr>
        <w:t>Xa</w:t>
      </w:r>
      <w:r w:rsidRPr="00D25701">
        <w:rPr>
          <w:rFonts w:ascii="Arial" w:hAnsi="Arial"/>
          <w:sz w:val="22"/>
        </w:rPr>
        <w:t xml:space="preserve">- coefficiente di recupero di produttività - il cui valore può essere compreso tra 0,10% e 0,50%, </w:t>
      </w:r>
      <w:r w:rsidRPr="00D25701">
        <w:rPr>
          <w:rFonts w:ascii="Arial" w:hAnsi="Arial"/>
          <w:b/>
          <w:bCs/>
          <w:i/>
          <w:iCs/>
          <w:sz w:val="22"/>
        </w:rPr>
        <w:t>è stato quantificato come sopra</w:t>
      </w:r>
      <w:r w:rsidRPr="00D25701">
        <w:rPr>
          <w:rFonts w:ascii="Arial" w:hAnsi="Arial"/>
          <w:sz w:val="22"/>
        </w:rPr>
        <w:t xml:space="preserve"> perché non si prevede il verificarsi delle eccezioni previste al comma 4.1 del MTR così come meglio descritte nel successivo paragrafo 4.4.</w:t>
      </w:r>
    </w:p>
    <w:p w:rsidR="00AF1016" w:rsidRPr="00D25701" w:rsidRDefault="00AF1016" w:rsidP="00AF1016">
      <w:pPr>
        <w:widowControl/>
        <w:spacing w:line="360" w:lineRule="auto"/>
        <w:rPr>
          <w:rFonts w:ascii="Arial" w:hAnsi="Arial"/>
          <w:sz w:val="22"/>
        </w:rPr>
      </w:pPr>
    </w:p>
    <w:p w:rsidR="00AF1016" w:rsidRDefault="00AF1016" w:rsidP="00AF1016">
      <w:pPr>
        <w:widowControl/>
        <w:spacing w:line="360" w:lineRule="auto"/>
        <w:rPr>
          <w:rFonts w:ascii="Arial" w:hAnsi="Arial"/>
          <w:sz w:val="22"/>
        </w:rPr>
      </w:pPr>
      <w:r w:rsidRPr="00D25701">
        <w:rPr>
          <w:rFonts w:ascii="Arial" w:hAnsi="Arial"/>
          <w:b/>
          <w:bCs/>
          <w:sz w:val="22"/>
        </w:rPr>
        <w:t>QLa</w:t>
      </w:r>
      <w:r w:rsidRPr="00D25701">
        <w:rPr>
          <w:rFonts w:ascii="Arial" w:hAnsi="Arial"/>
          <w:sz w:val="22"/>
        </w:rPr>
        <w:t xml:space="preserve"> - coefficiente per il miglioramento previsto della qualità e delle caratteristiche delle prestazioni erogate agli utenti, ad es. in caso di previsioni di significativi incrementi della percentuale di raccolta differenziata, di frequenza maggiore nelle attività di spazzamento e di raccolta, incrementi nei livelli di riutilizzo e riciclo, etc.) - il cui valore può essere compreso tra 0% e 2%, </w:t>
      </w:r>
      <w:r w:rsidRPr="00D25701">
        <w:rPr>
          <w:rFonts w:ascii="Arial" w:hAnsi="Arial"/>
          <w:b/>
          <w:bCs/>
          <w:i/>
          <w:iCs/>
          <w:sz w:val="22"/>
        </w:rPr>
        <w:t>non è stato valorizzato</w:t>
      </w:r>
      <w:r w:rsidRPr="00D25701">
        <w:rPr>
          <w:rFonts w:ascii="Arial" w:hAnsi="Arial"/>
          <w:sz w:val="22"/>
        </w:rPr>
        <w:t xml:space="preserve"> in quanto non si prevedono modifiche sostanziali alla qualità e alle caratteristiche delle prestazioni che verranno erogate agli utenti nel corso dell’anno.</w:t>
      </w:r>
    </w:p>
    <w:p w:rsidR="00AF1016" w:rsidRDefault="00AF1016" w:rsidP="00AF1016">
      <w:pPr>
        <w:pStyle w:val="Default"/>
        <w:widowControl/>
        <w:spacing w:line="360" w:lineRule="auto"/>
        <w:jc w:val="both"/>
        <w:rPr>
          <w:rFonts w:ascii="Arial" w:hAnsi="Arial"/>
          <w:b/>
          <w:sz w:val="22"/>
        </w:rPr>
      </w:pPr>
    </w:p>
    <w:p w:rsidR="00AF1016" w:rsidRDefault="00AF1016" w:rsidP="00AF1016">
      <w:pPr>
        <w:pStyle w:val="Default"/>
        <w:widowControl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PG</w:t>
      </w:r>
      <w:r>
        <w:rPr>
          <w:rFonts w:ascii="Arial" w:hAnsi="Arial"/>
          <w:b/>
          <w:sz w:val="14"/>
        </w:rPr>
        <w:t>a</w:t>
      </w:r>
      <w:r>
        <w:rPr>
          <w:rFonts w:ascii="Arial" w:hAnsi="Arial"/>
          <w:sz w:val="22"/>
        </w:rPr>
        <w:t xml:space="preserve">-  coefficiente per la valorizzazione di modifiche del perimetro gestionale con riferimento ad aspetti tecnici e/o operativi, con valori compresi tra 0 e 3% (ad esempio passaggio dalla raccolta stradale alla raccolta porta a porta) - il cui valore può essere compreso tra 0% e 3%, </w:t>
      </w:r>
      <w:r w:rsidRPr="00D25701">
        <w:rPr>
          <w:rFonts w:ascii="Arial" w:hAnsi="Arial"/>
          <w:b/>
          <w:bCs/>
          <w:i/>
          <w:iCs/>
          <w:sz w:val="22"/>
        </w:rPr>
        <w:t>non è stato valorizzato</w:t>
      </w:r>
      <w:r w:rsidRPr="00D25701">
        <w:rPr>
          <w:rFonts w:ascii="Arial" w:hAnsi="Arial"/>
          <w:sz w:val="22"/>
        </w:rPr>
        <w:t xml:space="preserve"> in quanto il perimetro gestionale non ha subito modifiche nel corso dell’anno.</w:t>
      </w:r>
    </w:p>
    <w:p w:rsidR="00AF1016" w:rsidRDefault="00AF1016" w:rsidP="00AF1016">
      <w:pPr>
        <w:widowControl/>
        <w:spacing w:line="276" w:lineRule="auto"/>
        <w:rPr>
          <w:rFonts w:ascii="Arial" w:hAnsi="Arial"/>
          <w:color w:val="000000"/>
          <w:sz w:val="22"/>
        </w:rPr>
      </w:pPr>
    </w:p>
    <w:p w:rsidR="00AF1016" w:rsidRDefault="00AF1016" w:rsidP="00AF1016">
      <w:pPr>
        <w:widowControl/>
        <w:spacing w:line="360" w:lineRule="auto"/>
        <w:rPr>
          <w:rFonts w:ascii="Arial" w:hAnsi="Arial"/>
          <w:color w:val="000000"/>
          <w:sz w:val="22"/>
        </w:rPr>
      </w:pPr>
      <w:r>
        <w:rPr>
          <w:rFonts w:ascii="Cambria Math" w:hAnsi="Cambria Math"/>
          <w:b/>
          <w:color w:val="000000"/>
          <w:sz w:val="22"/>
        </w:rPr>
        <w:t>𝐶</w:t>
      </w:r>
      <w:r>
        <w:rPr>
          <w:rFonts w:ascii="Arial" w:hAnsi="Arial"/>
          <w:b/>
          <w:color w:val="000000"/>
          <w:sz w:val="22"/>
        </w:rPr>
        <w:t>19</w:t>
      </w:r>
      <w:r>
        <w:rPr>
          <w:rFonts w:ascii="Arial" w:hAnsi="Arial"/>
          <w:b/>
          <w:color w:val="000000"/>
          <w:sz w:val="16"/>
        </w:rPr>
        <w:t xml:space="preserve">2020 </w:t>
      </w:r>
      <w:r>
        <w:rPr>
          <w:rFonts w:ascii="Arial" w:hAnsi="Arial"/>
          <w:color w:val="000000"/>
          <w:sz w:val="22"/>
        </w:rPr>
        <w:t xml:space="preserve">– coefficiente che tiene conto dei costi derivanti da eventi imprevedibili ed eccezionali sostenuti per garantire la continuità e il mantenimento dei livelli di qualità del servizio a seguito dell’emergenza da COVID 19, il cui valore può essere compreso tra 0% e 3%, </w:t>
      </w:r>
      <w:r w:rsidRPr="0032299C">
        <w:rPr>
          <w:rFonts w:ascii="Arial" w:hAnsi="Arial"/>
          <w:b/>
          <w:bCs/>
          <w:i/>
          <w:iCs/>
          <w:color w:val="000000"/>
          <w:sz w:val="22"/>
        </w:rPr>
        <w:t>non è stato valorizzato</w:t>
      </w:r>
      <w:r>
        <w:rPr>
          <w:rFonts w:ascii="Arial" w:hAnsi="Arial"/>
          <w:color w:val="000000"/>
          <w:sz w:val="22"/>
        </w:rPr>
        <w:t xml:space="preserve"> in quanto non si prevedono gli interventi di cui all’art 4.3 bis del MTR.</w:t>
      </w:r>
    </w:p>
    <w:p w:rsidR="00ED4406" w:rsidRDefault="00ED4406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</w:p>
    <w:p w:rsidR="00ED4406" w:rsidRDefault="00B2205D">
      <w:pPr>
        <w:pStyle w:val="Titolo2"/>
        <w:widowControl/>
        <w:rPr>
          <w:rFonts w:ascii="Arial" w:eastAsia="Times New Roman" w:hAnsi="Arial"/>
          <w:bCs w:val="0"/>
          <w:color w:val="000000"/>
          <w:sz w:val="22"/>
        </w:rPr>
      </w:pPr>
      <w:r>
        <w:rPr>
          <w:rFonts w:ascii="Arial" w:eastAsia="Times New Roman" w:hAnsi="Arial"/>
          <w:bCs w:val="0"/>
          <w:color w:val="000000"/>
          <w:sz w:val="22"/>
        </w:rPr>
        <w:lastRenderedPageBreak/>
        <w:t xml:space="preserve">4.3 </w:t>
      </w:r>
      <w:r w:rsidR="00ED4406">
        <w:rPr>
          <w:rFonts w:ascii="Arial" w:eastAsia="Times New Roman" w:hAnsi="Arial"/>
          <w:bCs w:val="0"/>
          <w:color w:val="000000"/>
          <w:sz w:val="22"/>
        </w:rPr>
        <w:t>Costi operativi incentivanti</w:t>
      </w:r>
    </w:p>
    <w:p w:rsidR="00ED4406" w:rsidRDefault="00ED4406">
      <w:pPr>
        <w:widowControl/>
        <w:spacing w:line="276" w:lineRule="auto"/>
        <w:rPr>
          <w:rFonts w:eastAsia="Times New Roman"/>
          <w:color w:val="000000"/>
        </w:rPr>
      </w:pPr>
    </w:p>
    <w:p w:rsidR="00ED4406" w:rsidRDefault="00ED4406" w:rsidP="00DF1767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 xml:space="preserve">Il Comune di ANTRODOCO, in qualità di Ente territorialmente competente, </w:t>
      </w:r>
      <w:r w:rsidR="00DF1767" w:rsidRPr="00DF1767">
        <w:rPr>
          <w:rFonts w:ascii="Arial" w:eastAsia="Times New Roman" w:hAnsi="Arial"/>
          <w:b/>
          <w:color w:val="000000"/>
          <w:sz w:val="22"/>
        </w:rPr>
        <w:t>non</w:t>
      </w:r>
      <w:r>
        <w:rPr>
          <w:rFonts w:ascii="Arial" w:eastAsia="Times New Roman" w:hAnsi="Arial"/>
          <w:b/>
          <w:color w:val="000000"/>
          <w:sz w:val="22"/>
        </w:rPr>
        <w:t>ha valorizzato le  componenti</w:t>
      </w:r>
      <w:r>
        <w:rPr>
          <w:noProof/>
        </w:rPr>
        <w:drawing>
          <wp:inline distT="0" distB="0" distL="0" distR="0">
            <wp:extent cx="466725" cy="2000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/>
          <w:i/>
          <w:color w:val="000000"/>
          <w:sz w:val="22"/>
        </w:rPr>
        <w:t xml:space="preserve"> e </w:t>
      </w:r>
      <w:r>
        <w:rPr>
          <w:noProof/>
        </w:rPr>
        <w:drawing>
          <wp:inline distT="0" distB="0" distL="0" distR="0">
            <wp:extent cx="466725" cy="2000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/>
          <w:b/>
          <w:color w:val="000000"/>
          <w:sz w:val="22"/>
        </w:rPr>
        <w:t>,</w:t>
      </w:r>
      <w:r>
        <w:rPr>
          <w:rFonts w:ascii="Arial" w:eastAsia="Times New Roman" w:hAnsi="Arial"/>
          <w:color w:val="000000"/>
          <w:sz w:val="22"/>
        </w:rPr>
        <w:t xml:space="preserve"> ai sensi di quanto previsto dall’art. 8 del MTR in relazione alle seguenti previsioni di intervento nell’ottica di promuovere il miglioramento dei livelli di qualità del servizio o modifiche del perimetro gestionale del servizio.</w:t>
      </w:r>
    </w:p>
    <w:p w:rsidR="00ED4406" w:rsidRDefault="00ED4406">
      <w:pPr>
        <w:widowControl/>
        <w:spacing w:line="276" w:lineRule="auto"/>
        <w:rPr>
          <w:rFonts w:ascii="Arial" w:eastAsia="Times New Roman" w:hAnsi="Arial"/>
          <w:color w:val="000000"/>
          <w:sz w:val="22"/>
        </w:rPr>
      </w:pPr>
    </w:p>
    <w:p w:rsidR="00ED4406" w:rsidRDefault="00B2205D">
      <w:pPr>
        <w:pStyle w:val="Titolo2"/>
        <w:widowControl/>
        <w:rPr>
          <w:rFonts w:ascii="Arial" w:eastAsia="Times New Roman" w:hAnsi="Arial"/>
          <w:bCs w:val="0"/>
          <w:color w:val="000000"/>
          <w:sz w:val="22"/>
        </w:rPr>
      </w:pPr>
      <w:r>
        <w:rPr>
          <w:rFonts w:ascii="Arial" w:eastAsia="Times New Roman" w:hAnsi="Arial"/>
          <w:bCs w:val="0"/>
          <w:color w:val="000000"/>
          <w:sz w:val="22"/>
        </w:rPr>
        <w:t xml:space="preserve">4.4 </w:t>
      </w:r>
      <w:r w:rsidR="00ED4406">
        <w:rPr>
          <w:rFonts w:ascii="Arial" w:eastAsia="Times New Roman" w:hAnsi="Arial"/>
          <w:bCs w:val="0"/>
          <w:color w:val="000000"/>
          <w:sz w:val="22"/>
        </w:rPr>
        <w:t xml:space="preserve">Eventuale superamento del limite alla crescita annuale delle entrate tariffarie </w:t>
      </w:r>
    </w:p>
    <w:p w:rsidR="00ED4406" w:rsidRDefault="00ED4406">
      <w:pPr>
        <w:widowControl/>
        <w:rPr>
          <w:rFonts w:eastAsia="Times New Roman"/>
          <w:color w:val="000000"/>
        </w:rPr>
      </w:pPr>
    </w:p>
    <w:p w:rsidR="00ED4406" w:rsidRDefault="00ED4406" w:rsidP="00F505BA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Il Comune di ANTRODOCO, in qualità di Ente terr</w:t>
      </w:r>
      <w:r w:rsidR="00F505BA">
        <w:rPr>
          <w:rFonts w:ascii="Arial" w:eastAsia="Times New Roman" w:hAnsi="Arial"/>
          <w:color w:val="000000"/>
          <w:sz w:val="22"/>
        </w:rPr>
        <w:t xml:space="preserve">itorialmente competente, </w:t>
      </w:r>
      <w:r>
        <w:rPr>
          <w:rFonts w:ascii="Arial" w:eastAsia="Times New Roman" w:hAnsi="Arial"/>
          <w:color w:val="000000"/>
          <w:sz w:val="22"/>
        </w:rPr>
        <w:t xml:space="preserve">per assicurare il raggiungimento dei previsti miglioramenti di qualità ovvero per sostenere il processo di integrazione delle attività gestite, </w:t>
      </w:r>
      <w:r>
        <w:rPr>
          <w:rFonts w:ascii="Arial" w:eastAsia="Times New Roman" w:hAnsi="Arial"/>
          <w:b/>
          <w:color w:val="000000"/>
          <w:sz w:val="22"/>
        </w:rPr>
        <w:t>ha identificato</w:t>
      </w:r>
      <w:r>
        <w:rPr>
          <w:rFonts w:ascii="Arial" w:eastAsia="Times New Roman" w:hAnsi="Arial"/>
          <w:color w:val="000000"/>
          <w:sz w:val="22"/>
        </w:rPr>
        <w:t xml:space="preserve"> il parametro per la determinazione del limite di crescita come da paragrafo 4.2 della presente relazione e pertanto</w:t>
      </w:r>
      <w:r w:rsidR="00F505BA" w:rsidRPr="00F505BA">
        <w:rPr>
          <w:rFonts w:ascii="Arial" w:eastAsia="Times New Roman" w:hAnsi="Arial"/>
          <w:b/>
          <w:color w:val="000000"/>
          <w:sz w:val="22"/>
        </w:rPr>
        <w:t>rientra</w:t>
      </w:r>
      <w:r>
        <w:rPr>
          <w:rFonts w:ascii="Arial" w:eastAsia="Times New Roman" w:hAnsi="Arial"/>
          <w:color w:val="000000"/>
          <w:sz w:val="22"/>
        </w:rPr>
        <w:t>nei limiti imposti dall’Autorità, come di seguito evidenziato:</w:t>
      </w:r>
    </w:p>
    <w:tbl>
      <w:tblPr>
        <w:tblW w:w="9519" w:type="dxa"/>
        <w:tblInd w:w="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51"/>
        <w:gridCol w:w="2268"/>
      </w:tblGrid>
      <w:tr w:rsidR="00ED4406">
        <w:trPr>
          <w:trHeight w:val="567"/>
        </w:trPr>
        <w:tc>
          <w:tcPr>
            <w:tcW w:w="7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ED4406" w:rsidRDefault="00ED4406">
            <w:pPr>
              <w:widowControl/>
              <w:rPr>
                <w:rFonts w:ascii="Arial" w:eastAsia="Times New Roman" w:hAnsi="Arial"/>
                <w:b/>
                <w:color w:val="000000"/>
              </w:rPr>
            </w:pPr>
            <w:r>
              <w:rPr>
                <w:rFonts w:ascii="Arial" w:eastAsia="Times New Roman" w:hAnsi="Arial"/>
                <w:b/>
                <w:color w:val="000000"/>
                <w:sz w:val="22"/>
              </w:rPr>
              <w:t>Verifica del limite di crescita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</w:rPr>
            </w:pP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ED4406" w:rsidRDefault="00ED4406">
            <w:pPr>
              <w:widowControl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rpi</w:t>
            </w:r>
            <w:r>
              <w:rPr>
                <w:rFonts w:ascii="Arial" w:eastAsia="Times New Roman" w:hAnsi="Arial"/>
                <w:color w:val="000000"/>
                <w:sz w:val="20"/>
                <w:vertAlign w:val="subscript"/>
              </w:rPr>
              <w:t>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1,70      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coeff. di recupero di produttività -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X</w:t>
            </w:r>
            <w:r>
              <w:rPr>
                <w:rFonts w:ascii="Arial" w:eastAsia="Times New Roman" w:hAnsi="Arial"/>
                <w:color w:val="000000"/>
                <w:sz w:val="20"/>
                <w:vertAlign w:val="subscript"/>
              </w:rPr>
              <w:t>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0,10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coeff. per il miglioramento previsto della qualità -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QL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0,00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coeff. per la valorizzazione di modifiche del perimetro gestionale -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PG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0,00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rPr>
                <w:rFonts w:ascii="Arial" w:eastAsia="Times New Roman" w:hAnsi="Arial"/>
                <w:color w:val="000000"/>
                <w:sz w:val="20"/>
              </w:rPr>
            </w:pPr>
            <w:bookmarkStart w:id="0" w:name="_Hlk60992690"/>
            <w:bookmarkEnd w:id="0"/>
            <w:r>
              <w:rPr>
                <w:rFonts w:ascii="Arial" w:eastAsia="Times New Roman" w:hAnsi="Arial"/>
                <w:color w:val="000000"/>
                <w:sz w:val="20"/>
              </w:rPr>
              <w:t xml:space="preserve">coeff. per eventi imprevedibili ed eccezionali - </w:t>
            </w:r>
            <w:r>
              <w:rPr>
                <w:rFonts w:ascii="Cambria Math" w:eastAsia="Times New Roman" w:hAnsi="Cambria Math"/>
                <w:b/>
                <w:color w:val="000000"/>
                <w:sz w:val="20"/>
              </w:rPr>
              <w:t>𝐶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19</w:t>
            </w:r>
            <w:r>
              <w:rPr>
                <w:rFonts w:ascii="Arial" w:eastAsia="Times New Roman" w:hAnsi="Arial"/>
                <w:b/>
                <w:color w:val="000000"/>
                <w:sz w:val="16"/>
              </w:rPr>
              <w:t>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0,00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Parametro per la determinazione del limite alla crescita delle tariffe – p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1,60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(1+p)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   1,0160</w:t>
            </w:r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 ∑T</w:t>
            </w:r>
            <w:r>
              <w:rPr>
                <w:rFonts w:ascii="Arial" w:eastAsia="Times New Roman" w:hAnsi="Arial"/>
                <w:color w:val="000000"/>
                <w:sz w:val="20"/>
                <w:vertAlign w:val="subscript"/>
              </w:rPr>
              <w:t>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00227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hyperlink r:id="rId10" w:history="1">
              <w:r w:rsidR="00ED4406">
                <w:rPr>
                  <w:rFonts w:ascii="Arial" w:eastAsia="Times New Roman" w:hAnsi="Arial"/>
                  <w:b/>
                  <w:color w:val="000000"/>
                  <w:sz w:val="20"/>
                </w:rPr>
                <w:t>382.455,18 €</w:t>
              </w:r>
            </w:hyperlink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 ∑T</w:t>
            </w:r>
            <w:r>
              <w:rPr>
                <w:rFonts w:ascii="Arial" w:eastAsia="Times New Roman" w:hAnsi="Arial"/>
                <w:color w:val="000000"/>
                <w:sz w:val="20"/>
                <w:vertAlign w:val="subscript"/>
              </w:rPr>
              <w:t>a-1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00227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hyperlink r:id="rId11" w:history="1">
              <w:r w:rsidR="00ED4406">
                <w:rPr>
                  <w:rFonts w:ascii="Arial" w:eastAsia="Times New Roman" w:hAnsi="Arial"/>
                  <w:b/>
                  <w:color w:val="000000"/>
                  <w:sz w:val="20"/>
                </w:rPr>
                <w:t>376.432,27 €</w:t>
              </w:r>
            </w:hyperlink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∑T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a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/ ∑T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a-1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     1,01</w:t>
            </w:r>
          </w:p>
        </w:tc>
      </w:tr>
    </w:tbl>
    <w:p w:rsidR="00ED4406" w:rsidRDefault="00ED4406">
      <w:pPr>
        <w:widowControl/>
        <w:rPr>
          <w:rFonts w:eastAsia="Times New Roman"/>
          <w:color w:val="000000"/>
          <w:sz w:val="20"/>
        </w:rPr>
      </w:pPr>
    </w:p>
    <w:tbl>
      <w:tblPr>
        <w:tblW w:w="9519" w:type="dxa"/>
        <w:tblInd w:w="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51"/>
        <w:gridCol w:w="2268"/>
      </w:tblGrid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∑T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max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(entrate tariffarie massime nel limite del limite di crescita)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00227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hyperlink r:id="rId12" w:history="1">
              <w:r w:rsidR="00ED4406">
                <w:rPr>
                  <w:rFonts w:ascii="Arial" w:eastAsia="Times New Roman" w:hAnsi="Arial"/>
                  <w:b/>
                  <w:color w:val="000000"/>
                  <w:sz w:val="20"/>
                </w:rPr>
                <w:t>382.455,18 €</w:t>
              </w:r>
            </w:hyperlink>
          </w:p>
        </w:tc>
      </w:tr>
      <w:tr w:rsidR="00ED4406">
        <w:trPr>
          <w:trHeight w:val="283"/>
        </w:trPr>
        <w:tc>
          <w:tcPr>
            <w:tcW w:w="7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delta (∑T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a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- ∑T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max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00227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hyperlink r:id="rId13" w:history="1">
              <w:r w:rsidR="00ED4406">
                <w:rPr>
                  <w:rFonts w:ascii="Arial" w:eastAsia="Times New Roman" w:hAnsi="Arial"/>
                  <w:b/>
                  <w:color w:val="000000"/>
                  <w:sz w:val="20"/>
                </w:rPr>
                <w:t>0,00 €</w:t>
              </w:r>
            </w:hyperlink>
          </w:p>
        </w:tc>
      </w:tr>
    </w:tbl>
    <w:p w:rsidR="00ED4406" w:rsidRDefault="00ED4406">
      <w:pPr>
        <w:widowControl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rPr>
          <w:rFonts w:ascii="Arial" w:eastAsia="Times New Roman" w:hAnsi="Arial"/>
          <w:i/>
          <w:color w:val="000000"/>
          <w:sz w:val="22"/>
          <w:highlight w:val="cyan"/>
          <w:shd w:val="clear" w:color="auto" w:fill="00FFFF"/>
        </w:rPr>
      </w:pPr>
    </w:p>
    <w:p w:rsidR="00ED4406" w:rsidRDefault="00B2205D">
      <w:pPr>
        <w:pStyle w:val="Titolo2"/>
        <w:widowControl/>
        <w:rPr>
          <w:rFonts w:ascii="Arial" w:eastAsia="Times New Roman" w:hAnsi="Arial"/>
          <w:bCs w:val="0"/>
          <w:color w:val="000000"/>
          <w:sz w:val="22"/>
        </w:rPr>
      </w:pPr>
      <w:r>
        <w:rPr>
          <w:rFonts w:ascii="Arial" w:eastAsia="Times New Roman" w:hAnsi="Arial"/>
          <w:bCs w:val="0"/>
          <w:color w:val="000000"/>
          <w:sz w:val="22"/>
        </w:rPr>
        <w:t xml:space="preserve">4.5 </w:t>
      </w:r>
      <w:r w:rsidR="00ED4406">
        <w:rPr>
          <w:rFonts w:ascii="Arial" w:eastAsia="Times New Roman" w:hAnsi="Arial"/>
          <w:bCs w:val="0"/>
          <w:color w:val="000000"/>
          <w:sz w:val="22"/>
        </w:rPr>
        <w:t xml:space="preserve">Focus sulla gradualità per le annualità 2019 </w:t>
      </w:r>
    </w:p>
    <w:p w:rsidR="00ED4406" w:rsidRDefault="00ED4406">
      <w:pPr>
        <w:widowControl/>
        <w:rPr>
          <w:rFonts w:eastAsia="Times New Roman"/>
          <w:color w:val="000000"/>
        </w:rPr>
      </w:pPr>
    </w:p>
    <w:p w:rsidR="00ED4406" w:rsidRDefault="00ED4406" w:rsidP="00D80B53">
      <w:pPr>
        <w:pStyle w:val="commi"/>
        <w:widowControl/>
        <w:tabs>
          <w:tab w:val="clear" w:pos="567"/>
        </w:tabs>
        <w:spacing w:line="360" w:lineRule="auto"/>
        <w:ind w:left="0" w:firstLine="0"/>
        <w:rPr>
          <w:rStyle w:val="Enfasicorsivo"/>
          <w:rFonts w:ascii="Arial" w:eastAsia="Times New Roman" w:hAnsi="Arial"/>
          <w:i w:val="0"/>
          <w:iCs w:val="0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 xml:space="preserve">Il Comune di ANTRODOCO, in qualità di Ente territorialmente competente, </w:t>
      </w:r>
      <w:r>
        <w:rPr>
          <w:rStyle w:val="Enfasicorsivo"/>
          <w:rFonts w:ascii="Arial" w:eastAsia="Times New Roman" w:hAnsi="Arial"/>
          <w:i w:val="0"/>
          <w:iCs w:val="0"/>
          <w:color w:val="000000"/>
          <w:sz w:val="22"/>
        </w:rPr>
        <w:t>valorizza attraverso i coefficienti γ il servizio reso ai cittadini tramite il Gestore dei servizi e può influenzare la tariffa a valere sul 2021 per effetto della componente RC.</w:t>
      </w:r>
      <w:r>
        <w:rPr>
          <w:rFonts w:ascii="Arial" w:eastAsia="Times New Roman" w:hAnsi="Arial"/>
          <w:i/>
          <w:color w:val="000000"/>
          <w:sz w:val="22"/>
        </w:rPr>
        <w:br/>
      </w:r>
      <w:r>
        <w:rPr>
          <w:rStyle w:val="Enfasicorsivo"/>
          <w:rFonts w:ascii="Arial" w:eastAsia="Times New Roman" w:hAnsi="Arial"/>
          <w:i w:val="0"/>
          <w:iCs w:val="0"/>
          <w:color w:val="000000"/>
          <w:sz w:val="22"/>
        </w:rPr>
        <w:t xml:space="preserve">La componente RC - applicata sia ai costi fissi che a quelli variabili – consente di intercettare gli scostamenti tra i costi effettivamente risultanti dalle fonti contabili di riferimento per gli anni 2019 (e 2020 per le entrate tariffarie 2022) ottenuti riattualizzando i costi del 2018 e le “pertinenti entrate tariffarie dei suddetti anni”. </w:t>
      </w:r>
    </w:p>
    <w:p w:rsidR="00ED4406" w:rsidRDefault="00ED4406" w:rsidP="00D80B53">
      <w:pPr>
        <w:pStyle w:val="commi"/>
        <w:widowControl/>
        <w:tabs>
          <w:tab w:val="clear" w:pos="567"/>
        </w:tabs>
        <w:spacing w:line="360" w:lineRule="auto"/>
        <w:ind w:left="0" w:firstLine="0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lastRenderedPageBreak/>
        <w:t xml:space="preserve">L’Ente territorialmente competente, sulla base dei dati comunicati dal gestore, </w:t>
      </w:r>
      <w:r>
        <w:rPr>
          <w:rFonts w:ascii="Arial" w:eastAsia="Times New Roman" w:hAnsi="Arial"/>
          <w:b/>
          <w:color w:val="000000"/>
          <w:sz w:val="22"/>
        </w:rPr>
        <w:t>ha determinato</w:t>
      </w:r>
      <w:r>
        <w:rPr>
          <w:rFonts w:ascii="Arial" w:eastAsia="Times New Roman" w:hAnsi="Arial"/>
          <w:color w:val="000000"/>
          <w:sz w:val="22"/>
        </w:rPr>
        <w:t xml:space="preserve"> i valori γ_(1,a),γ_(2.a),γ_(3.a) di cui all’art. 16 del MTR per la quantificazione del coefficiente di gradualità (1+γ_a ), come segue:</w:t>
      </w:r>
    </w:p>
    <w:p w:rsidR="00ED4406" w:rsidRDefault="00ED4406">
      <w:pPr>
        <w:pStyle w:val="commi"/>
        <w:widowControl/>
        <w:tabs>
          <w:tab w:val="clear" w:pos="567"/>
        </w:tabs>
        <w:spacing w:before="0" w:after="0"/>
        <w:ind w:left="0" w:firstLine="0"/>
        <w:rPr>
          <w:rFonts w:ascii="Arial" w:eastAsia="Times New Roman" w:hAnsi="Arial"/>
          <w:color w:val="000000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05"/>
        <w:gridCol w:w="1984"/>
      </w:tblGrid>
      <w:tr w:rsidR="00ED4406">
        <w:trPr>
          <w:trHeight w:val="37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</w:rPr>
            </w:pPr>
            <w:r>
              <w:rPr>
                <w:rFonts w:ascii="Arial" w:eastAsia="Times New Roman" w:hAnsi="Arial"/>
                <w:b/>
                <w:color w:val="000000"/>
                <w:sz w:val="22"/>
              </w:rPr>
              <w:t>parametro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</w:rPr>
            </w:pPr>
            <w:r>
              <w:rPr>
                <w:rFonts w:ascii="Arial" w:eastAsia="Times New Roman" w:hAnsi="Arial"/>
                <w:b/>
                <w:color w:val="000000"/>
                <w:sz w:val="22"/>
              </w:rPr>
              <w:t>valore</w:t>
            </w:r>
          </w:p>
        </w:tc>
      </w:tr>
      <w:tr w:rsidR="00ED4406">
        <w:trPr>
          <w:trHeight w:val="121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Valutazione rispetto agli obiettivi di RD% -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γ1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-0,06</w:t>
            </w:r>
          </w:p>
        </w:tc>
      </w:tr>
      <w:tr w:rsidR="00ED4406">
        <w:trPr>
          <w:trHeight w:val="236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Valutazione rispetto all'efficacia dell'attività </w:t>
            </w:r>
            <w:r>
              <w:rPr>
                <w:rFonts w:ascii="Arial" w:eastAsia="Times New Roman" w:hAnsi="Arial"/>
                <w:color w:val="000000"/>
                <w:sz w:val="20"/>
              </w:rPr>
              <w:br/>
              <w:t xml:space="preserve">di preparazione per il riutilizzo e riciclo -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γ2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-0,20</w:t>
            </w:r>
          </w:p>
        </w:tc>
      </w:tr>
      <w:tr w:rsidR="00ED4406">
        <w:trPr>
          <w:trHeight w:val="12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Valutazione rispetto alla soddisfazione degli utenti del servizio - 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γ3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-0,05</w:t>
            </w:r>
          </w:p>
        </w:tc>
      </w:tr>
    </w:tbl>
    <w:p w:rsidR="00ED4406" w:rsidRDefault="00ED4406">
      <w:pPr>
        <w:pStyle w:val="commi"/>
        <w:widowControl/>
        <w:tabs>
          <w:tab w:val="clear" w:pos="567"/>
        </w:tabs>
        <w:spacing w:before="0" w:after="0"/>
        <w:ind w:left="0" w:firstLine="0"/>
        <w:rPr>
          <w:rFonts w:ascii="Arial" w:eastAsia="Times New Roman" w:hAnsi="Arial"/>
          <w:color w:val="000000"/>
          <w:sz w:val="22"/>
        </w:rPr>
      </w:pPr>
    </w:p>
    <w:p w:rsidR="00ED4406" w:rsidRDefault="00ED4406" w:rsidP="00D80B53">
      <w:pPr>
        <w:pStyle w:val="commi"/>
        <w:widowControl/>
        <w:tabs>
          <w:tab w:val="clear" w:pos="567"/>
        </w:tabs>
        <w:spacing w:before="0" w:after="0" w:line="360" w:lineRule="auto"/>
        <w:ind w:left="0" w:firstLine="0"/>
        <w:rPr>
          <w:rStyle w:val="Enfasicorsivo"/>
          <w:rFonts w:ascii="Arial" w:eastAsia="Times New Roman" w:hAnsi="Arial"/>
          <w:i w:val="0"/>
          <w:iCs w:val="0"/>
          <w:color w:val="000000"/>
          <w:sz w:val="22"/>
        </w:rPr>
      </w:pPr>
      <w:r>
        <w:rPr>
          <w:rStyle w:val="Enfasicorsivo"/>
          <w:rFonts w:ascii="Arial" w:eastAsia="Times New Roman" w:hAnsi="Arial"/>
          <w:i w:val="0"/>
          <w:iCs w:val="0"/>
          <w:color w:val="000000"/>
          <w:sz w:val="22"/>
        </w:rPr>
        <w:t>I parametri γ di qualità del servizio reso, denominati γ1, γ2 e γ3, si riferiscono, rispettivamente, alla qualità e alle prestazioni del Gestore in tema di “% di differenziata”, “performance di riutilizzo/riciclo” e “soddisfazione utenti”, come da tabella sottostante:</w:t>
      </w:r>
    </w:p>
    <w:p w:rsidR="00ED4406" w:rsidRDefault="00ED4406">
      <w:pPr>
        <w:pStyle w:val="commi"/>
        <w:widowControl/>
        <w:tabs>
          <w:tab w:val="clear" w:pos="567"/>
        </w:tabs>
        <w:spacing w:before="0" w:after="0" w:line="276" w:lineRule="auto"/>
        <w:ind w:left="0" w:firstLine="0"/>
        <w:rPr>
          <w:rStyle w:val="Enfasicorsivo"/>
          <w:rFonts w:ascii="Arial" w:eastAsia="Times New Roman" w:hAnsi="Arial"/>
          <w:i w:val="0"/>
          <w:iCs w:val="0"/>
          <w:color w:val="000000"/>
          <w:sz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843"/>
        <w:gridCol w:w="1843"/>
        <w:gridCol w:w="1984"/>
        <w:gridCol w:w="283"/>
        <w:gridCol w:w="1701"/>
        <w:gridCol w:w="1843"/>
      </w:tblGrid>
      <w:tr w:rsidR="00ED4406">
        <w:trPr>
          <w:trHeight w:val="22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color w:val="000000"/>
                <w:sz w:val="18"/>
              </w:rPr>
            </w:pPr>
            <w:r>
              <w:rPr>
                <w:rFonts w:ascii="Arial" w:eastAsia="Times New Roman" w:hAnsi="Arial"/>
                <w:color w:val="000000"/>
                <w:sz w:val="18"/>
              </w:rPr>
              <w:t>Costi superiori al benchmark di riferimento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color w:val="000000"/>
                <w:sz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color w:val="000000"/>
                <w:sz w:val="18"/>
              </w:rPr>
            </w:pPr>
            <w:r>
              <w:rPr>
                <w:rFonts w:ascii="Arial" w:eastAsia="Times New Roman" w:hAnsi="Arial"/>
                <w:color w:val="000000"/>
                <w:sz w:val="18"/>
              </w:rPr>
              <w:t>Costi inferiori o uguali al benchmark di riferimento</w:t>
            </w:r>
          </w:p>
        </w:tc>
      </w:tr>
      <w:tr w:rsidR="00ED4406">
        <w:trPr>
          <w:trHeight w:val="352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color w:val="000000"/>
                <w:sz w:val="18"/>
              </w:rPr>
            </w:pPr>
            <w:r>
              <w:rPr>
                <w:rFonts w:ascii="Arial" w:eastAsia="Times New Roman" w:hAnsi="Arial"/>
                <w:color w:val="000000"/>
                <w:sz w:val="18"/>
              </w:rPr>
              <w:t>RC</w:t>
            </w:r>
            <w:r>
              <w:rPr>
                <w:rFonts w:ascii="Arial" w:eastAsia="Times New Roman" w:hAnsi="Arial"/>
                <w:color w:val="000000"/>
                <w:sz w:val="18"/>
                <w:vertAlign w:val="subscript"/>
              </w:rPr>
              <w:t>TV,a</w:t>
            </w:r>
            <w:r>
              <w:rPr>
                <w:rFonts w:ascii="Arial" w:eastAsia="Times New Roman" w:hAnsi="Arial"/>
                <w:color w:val="000000"/>
                <w:sz w:val="18"/>
              </w:rPr>
              <w:t>+RC</w:t>
            </w:r>
            <w:r>
              <w:rPr>
                <w:rFonts w:ascii="Arial" w:eastAsia="Times New Roman" w:hAnsi="Arial"/>
                <w:color w:val="000000"/>
                <w:sz w:val="18"/>
                <w:vertAlign w:val="subscript"/>
              </w:rPr>
              <w:t>TF,a</w:t>
            </w:r>
            <w:r>
              <w:rPr>
                <w:rFonts w:ascii="Arial" w:eastAsia="Times New Roman" w:hAnsi="Arial"/>
                <w:color w:val="000000"/>
                <w:sz w:val="18"/>
              </w:rPr>
              <w:t>&gt;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  <w:r>
              <w:rPr>
                <w:rFonts w:ascii="Arial" w:eastAsia="Times New Roman" w:hAnsi="Arial"/>
                <w:color w:val="000000"/>
                <w:sz w:val="18"/>
              </w:rPr>
              <w:t>RC</w:t>
            </w:r>
            <w:r>
              <w:rPr>
                <w:rFonts w:ascii="Arial" w:eastAsia="Times New Roman" w:hAnsi="Arial"/>
                <w:color w:val="000000"/>
                <w:sz w:val="18"/>
                <w:vertAlign w:val="subscript"/>
              </w:rPr>
              <w:t>TV,a</w:t>
            </w:r>
            <w:r>
              <w:rPr>
                <w:rFonts w:ascii="Arial" w:eastAsia="Times New Roman" w:hAnsi="Arial"/>
                <w:color w:val="000000"/>
                <w:sz w:val="18"/>
              </w:rPr>
              <w:t>+RC</w:t>
            </w:r>
            <w:r>
              <w:rPr>
                <w:rFonts w:ascii="Arial" w:eastAsia="Times New Roman" w:hAnsi="Arial"/>
                <w:color w:val="000000"/>
                <w:sz w:val="18"/>
                <w:vertAlign w:val="subscript"/>
              </w:rPr>
              <w:t>TF,a</w:t>
            </w:r>
            <w:r>
              <w:rPr>
                <w:rFonts w:ascii="Arial" w:eastAsia="Times New Roman" w:hAnsi="Arial"/>
                <w:color w:val="000000"/>
                <w:sz w:val="18"/>
              </w:rPr>
              <w:t xml:space="preserve"> ≤ 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color w:val="000000"/>
                <w:sz w:val="18"/>
              </w:rPr>
            </w:pPr>
            <w:r>
              <w:rPr>
                <w:rFonts w:ascii="Arial" w:eastAsia="Times New Roman" w:hAnsi="Arial"/>
                <w:color w:val="000000"/>
                <w:sz w:val="18"/>
              </w:rPr>
              <w:t>RC</w:t>
            </w:r>
            <w:r>
              <w:rPr>
                <w:rFonts w:ascii="Arial" w:eastAsia="Times New Roman" w:hAnsi="Arial"/>
                <w:color w:val="000000"/>
                <w:sz w:val="18"/>
                <w:vertAlign w:val="subscript"/>
              </w:rPr>
              <w:t>TV,a</w:t>
            </w:r>
            <w:r>
              <w:rPr>
                <w:rFonts w:ascii="Arial" w:eastAsia="Times New Roman" w:hAnsi="Arial"/>
                <w:color w:val="000000"/>
                <w:sz w:val="18"/>
              </w:rPr>
              <w:t>+RC</w:t>
            </w:r>
            <w:r>
              <w:rPr>
                <w:rFonts w:ascii="Arial" w:eastAsia="Times New Roman" w:hAnsi="Arial"/>
                <w:color w:val="000000"/>
                <w:sz w:val="18"/>
                <w:vertAlign w:val="subscript"/>
              </w:rPr>
              <w:t>TF,a</w:t>
            </w:r>
            <w:r>
              <w:rPr>
                <w:rFonts w:ascii="Arial" w:eastAsia="Times New Roman" w:hAnsi="Arial"/>
                <w:color w:val="000000"/>
                <w:sz w:val="18"/>
              </w:rPr>
              <w:t>&gt;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  <w:r>
              <w:rPr>
                <w:rFonts w:ascii="Arial" w:eastAsia="Times New Roman" w:hAnsi="Arial"/>
                <w:color w:val="000000"/>
                <w:sz w:val="18"/>
              </w:rPr>
              <w:t>RC</w:t>
            </w:r>
            <w:r>
              <w:rPr>
                <w:rFonts w:ascii="Arial" w:eastAsia="Times New Roman" w:hAnsi="Arial"/>
                <w:color w:val="000000"/>
                <w:sz w:val="18"/>
                <w:vertAlign w:val="subscript"/>
              </w:rPr>
              <w:t>TV,a</w:t>
            </w:r>
            <w:r>
              <w:rPr>
                <w:rFonts w:ascii="Arial" w:eastAsia="Times New Roman" w:hAnsi="Arial"/>
                <w:color w:val="000000"/>
                <w:sz w:val="18"/>
              </w:rPr>
              <w:t>+RC</w:t>
            </w:r>
            <w:r>
              <w:rPr>
                <w:rFonts w:ascii="Arial" w:eastAsia="Times New Roman" w:hAnsi="Arial"/>
                <w:color w:val="000000"/>
                <w:sz w:val="18"/>
                <w:vertAlign w:val="subscript"/>
              </w:rPr>
              <w:t>TF,a</w:t>
            </w:r>
            <w:r>
              <w:rPr>
                <w:rFonts w:ascii="Arial" w:eastAsia="Times New Roman" w:hAnsi="Arial"/>
                <w:color w:val="000000"/>
                <w:sz w:val="18"/>
              </w:rPr>
              <w:t xml:space="preserve"> ≤ 0</w:t>
            </w:r>
          </w:p>
        </w:tc>
      </w:tr>
      <w:tr w:rsidR="00ED4406">
        <w:trPr>
          <w:trHeight w:val="793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textDirection w:val="btLr"/>
          </w:tcPr>
          <w:p w:rsidR="00ED4406" w:rsidRDefault="00ED4406">
            <w:pPr>
              <w:widowControl/>
              <w:ind w:left="113" w:right="113"/>
              <w:jc w:val="center"/>
              <w:rPr>
                <w:rFonts w:ascii="Arial" w:eastAsia="Times New Roman" w:hAnsi="Arial"/>
                <w:color w:val="000000"/>
                <w:sz w:val="18"/>
              </w:rPr>
            </w:pPr>
            <w:r>
              <w:rPr>
                <w:rFonts w:ascii="Arial" w:eastAsia="Times New Roman" w:hAnsi="Arial"/>
                <w:color w:val="000000"/>
                <w:sz w:val="18"/>
              </w:rPr>
              <w:t>INDICATORI DI</w:t>
            </w:r>
          </w:p>
          <w:p w:rsidR="00ED4406" w:rsidRDefault="00ED4406">
            <w:pPr>
              <w:widowControl/>
              <w:ind w:left="113" w:right="113"/>
              <w:jc w:val="center"/>
              <w:rPr>
                <w:rFonts w:ascii="Arial" w:eastAsia="Times New Roman" w:hAnsi="Arial"/>
                <w:color w:val="000000"/>
                <w:sz w:val="18"/>
              </w:rPr>
            </w:pPr>
            <w:r>
              <w:rPr>
                <w:rFonts w:ascii="Arial" w:eastAsia="Times New Roman" w:hAnsi="Arial"/>
                <w:color w:val="000000"/>
                <w:sz w:val="18"/>
              </w:rPr>
              <w:t>QUALITA’ PRESTAZIONI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18"/>
              </w:rPr>
            </w:pPr>
            <w:r>
              <w:rPr>
                <w:rFonts w:ascii="Arial" w:eastAsia="Times New Roman" w:hAnsi="Arial"/>
                <w:color w:val="000000"/>
                <w:sz w:val="18"/>
              </w:rPr>
              <w:t>Valutazione rispetto obiettivi %RD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  <w:r>
              <w:rPr>
                <w:rStyle w:val="Enfasicorsivo"/>
                <w:rFonts w:ascii="Arial" w:eastAsia="Times New Roman" w:hAnsi="Arial"/>
                <w:b/>
                <w:i w:val="0"/>
                <w:iCs w:val="0"/>
                <w:color w:val="000000"/>
                <w:sz w:val="18"/>
              </w:rPr>
              <w:t>-0,45 &lt; γ1 &lt; -0,30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  <w:r>
              <w:rPr>
                <w:rStyle w:val="Enfasicorsivo"/>
                <w:rFonts w:ascii="Arial" w:eastAsia="Times New Roman" w:hAnsi="Arial"/>
                <w:b/>
                <w:i w:val="0"/>
                <w:iCs w:val="0"/>
                <w:color w:val="000000"/>
                <w:sz w:val="18"/>
              </w:rPr>
              <w:t>-0,25 &lt; γ1 &lt; -0,06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  <w:r>
              <w:rPr>
                <w:rStyle w:val="Enfasicorsivo"/>
                <w:rFonts w:ascii="Arial" w:eastAsia="Times New Roman" w:hAnsi="Arial"/>
                <w:b/>
                <w:i w:val="0"/>
                <w:iCs w:val="0"/>
                <w:color w:val="000000"/>
                <w:sz w:val="18"/>
              </w:rPr>
              <w:t>-0,25 &lt; γ1 &lt; -0,06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  <w:r>
              <w:rPr>
                <w:rStyle w:val="Enfasicorsivo"/>
                <w:rFonts w:ascii="Arial" w:eastAsia="Times New Roman" w:hAnsi="Arial"/>
                <w:b/>
                <w:i w:val="0"/>
                <w:iCs w:val="0"/>
                <w:color w:val="000000"/>
                <w:sz w:val="18"/>
              </w:rPr>
              <w:t>-0,25 &lt; γ1 &lt; -0,06</w:t>
            </w:r>
          </w:p>
        </w:tc>
      </w:tr>
      <w:tr w:rsidR="00ED4406">
        <w:trPr>
          <w:trHeight w:val="818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18"/>
              </w:rPr>
            </w:pPr>
            <w:r>
              <w:rPr>
                <w:rFonts w:ascii="Arial" w:eastAsia="Times New Roman" w:hAnsi="Arial"/>
                <w:color w:val="000000"/>
                <w:sz w:val="18"/>
              </w:rPr>
              <w:t>Valutazione performance riutilizzo riciclo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  <w:r>
              <w:rPr>
                <w:rStyle w:val="Enfasicorsivo"/>
                <w:rFonts w:ascii="Arial" w:eastAsia="Times New Roman" w:hAnsi="Arial"/>
                <w:b/>
                <w:i w:val="0"/>
                <w:iCs w:val="0"/>
                <w:color w:val="000000"/>
                <w:sz w:val="18"/>
              </w:rPr>
              <w:t>-0,30 &lt; γ2 &lt; -0,15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  <w:r>
              <w:rPr>
                <w:rStyle w:val="Enfasicorsivo"/>
                <w:rFonts w:ascii="Arial" w:eastAsia="Times New Roman" w:hAnsi="Arial"/>
                <w:b/>
                <w:i w:val="0"/>
                <w:iCs w:val="0"/>
                <w:color w:val="000000"/>
                <w:sz w:val="18"/>
              </w:rPr>
              <w:t>-0,20 &lt; γ2 &lt; -0,03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  <w:r>
              <w:rPr>
                <w:rStyle w:val="Enfasicorsivo"/>
                <w:rFonts w:ascii="Arial" w:eastAsia="Times New Roman" w:hAnsi="Arial"/>
                <w:b/>
                <w:i w:val="0"/>
                <w:iCs w:val="0"/>
                <w:color w:val="000000"/>
                <w:sz w:val="18"/>
              </w:rPr>
              <w:t>-0,20 &lt; γ2 &lt; -0,03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  <w:r>
              <w:rPr>
                <w:rStyle w:val="Enfasicorsivo"/>
                <w:rFonts w:ascii="Arial" w:eastAsia="Times New Roman" w:hAnsi="Arial"/>
                <w:b/>
                <w:i w:val="0"/>
                <w:iCs w:val="0"/>
                <w:color w:val="000000"/>
                <w:sz w:val="18"/>
              </w:rPr>
              <w:t>-0,30 &lt; γ2 &lt; -0,20</w:t>
            </w:r>
          </w:p>
        </w:tc>
      </w:tr>
      <w:tr w:rsidR="00ED4406">
        <w:trPr>
          <w:trHeight w:val="844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18"/>
              </w:rPr>
            </w:pPr>
            <w:r>
              <w:rPr>
                <w:rFonts w:ascii="Arial" w:eastAsia="Times New Roman" w:hAnsi="Arial"/>
                <w:color w:val="000000"/>
                <w:sz w:val="18"/>
              </w:rPr>
              <w:t>Valutazione soddisfazione utenti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  <w:r>
              <w:rPr>
                <w:rStyle w:val="Enfasicorsivo"/>
                <w:rFonts w:ascii="Arial" w:eastAsia="Times New Roman" w:hAnsi="Arial"/>
                <w:b/>
                <w:i w:val="0"/>
                <w:iCs w:val="0"/>
                <w:color w:val="000000"/>
                <w:sz w:val="18"/>
              </w:rPr>
              <w:t>-0,15 &lt; γ3 &lt; -0,05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  <w:r>
              <w:rPr>
                <w:rStyle w:val="Enfasicorsivo"/>
                <w:rFonts w:ascii="Arial" w:eastAsia="Times New Roman" w:hAnsi="Arial"/>
                <w:b/>
                <w:i w:val="0"/>
                <w:iCs w:val="0"/>
                <w:color w:val="000000"/>
                <w:sz w:val="18"/>
              </w:rPr>
              <w:t>-0,05 &lt; γ3 &lt; -0,01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  <w:r>
              <w:rPr>
                <w:rStyle w:val="Enfasicorsivo"/>
                <w:rFonts w:ascii="Arial" w:eastAsia="Times New Roman" w:hAnsi="Arial"/>
                <w:b/>
                <w:i w:val="0"/>
                <w:iCs w:val="0"/>
                <w:color w:val="000000"/>
                <w:sz w:val="18"/>
              </w:rPr>
              <w:t>-0,05 &lt; γ3 &lt; -0,01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18"/>
              </w:rPr>
            </w:pPr>
            <w:r>
              <w:rPr>
                <w:rStyle w:val="Enfasicorsivo"/>
                <w:rFonts w:ascii="Arial" w:eastAsia="Times New Roman" w:hAnsi="Arial"/>
                <w:b/>
                <w:i w:val="0"/>
                <w:iCs w:val="0"/>
                <w:color w:val="000000"/>
                <w:sz w:val="18"/>
              </w:rPr>
              <w:t>-0,15 &lt; γ3 &lt; -0,05</w:t>
            </w:r>
          </w:p>
        </w:tc>
      </w:tr>
    </w:tbl>
    <w:p w:rsidR="00ED4406" w:rsidRDefault="00ED4406">
      <w:pPr>
        <w:pStyle w:val="commi"/>
        <w:widowControl/>
        <w:tabs>
          <w:tab w:val="clear" w:pos="567"/>
        </w:tabs>
        <w:spacing w:before="0" w:after="0"/>
        <w:ind w:left="0" w:firstLine="0"/>
        <w:jc w:val="left"/>
        <w:rPr>
          <w:rStyle w:val="Enfasicorsivo"/>
          <w:rFonts w:ascii="Arial" w:eastAsia="Times New Roman" w:hAnsi="Arial"/>
          <w:i w:val="0"/>
          <w:iCs w:val="0"/>
          <w:color w:val="000000"/>
          <w:sz w:val="22"/>
        </w:rPr>
      </w:pPr>
    </w:p>
    <w:p w:rsidR="00ED4406" w:rsidRDefault="00ED4406" w:rsidP="00D80B53">
      <w:pPr>
        <w:pStyle w:val="commi"/>
        <w:widowControl/>
        <w:tabs>
          <w:tab w:val="clear" w:pos="567"/>
        </w:tabs>
        <w:spacing w:before="0" w:after="0" w:line="360" w:lineRule="auto"/>
        <w:ind w:left="0" w:firstLine="0"/>
        <w:rPr>
          <w:rStyle w:val="Enfasicorsivo"/>
          <w:rFonts w:ascii="Arial" w:eastAsia="Times New Roman" w:hAnsi="Arial"/>
          <w:i w:val="0"/>
          <w:iCs w:val="0"/>
          <w:color w:val="000000"/>
          <w:sz w:val="22"/>
        </w:rPr>
      </w:pPr>
      <w:r>
        <w:rPr>
          <w:rStyle w:val="Enfasicorsivo"/>
          <w:rFonts w:ascii="Arial" w:eastAsia="Times New Roman" w:hAnsi="Arial"/>
          <w:i w:val="0"/>
          <w:iCs w:val="0"/>
          <w:color w:val="000000"/>
          <w:sz w:val="22"/>
        </w:rPr>
        <w:t>Potendo, quindi, assumere dei valori all’interno di intervalli predeterminati in funzione di due elementi:</w:t>
      </w:r>
    </w:p>
    <w:p w:rsidR="00ED4406" w:rsidRDefault="00ED4406" w:rsidP="00D80B53">
      <w:pPr>
        <w:pStyle w:val="commi"/>
        <w:widowControl/>
        <w:numPr>
          <w:ilvl w:val="0"/>
          <w:numId w:val="15"/>
        </w:numPr>
        <w:tabs>
          <w:tab w:val="clear" w:pos="567"/>
        </w:tabs>
        <w:spacing w:before="0" w:after="0" w:line="360" w:lineRule="auto"/>
        <w:ind w:left="1429" w:hanging="360"/>
        <w:rPr>
          <w:rStyle w:val="Enfasicorsivo"/>
          <w:rFonts w:eastAsia="Times New Roman"/>
          <w:i w:val="0"/>
          <w:iCs w:val="0"/>
          <w:color w:val="000000"/>
        </w:rPr>
      </w:pPr>
      <w:r>
        <w:rPr>
          <w:rStyle w:val="Enfasicorsivo"/>
          <w:rFonts w:ascii="Arial" w:eastAsia="Times New Roman" w:hAnsi="Arial"/>
          <w:i w:val="0"/>
          <w:iCs w:val="0"/>
          <w:color w:val="000000"/>
          <w:sz w:val="22"/>
        </w:rPr>
        <w:t>confronto tra il Costo Unitario Effettivo (CUeff) e il benchmark di riferimento definito da ARERA;</w:t>
      </w:r>
    </w:p>
    <w:p w:rsidR="00ED4406" w:rsidRDefault="00ED4406" w:rsidP="00D80B53">
      <w:pPr>
        <w:pStyle w:val="commi"/>
        <w:widowControl/>
        <w:numPr>
          <w:ilvl w:val="0"/>
          <w:numId w:val="15"/>
        </w:numPr>
        <w:tabs>
          <w:tab w:val="clear" w:pos="567"/>
        </w:tabs>
        <w:spacing w:before="0" w:after="0" w:line="360" w:lineRule="auto"/>
        <w:ind w:left="1429" w:hanging="360"/>
        <w:rPr>
          <w:rFonts w:eastAsia="Times New Roman"/>
          <w:color w:val="000000"/>
        </w:rPr>
      </w:pPr>
      <w:r>
        <w:rPr>
          <w:rStyle w:val="Enfasicorsivo"/>
          <w:rFonts w:ascii="Arial" w:eastAsia="Times New Roman" w:hAnsi="Arial"/>
          <w:i w:val="0"/>
          <w:iCs w:val="0"/>
          <w:color w:val="000000"/>
          <w:sz w:val="22"/>
        </w:rPr>
        <w:t>segno della somma RC = RCV + RCF</w:t>
      </w:r>
      <w:r>
        <w:rPr>
          <w:rFonts w:eastAsia="Times New Roman"/>
          <w:color w:val="000000"/>
        </w:rPr>
        <w:br/>
      </w:r>
      <w:r>
        <w:rPr>
          <w:rFonts w:ascii="Arial" w:eastAsia="Times New Roman" w:hAnsi="Arial"/>
          <w:color w:val="000000"/>
          <w:sz w:val="22"/>
        </w:rPr>
        <w:t>il comune definisce:</w:t>
      </w:r>
      <w:r>
        <w:rPr>
          <w:rFonts w:eastAsia="Times New Roman"/>
          <w:i/>
          <w:color w:val="000000"/>
        </w:rPr>
        <w:br/>
      </w:r>
    </w:p>
    <w:tbl>
      <w:tblPr>
        <w:tblW w:w="10086" w:type="dxa"/>
        <w:tblInd w:w="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25"/>
        <w:gridCol w:w="3261"/>
      </w:tblGrid>
      <w:tr w:rsidR="00ED4406">
        <w:trPr>
          <w:trHeight w:val="387"/>
        </w:trPr>
        <w:tc>
          <w:tcPr>
            <w:tcW w:w="68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valutazione rispetto agli obiettivi di rd  - 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ɣ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 xml:space="preserve"> 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compreso tra -0,25 e -0,06</w:t>
            </w:r>
          </w:p>
        </w:tc>
      </w:tr>
      <w:tr w:rsidR="00ED4406">
        <w:trPr>
          <w:trHeight w:val="283"/>
        </w:trPr>
        <w:tc>
          <w:tcPr>
            <w:tcW w:w="68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valutazione rispetto all' efficacia dell' attività di preparazione per il riutilizzo e riciclo  - 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ɣ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 xml:space="preserve"> 2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compreso tra -0,20 e -0,03</w:t>
            </w:r>
          </w:p>
        </w:tc>
      </w:tr>
      <w:tr w:rsidR="00ED4406">
        <w:trPr>
          <w:trHeight w:val="283"/>
        </w:trPr>
        <w:tc>
          <w:tcPr>
            <w:tcW w:w="68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valutazione rispetto alla soddisfazione degli utenti del servizio  - 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ɣ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 xml:space="preserve"> 3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compreso tra -0,05 e -0,01</w:t>
            </w:r>
          </w:p>
        </w:tc>
      </w:tr>
    </w:tbl>
    <w:p w:rsidR="00ED4406" w:rsidRDefault="00ED4406" w:rsidP="00D80B53">
      <w:pPr>
        <w:pStyle w:val="commi"/>
        <w:widowControl/>
        <w:tabs>
          <w:tab w:val="clear" w:pos="567"/>
          <w:tab w:val="left" w:pos="708"/>
        </w:tabs>
        <w:spacing w:before="0" w:after="0" w:line="360" w:lineRule="auto"/>
        <w:ind w:left="0" w:firstLine="0"/>
        <w:rPr>
          <w:rFonts w:ascii="Arial" w:eastAsia="Times New Roman" w:hAnsi="Arial"/>
          <w:color w:val="000000"/>
          <w:sz w:val="22"/>
        </w:rPr>
      </w:pPr>
      <w:r>
        <w:rPr>
          <w:rFonts w:eastAsia="Times New Roman"/>
          <w:color w:val="000000"/>
        </w:rPr>
        <w:br/>
      </w:r>
      <w:r>
        <w:rPr>
          <w:rFonts w:ascii="Arial" w:eastAsia="Times New Roman" w:hAnsi="Arial"/>
          <w:color w:val="000000"/>
          <w:sz w:val="22"/>
          <w:u w:val="single"/>
        </w:rPr>
        <w:t>In particolare</w:t>
      </w:r>
      <w:r>
        <w:rPr>
          <w:rFonts w:ascii="Arial" w:eastAsia="Times New Roman" w:hAnsi="Arial"/>
          <w:color w:val="000000"/>
          <w:sz w:val="22"/>
        </w:rPr>
        <w:t>:</w:t>
      </w:r>
    </w:p>
    <w:p w:rsidR="00ED4406" w:rsidRDefault="00ED4406" w:rsidP="00D80B53">
      <w:pPr>
        <w:numPr>
          <w:ilvl w:val="0"/>
          <w:numId w:val="16"/>
        </w:numPr>
        <w:spacing w:line="360" w:lineRule="auto"/>
        <w:ind w:left="720" w:hanging="360"/>
        <w:rPr>
          <w:rFonts w:ascii="Arial" w:eastAsia="Times New Roman" w:hAnsi="Arial"/>
          <w:b/>
          <w:i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per quanto riguarda il parametro</w:t>
      </w:r>
      <w:r>
        <w:rPr>
          <w:rFonts w:ascii="Arial" w:eastAsia="Times New Roman" w:hAnsi="Arial"/>
          <w:b/>
          <w:i/>
          <w:color w:val="000000"/>
          <w:sz w:val="22"/>
        </w:rPr>
        <w:t xml:space="preserve"> γ1 - percentuale raccolta differenziata RD:</w:t>
      </w:r>
    </w:p>
    <w:p w:rsidR="00ED4406" w:rsidRDefault="00ED4406" w:rsidP="007A7139">
      <w:pPr>
        <w:widowControl/>
        <w:spacing w:line="360" w:lineRule="auto"/>
        <w:ind w:left="709"/>
        <w:rPr>
          <w:rFonts w:ascii="Arial" w:eastAsia="Times New Roman" w:hAnsi="Arial"/>
          <w:color w:val="000000"/>
          <w:sz w:val="22"/>
        </w:rPr>
      </w:pPr>
      <w:bookmarkStart w:id="1" w:name="_Hlk61453700"/>
      <w:bookmarkEnd w:id="1"/>
      <w:r>
        <w:rPr>
          <w:rFonts w:ascii="Arial" w:eastAsia="Times New Roman" w:hAnsi="Arial"/>
          <w:color w:val="000000"/>
          <w:sz w:val="22"/>
        </w:rPr>
        <w:t xml:space="preserve">Il Comune di ANTRODOCO, dai dati pubblicati sul Catasto Rifiuti relativamente all’annualità 2019, in concomitanza con l’uscita del Rapporto ISPRA RU a dicembre 2019, con una </w:t>
      </w:r>
      <w:r>
        <w:rPr>
          <w:rFonts w:ascii="Arial" w:eastAsia="Times New Roman" w:hAnsi="Arial"/>
          <w:color w:val="000000"/>
          <w:sz w:val="22"/>
        </w:rPr>
        <w:lastRenderedPageBreak/>
        <w:t xml:space="preserve">popolazione residente </w:t>
      </w:r>
      <w:r w:rsidRPr="00FD5C72">
        <w:rPr>
          <w:rFonts w:ascii="Arial" w:hAnsi="Arial" w:cs="Arial"/>
          <w:sz w:val="22"/>
          <w:szCs w:val="22"/>
        </w:rPr>
        <w:t>di</w:t>
      </w:r>
      <w:r w:rsidR="0057619C" w:rsidRPr="00FD5C72">
        <w:rPr>
          <w:rFonts w:ascii="Arial" w:hAnsi="Arial" w:cs="Arial"/>
          <w:sz w:val="22"/>
          <w:szCs w:val="22"/>
        </w:rPr>
        <w:t xml:space="preserve"> </w:t>
      </w:r>
      <w:r w:rsidRPr="00FD5C72">
        <w:rPr>
          <w:rFonts w:ascii="Arial" w:hAnsi="Arial" w:cs="Arial"/>
          <w:sz w:val="22"/>
          <w:szCs w:val="22"/>
        </w:rPr>
        <w:t>abitanti</w:t>
      </w:r>
      <w:bookmarkStart w:id="2" w:name="_GoBack"/>
      <w:bookmarkEnd w:id="2"/>
      <w:r w:rsidR="0057619C" w:rsidRPr="00FD5C72">
        <w:t xml:space="preserve"> </w:t>
      </w:r>
      <w:r w:rsidR="0057619C">
        <w:rPr>
          <w:rFonts w:ascii="Arial" w:eastAsia="Times New Roman" w:hAnsi="Arial"/>
          <w:color w:val="000000"/>
          <w:sz w:val="22"/>
        </w:rPr>
        <w:t xml:space="preserve">2475 </w:t>
      </w:r>
      <w:r>
        <w:rPr>
          <w:rFonts w:ascii="Arial" w:eastAsia="Times New Roman" w:hAnsi="Arial"/>
          <w:color w:val="000000"/>
          <w:sz w:val="22"/>
        </w:rPr>
        <w:t xml:space="preserve">al 31.12.2018 e una </w:t>
      </w:r>
      <w:r>
        <w:rPr>
          <w:rFonts w:ascii="Arial" w:eastAsia="Times New Roman" w:hAnsi="Arial"/>
          <w:b/>
          <w:color w:val="000000"/>
          <w:sz w:val="22"/>
        </w:rPr>
        <w:t xml:space="preserve">percentuale di raccolta differenziata </w:t>
      </w:r>
      <w:r w:rsidRPr="00FD5C72">
        <w:rPr>
          <w:rFonts w:ascii="Arial" w:hAnsi="Arial" w:cs="Arial"/>
          <w:sz w:val="22"/>
          <w:szCs w:val="22"/>
        </w:rPr>
        <w:t xml:space="preserve">del </w:t>
      </w:r>
      <w:r w:rsidR="000807BD" w:rsidRPr="00FD5C72">
        <w:rPr>
          <w:rFonts w:ascii="Arial" w:hAnsi="Arial" w:cs="Arial"/>
          <w:sz w:val="22"/>
          <w:szCs w:val="22"/>
        </w:rPr>
        <w:t>67,</w:t>
      </w:r>
      <w:r w:rsidR="003F3DD6">
        <w:rPr>
          <w:rFonts w:ascii="Arial" w:hAnsi="Arial" w:cs="Arial"/>
          <w:sz w:val="22"/>
          <w:szCs w:val="22"/>
        </w:rPr>
        <w:t>48</w:t>
      </w:r>
      <w:r w:rsidRPr="00FD5C72">
        <w:rPr>
          <w:rFonts w:ascii="Arial" w:hAnsi="Arial" w:cs="Arial"/>
          <w:sz w:val="22"/>
          <w:szCs w:val="22"/>
        </w:rPr>
        <w:t>%,</w:t>
      </w:r>
      <w:r w:rsidRPr="000807BD">
        <w:rPr>
          <w:rFonts w:ascii="Arial" w:eastAsia="Times New Roman" w:hAnsi="Arial"/>
          <w:color w:val="000000"/>
          <w:sz w:val="22"/>
        </w:rPr>
        <w:t xml:space="preserve"> si posiziona </w:t>
      </w:r>
      <w:r w:rsidRPr="00FD5C72">
        <w:rPr>
          <w:rFonts w:ascii="Arial" w:hAnsi="Arial" w:cs="Arial"/>
          <w:sz w:val="22"/>
          <w:szCs w:val="22"/>
        </w:rPr>
        <w:t>sopra/sotto/in media</w:t>
      </w:r>
      <w:r w:rsidRPr="000807BD">
        <w:rPr>
          <w:rFonts w:ascii="Arial" w:eastAsia="Times New Roman" w:hAnsi="Arial"/>
          <w:color w:val="000000"/>
          <w:sz w:val="22"/>
        </w:rPr>
        <w:t xml:space="preserve"> la media dei fabbisogni standard.</w:t>
      </w:r>
    </w:p>
    <w:p w:rsidR="00ED4406" w:rsidRDefault="00ED4406" w:rsidP="00D80B53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</w:p>
    <w:p w:rsidR="00ED4406" w:rsidRDefault="00ED4406" w:rsidP="00D80B53">
      <w:pPr>
        <w:numPr>
          <w:ilvl w:val="0"/>
          <w:numId w:val="16"/>
        </w:numPr>
        <w:spacing w:line="360" w:lineRule="auto"/>
        <w:ind w:left="720" w:hanging="360"/>
        <w:rPr>
          <w:rFonts w:ascii="Arial" w:eastAsia="Times New Roman" w:hAnsi="Arial"/>
          <w:b/>
          <w:i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 xml:space="preserve">per quanto riguarda il parametro </w:t>
      </w:r>
      <w:r>
        <w:rPr>
          <w:rFonts w:ascii="Arial" w:eastAsia="Times New Roman" w:hAnsi="Arial"/>
          <w:b/>
          <w:i/>
          <w:color w:val="000000"/>
          <w:sz w:val="22"/>
        </w:rPr>
        <w:t>γ2 - performance riutilizzo/riciclo</w:t>
      </w:r>
      <w:r>
        <w:rPr>
          <w:rFonts w:ascii="Arial" w:eastAsia="Times New Roman" w:hAnsi="Arial"/>
          <w:color w:val="000000"/>
          <w:sz w:val="22"/>
        </w:rPr>
        <w:t>:</w:t>
      </w:r>
    </w:p>
    <w:p w:rsidR="00ED4406" w:rsidRDefault="00ED4406" w:rsidP="00D80B53">
      <w:pPr>
        <w:pStyle w:val="commi"/>
        <w:widowControl/>
        <w:tabs>
          <w:tab w:val="clear" w:pos="567"/>
        </w:tabs>
        <w:spacing w:before="0" w:after="0" w:line="360" w:lineRule="auto"/>
        <w:ind w:left="0" w:firstLine="0"/>
        <w:rPr>
          <w:rFonts w:ascii="Arial" w:eastAsia="Times New Roman" w:hAnsi="Arial"/>
          <w:color w:val="000000"/>
          <w:sz w:val="22"/>
        </w:rPr>
      </w:pPr>
    </w:p>
    <w:p w:rsidR="00ED4406" w:rsidRDefault="00ED4406" w:rsidP="00D80B53">
      <w:pPr>
        <w:numPr>
          <w:ilvl w:val="0"/>
          <w:numId w:val="16"/>
        </w:numPr>
        <w:spacing w:line="360" w:lineRule="auto"/>
        <w:ind w:left="720" w:hanging="360"/>
        <w:rPr>
          <w:rFonts w:ascii="Arial" w:eastAsia="Times New Roman" w:hAnsi="Arial"/>
          <w:b/>
          <w:i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 xml:space="preserve">per quanto riguarda il parametro </w:t>
      </w:r>
      <w:r>
        <w:rPr>
          <w:rFonts w:ascii="Arial" w:eastAsia="Times New Roman" w:hAnsi="Arial"/>
          <w:b/>
          <w:i/>
          <w:color w:val="000000"/>
          <w:sz w:val="22"/>
        </w:rPr>
        <w:t>γ3 – soddisfazione utenti</w:t>
      </w:r>
      <w:r>
        <w:rPr>
          <w:rFonts w:ascii="Arial" w:eastAsia="Times New Roman" w:hAnsi="Arial"/>
          <w:color w:val="000000"/>
          <w:sz w:val="22"/>
        </w:rPr>
        <w:t>:</w:t>
      </w:r>
    </w:p>
    <w:p w:rsidR="00ED4406" w:rsidRDefault="00ED4406">
      <w:pPr>
        <w:pStyle w:val="Titolo2"/>
        <w:widowControl/>
        <w:tabs>
          <w:tab w:val="clear" w:pos="1144"/>
        </w:tabs>
        <w:ind w:left="709" w:firstLine="0"/>
        <w:rPr>
          <w:rFonts w:ascii="Arial" w:eastAsia="Times New Roman" w:hAnsi="Arial"/>
          <w:b w:val="0"/>
          <w:bCs w:val="0"/>
          <w:color w:val="000000"/>
          <w:sz w:val="22"/>
        </w:rPr>
      </w:pPr>
    </w:p>
    <w:p w:rsidR="00ED4406" w:rsidRDefault="00B2205D">
      <w:pPr>
        <w:pStyle w:val="Titolo2"/>
        <w:widowControl/>
        <w:rPr>
          <w:rFonts w:ascii="Arial" w:eastAsia="Times New Roman" w:hAnsi="Arial"/>
          <w:bCs w:val="0"/>
          <w:color w:val="000000"/>
          <w:sz w:val="22"/>
        </w:rPr>
      </w:pPr>
      <w:r>
        <w:rPr>
          <w:rFonts w:ascii="Arial" w:eastAsia="Times New Roman" w:hAnsi="Arial"/>
          <w:bCs w:val="0"/>
          <w:color w:val="000000"/>
          <w:sz w:val="22"/>
        </w:rPr>
        <w:t xml:space="preserve">4.6 </w:t>
      </w:r>
      <w:r w:rsidR="00ED4406">
        <w:rPr>
          <w:rFonts w:ascii="Arial" w:eastAsia="Times New Roman" w:hAnsi="Arial"/>
          <w:bCs w:val="0"/>
          <w:color w:val="000000"/>
          <w:sz w:val="22"/>
        </w:rPr>
        <w:t>Focus sulla valorizzazione dei fattori di sharing</w:t>
      </w:r>
    </w:p>
    <w:p w:rsidR="00ED4406" w:rsidRDefault="00ED4406">
      <w:pPr>
        <w:widowControl/>
        <w:spacing w:after="50"/>
        <w:rPr>
          <w:rFonts w:ascii="Arial" w:eastAsia="Times New Roman" w:hAnsi="Arial"/>
          <w:b/>
          <w:color w:val="000000"/>
          <w:sz w:val="22"/>
        </w:rPr>
      </w:pPr>
    </w:p>
    <w:p w:rsidR="00ED4406" w:rsidRDefault="00ED4406" w:rsidP="00D80B53">
      <w:pPr>
        <w:widowControl/>
        <w:spacing w:after="50" w:line="360" w:lineRule="auto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Il Comune di ANTRODOCO, in qualità di Ente territorial</w:t>
      </w:r>
      <w:r w:rsidR="00D80B53">
        <w:rPr>
          <w:rFonts w:ascii="Arial" w:eastAsia="Times New Roman" w:hAnsi="Arial"/>
          <w:color w:val="000000"/>
          <w:sz w:val="22"/>
        </w:rPr>
        <w:t xml:space="preserve">mente competente, </w:t>
      </w:r>
      <w:r>
        <w:rPr>
          <w:rFonts w:ascii="Arial" w:eastAsia="Times New Roman" w:hAnsi="Arial"/>
          <w:color w:val="000000"/>
          <w:sz w:val="22"/>
        </w:rPr>
        <w:t>ha identificato il</w:t>
      </w:r>
      <w:r>
        <w:rPr>
          <w:rFonts w:ascii="Arial" w:eastAsia="Times New Roman" w:hAnsi="Arial"/>
          <w:b/>
          <w:color w:val="000000"/>
          <w:sz w:val="22"/>
        </w:rPr>
        <w:t xml:space="preserve"> fattore di </w:t>
      </w:r>
      <w:r>
        <w:rPr>
          <w:rFonts w:ascii="Arial" w:eastAsia="Times New Roman" w:hAnsi="Arial"/>
          <w:b/>
          <w:i/>
          <w:color w:val="000000"/>
          <w:sz w:val="22"/>
        </w:rPr>
        <w:t>sharing</w:t>
      </w:r>
      <w:r>
        <w:rPr>
          <w:rFonts w:ascii="Arial" w:eastAsia="Times New Roman" w:hAnsi="Arial"/>
          <w:b/>
          <w:color w:val="000000"/>
          <w:sz w:val="22"/>
        </w:rPr>
        <w:t xml:space="preserve">(b) </w:t>
      </w:r>
      <w:r>
        <w:rPr>
          <w:rFonts w:ascii="Arial" w:eastAsia="Times New Roman" w:hAnsi="Arial"/>
          <w:color w:val="000000"/>
          <w:sz w:val="22"/>
        </w:rPr>
        <w:t xml:space="preserve">sulla vendita di materiale e di energia, meccanismo che agisce nel calcolo della quota variabile del conguaglio, nell’ambito dei </w:t>
      </w:r>
      <w:r>
        <w:rPr>
          <w:rFonts w:ascii="Arial" w:eastAsia="Times New Roman" w:hAnsi="Arial"/>
          <w:i/>
          <w:color w:val="000000"/>
          <w:sz w:val="22"/>
        </w:rPr>
        <w:t xml:space="preserve">range (0,3 ed 1) </w:t>
      </w:r>
      <w:r>
        <w:rPr>
          <w:rFonts w:ascii="Arial" w:eastAsia="Times New Roman" w:hAnsi="Arial"/>
          <w:color w:val="000000"/>
          <w:sz w:val="22"/>
        </w:rPr>
        <w:t>individuati da ARERA per la determinazione delle tariffe 2021-2022 come segue:</w:t>
      </w:r>
    </w:p>
    <w:p w:rsidR="00ED4406" w:rsidRDefault="00ED4406">
      <w:pPr>
        <w:widowControl/>
        <w:spacing w:after="50"/>
        <w:rPr>
          <w:rFonts w:ascii="Bookman Old Style" w:eastAsia="Times New Roman" w:hAnsi="Bookman Old Style"/>
          <w:color w:val="000000"/>
          <w:sz w:val="22"/>
          <w:highlight w:val="yellow"/>
          <w:shd w:val="clear" w:color="auto" w:fill="FFFF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05"/>
        <w:gridCol w:w="2268"/>
      </w:tblGrid>
      <w:tr w:rsidR="00ED4406">
        <w:trPr>
          <w:trHeight w:val="37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</w:rPr>
            </w:pPr>
            <w:r>
              <w:rPr>
                <w:rFonts w:ascii="Arial" w:eastAsia="Times New Roman" w:hAnsi="Arial"/>
                <w:b/>
                <w:color w:val="000000"/>
                <w:sz w:val="22"/>
              </w:rPr>
              <w:t>parametro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</w:rPr>
            </w:pPr>
            <w:r>
              <w:rPr>
                <w:rFonts w:ascii="Arial" w:eastAsia="Times New Roman" w:hAnsi="Arial"/>
                <w:b/>
                <w:color w:val="000000"/>
                <w:sz w:val="22"/>
              </w:rPr>
              <w:t>valore</w:t>
            </w:r>
          </w:p>
        </w:tc>
      </w:tr>
      <w:tr w:rsidR="00ED4406">
        <w:trPr>
          <w:trHeight w:val="316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Fattore di </w:t>
            </w:r>
            <w:r>
              <w:rPr>
                <w:rFonts w:ascii="Arial" w:eastAsia="Times New Roman" w:hAnsi="Arial"/>
                <w:i/>
                <w:color w:val="000000"/>
                <w:sz w:val="20"/>
              </w:rPr>
              <w:t>Sharing</w:t>
            </w:r>
            <w:r>
              <w:rPr>
                <w:rFonts w:ascii="Arial" w:eastAsia="Times New Roman" w:hAnsi="Arial"/>
                <w:color w:val="000000"/>
                <w:sz w:val="20"/>
              </w:rPr>
              <w:t xml:space="preserve">– </w:t>
            </w:r>
            <w:r>
              <w:rPr>
                <w:rFonts w:ascii="Cambria Math" w:eastAsia="Times New Roman" w:hAnsi="Cambria Math"/>
                <w:color w:val="000000"/>
                <w:sz w:val="20"/>
              </w:rPr>
              <w:t>𝒃</w:t>
            </w:r>
            <w:r>
              <w:rPr>
                <w:rFonts w:ascii="Arial" w:eastAsia="Times New Roman" w:hAnsi="Arial"/>
                <w:color w:val="000000"/>
                <w:sz w:val="20"/>
              </w:rPr>
              <w:t>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     0,60</w:t>
            </w:r>
          </w:p>
        </w:tc>
      </w:tr>
      <w:tr w:rsidR="00ED4406">
        <w:trPr>
          <w:trHeight w:val="347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Fattore di </w:t>
            </w:r>
            <w:r>
              <w:rPr>
                <w:rFonts w:ascii="Arial" w:eastAsia="Times New Roman" w:hAnsi="Arial"/>
                <w:i/>
                <w:color w:val="000000"/>
                <w:sz w:val="20"/>
              </w:rPr>
              <w:t>Sharing</w:t>
            </w:r>
            <w:r>
              <w:rPr>
                <w:rFonts w:ascii="Arial" w:eastAsia="Times New Roman" w:hAnsi="Arial"/>
                <w:color w:val="000000"/>
                <w:sz w:val="20"/>
              </w:rPr>
              <w:t xml:space="preserve">– </w:t>
            </w:r>
            <w:r>
              <w:rPr>
                <w:rFonts w:ascii="Cambria Math" w:eastAsia="Times New Roman" w:hAnsi="Cambria Math"/>
                <w:color w:val="000000"/>
                <w:sz w:val="20"/>
              </w:rPr>
              <w:t>𝒃</w:t>
            </w:r>
            <w:r>
              <w:rPr>
                <w:rFonts w:ascii="Arial" w:eastAsia="Times New Roman" w:hAnsi="Arial"/>
                <w:color w:val="000000"/>
                <w:sz w:val="20"/>
              </w:rPr>
              <w:t>̅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(1+ω)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     0,84</w:t>
            </w:r>
          </w:p>
        </w:tc>
      </w:tr>
      <w:tr w:rsidR="00ED4406">
        <w:trPr>
          <w:trHeight w:val="33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spacing w:after="50"/>
              <w:jc w:val="left"/>
              <w:rPr>
                <w:rFonts w:ascii="Arial" w:eastAsia="Times New Roman" w:hAnsi="Arial"/>
                <w:color w:val="000000"/>
                <w:sz w:val="20"/>
                <w:highlight w:val="yellow"/>
                <w:shd w:val="clear" w:color="auto" w:fill="FFFF0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Fattore correttivo del fattore di </w:t>
            </w:r>
            <w:r>
              <w:rPr>
                <w:rFonts w:ascii="Arial" w:eastAsia="Times New Roman" w:hAnsi="Arial"/>
                <w:i/>
                <w:color w:val="000000"/>
                <w:sz w:val="20"/>
              </w:rPr>
              <w:t>sharing</w:t>
            </w:r>
            <w:r>
              <w:rPr>
                <w:rFonts w:ascii="Arial" w:eastAsia="Times New Roman" w:hAnsi="Arial"/>
                <w:color w:val="000000"/>
                <w:sz w:val="20"/>
              </w:rPr>
              <w:t xml:space="preserve">sui ricavi CONAI - </w:t>
            </w:r>
            <w:r>
              <w:rPr>
                <w:rFonts w:ascii="Cambria Math" w:eastAsia="Times New Roman" w:hAnsi="Cambria Math"/>
                <w:color w:val="000000"/>
                <w:sz w:val="20"/>
              </w:rPr>
              <w:t>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  <w:highlight w:val="yellow"/>
                <w:shd w:val="clear" w:color="auto" w:fill="FFFF0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      0,40</w:t>
            </w:r>
          </w:p>
        </w:tc>
      </w:tr>
    </w:tbl>
    <w:p w:rsidR="00ED4406" w:rsidRDefault="00ED4406">
      <w:pPr>
        <w:widowControl/>
        <w:spacing w:after="50"/>
        <w:rPr>
          <w:rFonts w:ascii="Bookman Old Style" w:eastAsia="Times New Roman" w:hAnsi="Bookman Old Style"/>
          <w:color w:val="000000"/>
          <w:sz w:val="22"/>
          <w:highlight w:val="yellow"/>
          <w:shd w:val="clear" w:color="auto" w:fill="FFFF00"/>
        </w:rPr>
      </w:pPr>
    </w:p>
    <w:p w:rsidR="00ED4406" w:rsidRDefault="00ED4406">
      <w:pPr>
        <w:widowControl/>
        <w:spacing w:line="276" w:lineRule="auto"/>
        <w:rPr>
          <w:rFonts w:ascii="Arial" w:eastAsia="Times New Roman" w:hAnsi="Arial"/>
          <w:b/>
          <w:color w:val="000000"/>
          <w:sz w:val="22"/>
        </w:rPr>
      </w:pPr>
      <w:r>
        <w:rPr>
          <w:rFonts w:ascii="Arial" w:eastAsia="Times New Roman" w:hAnsi="Arial"/>
          <w:b/>
          <w:color w:val="000000"/>
          <w:sz w:val="22"/>
        </w:rPr>
        <w:t xml:space="preserve">A tal proposito </w:t>
      </w:r>
      <w:r w:rsidR="00D80B53">
        <w:rPr>
          <w:rFonts w:ascii="Arial" w:eastAsia="Times New Roman" w:hAnsi="Arial"/>
          <w:b/>
          <w:color w:val="000000"/>
          <w:sz w:val="22"/>
        </w:rPr>
        <w:t>si ricord</w:t>
      </w:r>
      <w:r>
        <w:rPr>
          <w:rFonts w:ascii="Arial" w:eastAsia="Times New Roman" w:hAnsi="Arial"/>
          <w:b/>
          <w:color w:val="000000"/>
          <w:sz w:val="22"/>
        </w:rPr>
        <w:t>a che:</w:t>
      </w:r>
    </w:p>
    <w:p w:rsidR="00ED4406" w:rsidRDefault="00ED4406">
      <w:pPr>
        <w:widowControl/>
        <w:spacing w:line="276" w:lineRule="auto"/>
        <w:rPr>
          <w:rFonts w:ascii="Arial" w:eastAsia="Times New Roman" w:hAnsi="Arial"/>
          <w:color w:val="000000"/>
          <w:sz w:val="22"/>
        </w:rPr>
      </w:pPr>
    </w:p>
    <w:p w:rsidR="00ED4406" w:rsidRDefault="00ED4406" w:rsidP="00D80B53">
      <w:pPr>
        <w:widowControl/>
        <w:spacing w:after="46" w:line="360" w:lineRule="auto"/>
        <w:rPr>
          <w:rFonts w:ascii="Arial" w:eastAsia="Times New Roman" w:hAnsi="Arial"/>
          <w:color w:val="000000"/>
          <w:sz w:val="22"/>
        </w:rPr>
      </w:pPr>
      <w:r>
        <w:rPr>
          <w:rFonts w:ascii="Cambria Math" w:eastAsia="Times New Roman" w:hAnsi="Cambria Math"/>
          <w:color w:val="000000"/>
          <w:sz w:val="22"/>
        </w:rPr>
        <w:t>𝑏</w:t>
      </w:r>
      <w:r>
        <w:rPr>
          <w:rFonts w:ascii="Arial" w:eastAsia="Times New Roman" w:hAnsi="Arial"/>
          <w:color w:val="000000"/>
          <w:sz w:val="22"/>
        </w:rPr>
        <w:t xml:space="preserve"> è il </w:t>
      </w:r>
      <w:r>
        <w:rPr>
          <w:rFonts w:ascii="Arial" w:eastAsia="Times New Roman" w:hAnsi="Arial"/>
          <w:b/>
          <w:color w:val="000000"/>
          <w:sz w:val="22"/>
        </w:rPr>
        <w:t xml:space="preserve">fattore di </w:t>
      </w:r>
      <w:r>
        <w:rPr>
          <w:rFonts w:ascii="Arial" w:eastAsia="Times New Roman" w:hAnsi="Arial"/>
          <w:b/>
          <w:i/>
          <w:color w:val="000000"/>
          <w:sz w:val="22"/>
        </w:rPr>
        <w:t>sharing</w:t>
      </w:r>
      <w:r>
        <w:rPr>
          <w:rFonts w:ascii="Arial" w:eastAsia="Times New Roman" w:hAnsi="Arial"/>
          <w:b/>
          <w:color w:val="000000"/>
          <w:sz w:val="22"/>
        </w:rPr>
        <w:t>dei proventi</w:t>
      </w:r>
      <w:r>
        <w:rPr>
          <w:rFonts w:ascii="Arial" w:eastAsia="Times New Roman" w:hAnsi="Arial"/>
          <w:color w:val="000000"/>
          <w:sz w:val="22"/>
        </w:rPr>
        <w:t xml:space="preserve">, che può assumere un valore compreso nell’intervallo </w:t>
      </w:r>
      <w:r>
        <w:rPr>
          <w:rFonts w:ascii="Arial" w:eastAsia="Times New Roman" w:hAnsi="Arial"/>
          <w:b/>
          <w:color w:val="000000"/>
          <w:sz w:val="22"/>
        </w:rPr>
        <w:t>[0,3;0,6]</w:t>
      </w:r>
      <w:r>
        <w:rPr>
          <w:rFonts w:ascii="Arial" w:eastAsia="Times New Roman" w:hAnsi="Arial"/>
          <w:color w:val="000000"/>
          <w:sz w:val="22"/>
        </w:rPr>
        <w:t xml:space="preserve">; </w:t>
      </w:r>
    </w:p>
    <w:p w:rsidR="00ED4406" w:rsidRDefault="00ED4406" w:rsidP="00D80B53">
      <w:pPr>
        <w:pStyle w:val="Paragrafoelenco"/>
        <w:widowControl/>
        <w:numPr>
          <w:ilvl w:val="0"/>
          <w:numId w:val="12"/>
        </w:numPr>
        <w:spacing w:after="46" w:line="360" w:lineRule="auto"/>
        <w:ind w:hanging="360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Cambria Math" w:eastAsia="Times New Roman" w:hAnsi="Cambria Math"/>
          <w:color w:val="000000"/>
          <w:sz w:val="22"/>
          <w:szCs w:val="24"/>
        </w:rPr>
        <w:t>𝐴𝑅𝐶𝑂𝑁𝐴𝐼</w:t>
      </w:r>
      <w:r>
        <w:rPr>
          <w:rFonts w:ascii="Arial" w:eastAsia="Times New Roman" w:hAnsi="Arial"/>
          <w:b/>
          <w:color w:val="000000"/>
          <w:sz w:val="22"/>
          <w:szCs w:val="24"/>
        </w:rPr>
        <w:t>,</w:t>
      </w:r>
      <w:r>
        <w:rPr>
          <w:rFonts w:ascii="Cambria Math" w:eastAsia="Times New Roman" w:hAnsi="Cambria Math"/>
          <w:color w:val="000000"/>
          <w:sz w:val="22"/>
          <w:szCs w:val="24"/>
        </w:rPr>
        <w:t>𝑎</w:t>
      </w:r>
      <w:r>
        <w:rPr>
          <w:rFonts w:ascii="Arial" w:eastAsia="Times New Roman" w:hAnsi="Arial"/>
          <w:color w:val="000000"/>
          <w:sz w:val="22"/>
          <w:szCs w:val="24"/>
        </w:rPr>
        <w:t xml:space="preserve"> è la somma dei </w:t>
      </w:r>
      <w:r>
        <w:rPr>
          <w:rFonts w:ascii="Arial" w:eastAsia="Times New Roman" w:hAnsi="Arial"/>
          <w:b/>
          <w:color w:val="000000"/>
          <w:sz w:val="22"/>
          <w:szCs w:val="24"/>
        </w:rPr>
        <w:t xml:space="preserve">ricavi derivanti dai corrispettivi riconosciuti dal CONAI </w:t>
      </w:r>
      <w:r>
        <w:rPr>
          <w:rFonts w:ascii="Arial" w:eastAsia="Times New Roman" w:hAnsi="Arial"/>
          <w:color w:val="000000"/>
          <w:sz w:val="22"/>
          <w:szCs w:val="24"/>
        </w:rPr>
        <w:t xml:space="preserve">a copertura dei maggiori oneri per la raccolta differenziata dei rifiuti di imballaggio; </w:t>
      </w:r>
    </w:p>
    <w:p w:rsidR="00ED4406" w:rsidRDefault="00ED4406" w:rsidP="00D80B53">
      <w:pPr>
        <w:pStyle w:val="Paragrafoelenco"/>
        <w:widowControl/>
        <w:numPr>
          <w:ilvl w:val="0"/>
          <w:numId w:val="12"/>
        </w:numPr>
        <w:spacing w:after="46" w:line="360" w:lineRule="auto"/>
        <w:ind w:hanging="360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Cambria Math" w:eastAsia="Times New Roman" w:hAnsi="Cambria Math"/>
          <w:color w:val="000000"/>
          <w:sz w:val="22"/>
          <w:szCs w:val="24"/>
        </w:rPr>
        <w:t>𝑏</w:t>
      </w:r>
      <w:r>
        <w:rPr>
          <w:rFonts w:ascii="Arial" w:eastAsia="Times New Roman" w:hAnsi="Arial"/>
          <w:b/>
          <w:color w:val="000000"/>
          <w:sz w:val="22"/>
          <w:szCs w:val="24"/>
        </w:rPr>
        <w:t>(1 + ω</w:t>
      </w:r>
      <w:r>
        <w:rPr>
          <w:rFonts w:ascii="Cambria Math" w:eastAsia="Times New Roman" w:hAnsi="Cambria Math"/>
          <w:color w:val="000000"/>
          <w:sz w:val="22"/>
          <w:szCs w:val="24"/>
        </w:rPr>
        <w:t>𝑎</w:t>
      </w:r>
      <w:r>
        <w:rPr>
          <w:rFonts w:ascii="Arial" w:eastAsia="Times New Roman" w:hAnsi="Arial"/>
          <w:b/>
          <w:color w:val="000000"/>
          <w:sz w:val="22"/>
          <w:szCs w:val="24"/>
        </w:rPr>
        <w:t xml:space="preserve">) </w:t>
      </w:r>
      <w:r>
        <w:rPr>
          <w:rFonts w:ascii="Arial" w:eastAsia="Times New Roman" w:hAnsi="Arial"/>
          <w:color w:val="000000"/>
          <w:sz w:val="22"/>
          <w:szCs w:val="24"/>
        </w:rPr>
        <w:t xml:space="preserve">è il </w:t>
      </w:r>
      <w:r>
        <w:rPr>
          <w:rFonts w:ascii="Arial" w:eastAsia="Times New Roman" w:hAnsi="Arial"/>
          <w:b/>
          <w:color w:val="000000"/>
          <w:sz w:val="22"/>
          <w:szCs w:val="24"/>
        </w:rPr>
        <w:t xml:space="preserve">fattore di </w:t>
      </w:r>
      <w:r>
        <w:rPr>
          <w:rFonts w:ascii="Arial" w:eastAsia="Times New Roman" w:hAnsi="Arial"/>
          <w:b/>
          <w:i/>
          <w:color w:val="000000"/>
          <w:sz w:val="22"/>
          <w:szCs w:val="24"/>
        </w:rPr>
        <w:t>sharing</w:t>
      </w:r>
      <w:r>
        <w:rPr>
          <w:rFonts w:ascii="Arial" w:eastAsia="Times New Roman" w:hAnsi="Arial"/>
          <w:b/>
          <w:color w:val="000000"/>
          <w:sz w:val="22"/>
          <w:szCs w:val="24"/>
        </w:rPr>
        <w:t xml:space="preserve">dei proventi derivanti dai corrispettivi riconosciuti dal CONAI; </w:t>
      </w:r>
    </w:p>
    <w:p w:rsidR="00ED4406" w:rsidRPr="00B222F0" w:rsidRDefault="00ED4406" w:rsidP="00D80B53">
      <w:pPr>
        <w:pStyle w:val="Paragrafoelenco"/>
        <w:widowControl/>
        <w:numPr>
          <w:ilvl w:val="0"/>
          <w:numId w:val="12"/>
        </w:numPr>
        <w:spacing w:line="360" w:lineRule="auto"/>
        <w:ind w:hanging="360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b/>
          <w:color w:val="000000"/>
          <w:sz w:val="22"/>
          <w:szCs w:val="24"/>
        </w:rPr>
        <w:t>Ω</w:t>
      </w:r>
      <w:r>
        <w:rPr>
          <w:rFonts w:ascii="Cambria Math" w:eastAsia="Times New Roman" w:hAnsi="Cambria Math"/>
          <w:color w:val="000000"/>
          <w:sz w:val="22"/>
          <w:szCs w:val="24"/>
        </w:rPr>
        <w:t>𝑎</w:t>
      </w:r>
      <w:r>
        <w:rPr>
          <w:rFonts w:ascii="Arial" w:eastAsia="Times New Roman" w:hAnsi="Arial"/>
          <w:color w:val="000000"/>
          <w:sz w:val="22"/>
          <w:szCs w:val="24"/>
        </w:rPr>
        <w:t xml:space="preserve"> è il fattore </w:t>
      </w:r>
      <w:r>
        <w:rPr>
          <w:rFonts w:ascii="Arial" w:eastAsia="Times New Roman" w:hAnsi="Arial"/>
          <w:b/>
          <w:color w:val="000000"/>
          <w:sz w:val="22"/>
          <w:szCs w:val="24"/>
        </w:rPr>
        <w:t xml:space="preserve">correttivo del fattore di </w:t>
      </w:r>
      <w:r>
        <w:rPr>
          <w:rFonts w:ascii="Arial" w:eastAsia="Times New Roman" w:hAnsi="Arial"/>
          <w:b/>
          <w:i/>
          <w:color w:val="000000"/>
          <w:sz w:val="22"/>
          <w:szCs w:val="24"/>
        </w:rPr>
        <w:t>sharing</w:t>
      </w:r>
      <w:r>
        <w:rPr>
          <w:rFonts w:ascii="Arial" w:eastAsia="Times New Roman" w:hAnsi="Arial"/>
          <w:b/>
          <w:color w:val="000000"/>
          <w:sz w:val="22"/>
          <w:szCs w:val="24"/>
        </w:rPr>
        <w:t xml:space="preserve">applicato ai proventi CONAI; </w:t>
      </w:r>
      <w:r>
        <w:rPr>
          <w:rFonts w:ascii="Arial" w:eastAsia="Times New Roman" w:hAnsi="Arial"/>
          <w:color w:val="000000"/>
          <w:sz w:val="22"/>
          <w:szCs w:val="24"/>
        </w:rPr>
        <w:t xml:space="preserve">è determinato dall’ETC in coerenza con le valutazioni compiute ai fini della determinazione dei parametri </w:t>
      </w:r>
      <w:r>
        <w:rPr>
          <w:rFonts w:ascii="Cambria Math" w:eastAsia="Times New Roman" w:hAnsi="Cambria Math"/>
          <w:color w:val="000000"/>
          <w:sz w:val="22"/>
          <w:szCs w:val="24"/>
        </w:rPr>
        <w:t>𝛾</w:t>
      </w:r>
      <w:r>
        <w:rPr>
          <w:rFonts w:ascii="Arial" w:eastAsia="Times New Roman" w:hAnsi="Arial"/>
          <w:color w:val="000000"/>
          <w:sz w:val="22"/>
          <w:szCs w:val="24"/>
        </w:rPr>
        <w:t>1,</w:t>
      </w:r>
      <w:r>
        <w:rPr>
          <w:rFonts w:ascii="Cambria Math" w:eastAsia="Times New Roman" w:hAnsi="Cambria Math"/>
          <w:color w:val="000000"/>
          <w:sz w:val="22"/>
          <w:szCs w:val="24"/>
        </w:rPr>
        <w:t>𝑎</w:t>
      </w:r>
      <w:r>
        <w:rPr>
          <w:rFonts w:ascii="Arial" w:eastAsia="Times New Roman" w:hAnsi="Arial"/>
          <w:color w:val="000000"/>
          <w:sz w:val="22"/>
          <w:szCs w:val="24"/>
        </w:rPr>
        <w:t xml:space="preserve"> e </w:t>
      </w:r>
      <w:r>
        <w:rPr>
          <w:rFonts w:ascii="Cambria Math" w:eastAsia="Times New Roman" w:hAnsi="Cambria Math"/>
          <w:color w:val="000000"/>
          <w:sz w:val="22"/>
          <w:szCs w:val="24"/>
        </w:rPr>
        <w:t>𝛾</w:t>
      </w:r>
      <w:r>
        <w:rPr>
          <w:rFonts w:ascii="Arial" w:eastAsia="Times New Roman" w:hAnsi="Arial"/>
          <w:color w:val="000000"/>
          <w:sz w:val="22"/>
          <w:szCs w:val="24"/>
        </w:rPr>
        <w:t>2,</w:t>
      </w:r>
      <w:r>
        <w:rPr>
          <w:rFonts w:ascii="Cambria Math" w:eastAsia="Times New Roman" w:hAnsi="Cambria Math"/>
          <w:color w:val="000000"/>
          <w:sz w:val="22"/>
          <w:szCs w:val="24"/>
        </w:rPr>
        <w:t>𝑎</w:t>
      </w:r>
      <w:r>
        <w:rPr>
          <w:rFonts w:ascii="Arial" w:eastAsia="Times New Roman" w:hAnsi="Arial"/>
          <w:color w:val="000000"/>
          <w:sz w:val="22"/>
          <w:szCs w:val="24"/>
        </w:rPr>
        <w:t xml:space="preserve"> (</w:t>
      </w:r>
      <w:r>
        <w:rPr>
          <w:rFonts w:ascii="Arial" w:eastAsia="Times New Roman" w:hAnsi="Arial"/>
          <w:b/>
          <w:color w:val="000000"/>
          <w:sz w:val="22"/>
          <w:szCs w:val="24"/>
        </w:rPr>
        <w:t>γ1,</w:t>
      </w:r>
      <w:r>
        <w:rPr>
          <w:rFonts w:ascii="Cambria Math" w:eastAsia="Times New Roman" w:hAnsi="Cambria Math"/>
          <w:color w:val="000000"/>
          <w:sz w:val="22"/>
          <w:szCs w:val="24"/>
        </w:rPr>
        <w:t>𝑎</w:t>
      </w:r>
      <w:r>
        <w:rPr>
          <w:rFonts w:ascii="Arial" w:eastAsia="Times New Roman" w:hAnsi="Arial"/>
          <w:color w:val="000000"/>
          <w:sz w:val="22"/>
          <w:szCs w:val="24"/>
        </w:rPr>
        <w:t xml:space="preserve"> è valorizzato tenendo conto della valutazione del rispetto degli </w:t>
      </w:r>
      <w:r>
        <w:rPr>
          <w:rFonts w:ascii="Arial" w:eastAsia="Times New Roman" w:hAnsi="Arial"/>
          <w:b/>
          <w:color w:val="000000"/>
          <w:sz w:val="22"/>
          <w:szCs w:val="24"/>
        </w:rPr>
        <w:t xml:space="preserve">obiettivi di raccolta differenziata </w:t>
      </w:r>
      <w:r>
        <w:rPr>
          <w:rFonts w:ascii="Arial" w:eastAsia="Times New Roman" w:hAnsi="Arial"/>
          <w:color w:val="000000"/>
          <w:sz w:val="22"/>
          <w:szCs w:val="24"/>
        </w:rPr>
        <w:t xml:space="preserve">da raggiungere; </w:t>
      </w:r>
      <w:r>
        <w:rPr>
          <w:rFonts w:ascii="Arial" w:eastAsia="Times New Roman" w:hAnsi="Arial"/>
          <w:b/>
          <w:color w:val="000000"/>
          <w:sz w:val="22"/>
          <w:szCs w:val="24"/>
        </w:rPr>
        <w:t>γ2,</w:t>
      </w:r>
      <w:r>
        <w:rPr>
          <w:rFonts w:ascii="Cambria Math" w:eastAsia="Times New Roman" w:hAnsi="Cambria Math"/>
          <w:color w:val="000000"/>
          <w:sz w:val="22"/>
          <w:szCs w:val="24"/>
        </w:rPr>
        <w:t>𝑎</w:t>
      </w:r>
      <w:r>
        <w:rPr>
          <w:rFonts w:ascii="Arial" w:eastAsia="Times New Roman" w:hAnsi="Arial"/>
          <w:color w:val="000000"/>
          <w:sz w:val="22"/>
          <w:szCs w:val="24"/>
        </w:rPr>
        <w:t xml:space="preserve"> è invece quantificato considerando l’efficacia delle attività di preparazione per il riutilizzo e il riciclo); </w:t>
      </w:r>
      <w:r>
        <w:rPr>
          <w:rFonts w:ascii="Arial" w:eastAsia="Times New Roman" w:hAnsi="Arial"/>
          <w:b/>
          <w:color w:val="000000"/>
          <w:sz w:val="22"/>
          <w:szCs w:val="24"/>
        </w:rPr>
        <w:t>ω</w:t>
      </w:r>
      <w:r>
        <w:rPr>
          <w:rFonts w:ascii="Cambria Math" w:eastAsia="Times New Roman" w:hAnsi="Cambria Math"/>
          <w:color w:val="000000"/>
          <w:sz w:val="22"/>
          <w:szCs w:val="24"/>
        </w:rPr>
        <w:t>𝑎</w:t>
      </w:r>
      <w:r>
        <w:rPr>
          <w:rFonts w:ascii="Arial" w:eastAsia="Times New Roman" w:hAnsi="Arial"/>
          <w:b/>
          <w:color w:val="000000"/>
          <w:sz w:val="22"/>
          <w:szCs w:val="24"/>
        </w:rPr>
        <w:t xml:space="preserve">può assumere un valore compreso nell’intervallo [0,1;0,4]; </w:t>
      </w:r>
    </w:p>
    <w:p w:rsidR="00B222F0" w:rsidRDefault="00B222F0" w:rsidP="00B222F0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</w:p>
    <w:p w:rsidR="00B222F0" w:rsidRDefault="00B222F0" w:rsidP="00B222F0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</w:p>
    <w:p w:rsidR="00B222F0" w:rsidRDefault="00B222F0" w:rsidP="00B222F0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</w:p>
    <w:p w:rsidR="00B222F0" w:rsidRPr="00B222F0" w:rsidRDefault="00B222F0" w:rsidP="00B222F0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left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In relazione alla tabella 5 dell’MTR: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6"/>
        <w:gridCol w:w="3685"/>
        <w:gridCol w:w="2960"/>
      </w:tblGrid>
      <w:tr w:rsidR="00ED4406">
        <w:trPr>
          <w:trHeight w:val="361"/>
          <w:jc w:val="center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lastRenderedPageBreak/>
              <w:t xml:space="preserve">Tabella 5. Nuovi parametri/componenti di costo introdotti dal MTR di competenza dell’ETC e loro rispettiva incidenza </w:t>
            </w:r>
            <w:r>
              <w:rPr>
                <w:rFonts w:ascii="Arial" w:eastAsia="Times New Roman" w:hAnsi="Arial"/>
                <w:b/>
                <w:color w:val="000000"/>
                <w:sz w:val="22"/>
              </w:rPr>
              <w:t xml:space="preserve">Fattore di </w:t>
            </w:r>
            <w:r>
              <w:rPr>
                <w:rFonts w:ascii="Arial" w:eastAsia="Times New Roman" w:hAnsi="Arial"/>
                <w:b/>
                <w:i/>
                <w:color w:val="000000"/>
                <w:sz w:val="22"/>
              </w:rPr>
              <w:t>sharing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b/>
                <w:color w:val="000000"/>
                <w:sz w:val="22"/>
              </w:rPr>
              <w:t xml:space="preserve">Valori min. del </w:t>
            </w:r>
            <w:r>
              <w:rPr>
                <w:rFonts w:ascii="Arial" w:eastAsia="Times New Roman" w:hAnsi="Arial"/>
                <w:b/>
                <w:i/>
                <w:color w:val="000000"/>
                <w:sz w:val="22"/>
              </w:rPr>
              <w:t>range</w:t>
            </w:r>
            <w:r>
              <w:rPr>
                <w:rFonts w:ascii="Arial" w:eastAsia="Times New Roman" w:hAnsi="Arial"/>
                <w:b/>
                <w:color w:val="000000"/>
                <w:sz w:val="22"/>
              </w:rPr>
              <w:t xml:space="preserve">ammesso per i fattori di </w:t>
            </w:r>
            <w:r>
              <w:rPr>
                <w:rFonts w:ascii="Arial" w:eastAsia="Times New Roman" w:hAnsi="Arial"/>
                <w:b/>
                <w:i/>
                <w:color w:val="000000"/>
                <w:sz w:val="22"/>
              </w:rPr>
              <w:t>sharing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b/>
                <w:color w:val="000000"/>
                <w:sz w:val="22"/>
              </w:rPr>
              <w:t xml:space="preserve">Valori max del </w:t>
            </w:r>
            <w:r>
              <w:rPr>
                <w:rFonts w:ascii="Arial" w:eastAsia="Times New Roman" w:hAnsi="Arial"/>
                <w:b/>
                <w:i/>
                <w:color w:val="000000"/>
                <w:sz w:val="22"/>
              </w:rPr>
              <w:t>range</w:t>
            </w:r>
            <w:r>
              <w:rPr>
                <w:rFonts w:ascii="Arial" w:eastAsia="Times New Roman" w:hAnsi="Arial"/>
                <w:b/>
                <w:color w:val="000000"/>
                <w:sz w:val="22"/>
              </w:rPr>
              <w:t xml:space="preserve">ammesso per i fattori di </w:t>
            </w:r>
            <w:r>
              <w:rPr>
                <w:rFonts w:ascii="Arial" w:eastAsia="Times New Roman" w:hAnsi="Arial"/>
                <w:b/>
                <w:i/>
                <w:color w:val="000000"/>
                <w:sz w:val="22"/>
              </w:rPr>
              <w:t>sharing</w:t>
            </w:r>
          </w:p>
        </w:tc>
      </w:tr>
      <w:tr w:rsidR="00ED4406">
        <w:trPr>
          <w:trHeight w:val="673"/>
          <w:jc w:val="center"/>
        </w:trPr>
        <w:tc>
          <w:tcPr>
            <w:tcW w:w="32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b/>
                <w:i/>
                <w:color w:val="000000"/>
                <w:sz w:val="22"/>
              </w:rPr>
              <w:t>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Massimo ammontare dei ricavi a favore del gestore e massimo incentivo per lo stesso nella valorizzazione dei rifiuti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Minimo ammontare dei ricavi a favore del gestore e minimo incentivo per lo stesso nella valorizzazione dei rifiuti </w:t>
            </w:r>
          </w:p>
        </w:tc>
      </w:tr>
      <w:tr w:rsidR="00ED4406">
        <w:trPr>
          <w:trHeight w:val="673"/>
          <w:jc w:val="center"/>
        </w:trPr>
        <w:tc>
          <w:tcPr>
            <w:tcW w:w="32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b/>
                <w:i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Minima detrazione dei costi da inserire nel PEF e minimo beneficio e tariffe più alte per gli utenti del servizio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Massima detrazione dei costi da inserire nel PEF e massimo beneficio e tariffe più basse per gli utenti del servizio </w:t>
            </w:r>
          </w:p>
        </w:tc>
      </w:tr>
      <w:tr w:rsidR="00ED4406">
        <w:trPr>
          <w:trHeight w:val="673"/>
          <w:jc w:val="center"/>
        </w:trPr>
        <w:tc>
          <w:tcPr>
            <w:tcW w:w="32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b/>
                <w:i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Necessità di giustificare la scelta da parte dell’Etc</w:t>
            </w:r>
          </w:p>
        </w:tc>
      </w:tr>
    </w:tbl>
    <w:p w:rsidR="00ED4406" w:rsidRDefault="00ED4406">
      <w:pPr>
        <w:pStyle w:val="commi"/>
        <w:widowControl/>
        <w:tabs>
          <w:tab w:val="clear" w:pos="567"/>
        </w:tabs>
        <w:spacing w:before="0" w:after="0"/>
        <w:ind w:left="0" w:firstLine="0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jc w:val="left"/>
        <w:rPr>
          <w:rFonts w:ascii="Arial" w:eastAsia="Times New Roman" w:hAnsi="Arial"/>
          <w:color w:val="000000"/>
          <w:sz w:val="22"/>
        </w:rPr>
      </w:pPr>
    </w:p>
    <w:p w:rsidR="00ED4406" w:rsidRDefault="00ED4406" w:rsidP="00D80B53">
      <w:pPr>
        <w:widowControl/>
        <w:spacing w:line="360" w:lineRule="auto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L’ente ha stabilito, in accordo con il gestore e in relazione agli obiettivi di mantenere un equilibrio tariffario rispetto all’anno precedente di scegliere valori</w:t>
      </w:r>
    </w:p>
    <w:p w:rsidR="00ED4406" w:rsidRDefault="00ED4406">
      <w:pPr>
        <w:widowControl/>
        <w:spacing w:line="276" w:lineRule="auto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pStyle w:val="Paragrafoelenco"/>
        <w:widowControl/>
        <w:numPr>
          <w:ilvl w:val="0"/>
          <w:numId w:val="13"/>
        </w:numPr>
        <w:spacing w:line="276" w:lineRule="auto"/>
        <w:ind w:hanging="360"/>
        <w:jc w:val="both"/>
        <w:rPr>
          <w:rFonts w:ascii="Arial" w:eastAsia="Times New Roman" w:hAnsi="Arial"/>
          <w:color w:val="000000"/>
          <w:sz w:val="22"/>
          <w:szCs w:val="24"/>
        </w:rPr>
      </w:pPr>
      <w:r>
        <w:rPr>
          <w:rFonts w:ascii="Arial" w:eastAsia="Times New Roman" w:hAnsi="Arial"/>
          <w:color w:val="000000"/>
          <w:sz w:val="22"/>
          <w:szCs w:val="24"/>
        </w:rPr>
        <w:t xml:space="preserve">massimi: in relazione a </w:t>
      </w:r>
      <w:r>
        <w:rPr>
          <w:rFonts w:ascii="Arial" w:eastAsia="Times New Roman" w:hAnsi="Arial"/>
          <w:b/>
          <w:i/>
          <w:color w:val="000000"/>
          <w:sz w:val="22"/>
          <w:szCs w:val="24"/>
        </w:rPr>
        <w:t xml:space="preserve">performance </w:t>
      </w:r>
      <w:r>
        <w:rPr>
          <w:rFonts w:ascii="Arial" w:eastAsia="Times New Roman" w:hAnsi="Arial"/>
          <w:b/>
          <w:color w:val="000000"/>
          <w:sz w:val="22"/>
          <w:szCs w:val="24"/>
        </w:rPr>
        <w:t xml:space="preserve">molto basse </w:t>
      </w:r>
      <w:r>
        <w:rPr>
          <w:rFonts w:ascii="Arial" w:eastAsia="Times New Roman" w:hAnsi="Arial"/>
          <w:color w:val="000000"/>
          <w:sz w:val="22"/>
          <w:szCs w:val="24"/>
        </w:rPr>
        <w:t xml:space="preserve">si sono definiti i coefficienti </w:t>
      </w:r>
      <w:r>
        <w:rPr>
          <w:rFonts w:ascii="Arial" w:eastAsia="Times New Roman" w:hAnsi="Arial"/>
          <w:b/>
          <w:i/>
          <w:color w:val="000000"/>
          <w:sz w:val="22"/>
          <w:szCs w:val="24"/>
        </w:rPr>
        <w:t>b</w:t>
      </w:r>
      <w:r>
        <w:rPr>
          <w:rFonts w:ascii="Arial" w:eastAsia="Times New Roman" w:hAnsi="Arial"/>
          <w:color w:val="000000"/>
          <w:sz w:val="22"/>
          <w:szCs w:val="24"/>
        </w:rPr>
        <w:t xml:space="preserve"> e </w:t>
      </w:r>
      <w:r>
        <w:rPr>
          <w:rFonts w:ascii="Arial" w:eastAsia="Times New Roman" w:hAnsi="Arial"/>
          <w:b/>
          <w:color w:val="000000"/>
          <w:sz w:val="22"/>
          <w:szCs w:val="24"/>
        </w:rPr>
        <w:t>ω</w:t>
      </w:r>
      <w:r>
        <w:rPr>
          <w:rFonts w:ascii="Cambria Math" w:eastAsia="Times New Roman" w:hAnsi="Cambria Math"/>
          <w:color w:val="000000"/>
          <w:sz w:val="16"/>
          <w:szCs w:val="24"/>
        </w:rPr>
        <w:t>𝑎</w:t>
      </w:r>
      <w:r>
        <w:rPr>
          <w:rFonts w:ascii="Arial" w:eastAsia="Times New Roman" w:hAnsi="Arial"/>
          <w:color w:val="000000"/>
          <w:sz w:val="22"/>
          <w:szCs w:val="24"/>
        </w:rPr>
        <w:t xml:space="preserve">indicati in tabella, in modo che l’Ente, in tal modo può trattenere al gestore e detrarre dai costi da inserire nel PEF </w:t>
      </w:r>
      <w:r>
        <w:rPr>
          <w:rFonts w:ascii="Arial" w:eastAsia="Times New Roman" w:hAnsi="Arial"/>
          <w:b/>
          <w:color w:val="000000"/>
          <w:sz w:val="22"/>
          <w:szCs w:val="24"/>
        </w:rPr>
        <w:t xml:space="preserve">dal 42% (b=0,3) all’84% (b=0,6) </w:t>
      </w:r>
      <w:r>
        <w:rPr>
          <w:rFonts w:ascii="Arial" w:eastAsia="Times New Roman" w:hAnsi="Arial"/>
          <w:color w:val="000000"/>
          <w:sz w:val="22"/>
          <w:szCs w:val="24"/>
        </w:rPr>
        <w:t>dei ricavi</w:t>
      </w:r>
    </w:p>
    <w:p w:rsidR="00D80B53" w:rsidRDefault="00D80B53" w:rsidP="00D80B53">
      <w:pPr>
        <w:pStyle w:val="Paragrafoelenco"/>
        <w:widowControl/>
        <w:spacing w:line="276" w:lineRule="auto"/>
        <w:jc w:val="both"/>
        <w:rPr>
          <w:rFonts w:ascii="Arial" w:eastAsia="Times New Roman" w:hAnsi="Arial"/>
          <w:color w:val="000000"/>
          <w:sz w:val="22"/>
          <w:szCs w:val="24"/>
        </w:rPr>
      </w:pPr>
    </w:p>
    <w:p w:rsidR="00ED4406" w:rsidRDefault="00B2205D">
      <w:pPr>
        <w:pStyle w:val="Titolo2"/>
        <w:widowControl/>
        <w:rPr>
          <w:rFonts w:ascii="Arial" w:eastAsia="Times New Roman" w:hAnsi="Arial"/>
          <w:bCs w:val="0"/>
          <w:color w:val="000000"/>
          <w:sz w:val="22"/>
        </w:rPr>
      </w:pPr>
      <w:r>
        <w:rPr>
          <w:rFonts w:ascii="Arial" w:eastAsia="Times New Roman" w:hAnsi="Arial"/>
          <w:bCs w:val="0"/>
          <w:color w:val="000000"/>
          <w:sz w:val="22"/>
        </w:rPr>
        <w:t xml:space="preserve">4.7 </w:t>
      </w:r>
      <w:r w:rsidR="00ED4406">
        <w:rPr>
          <w:rFonts w:ascii="Arial" w:eastAsia="Times New Roman" w:hAnsi="Arial"/>
          <w:bCs w:val="0"/>
          <w:color w:val="000000"/>
          <w:sz w:val="22"/>
        </w:rPr>
        <w:t xml:space="preserve">Scelta degli ulteriori parametri </w:t>
      </w:r>
    </w:p>
    <w:p w:rsidR="00ED4406" w:rsidRDefault="00ED4406">
      <w:pPr>
        <w:widowControl/>
        <w:rPr>
          <w:rFonts w:eastAsia="Times New Roman"/>
          <w:color w:val="000000"/>
        </w:rPr>
      </w:pPr>
    </w:p>
    <w:p w:rsidR="00ED4406" w:rsidRDefault="00ED4406">
      <w:pPr>
        <w:pStyle w:val="Paragrafoelenco"/>
        <w:widowControl/>
        <w:numPr>
          <w:ilvl w:val="0"/>
          <w:numId w:val="18"/>
        </w:numPr>
        <w:ind w:hanging="360"/>
        <w:rPr>
          <w:rFonts w:ascii="Arial" w:eastAsia="Times New Roman" w:hAnsi="Arial"/>
          <w:b/>
          <w:color w:val="000000"/>
          <w:sz w:val="22"/>
          <w:szCs w:val="24"/>
        </w:rPr>
      </w:pPr>
      <w:r>
        <w:rPr>
          <w:rFonts w:ascii="Arial" w:eastAsia="Times New Roman" w:hAnsi="Arial"/>
          <w:b/>
          <w:color w:val="000000"/>
          <w:sz w:val="22"/>
          <w:szCs w:val="24"/>
        </w:rPr>
        <w:t>Rateizzazione r: effettuata in numero 1 rate</w:t>
      </w:r>
    </w:p>
    <w:p w:rsidR="00D80B53" w:rsidRDefault="00D80B53" w:rsidP="00D80B53">
      <w:pPr>
        <w:widowControl/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Allo scopo di mantenere l’equilibrio economico finanziario, l’Ente in accordo con il gestore, ha stabilito di fissare tale numero di rate poiché non si </w:t>
      </w:r>
      <w:r w:rsidR="00C05E81">
        <w:rPr>
          <w:rFonts w:ascii="Arial" w:hAnsi="Arial"/>
          <w:color w:val="000000"/>
          <w:sz w:val="22"/>
        </w:rPr>
        <w:t xml:space="preserve">ha un aggravio significativo </w:t>
      </w:r>
      <w:r>
        <w:rPr>
          <w:rFonts w:ascii="Arial" w:hAnsi="Arial"/>
          <w:color w:val="000000"/>
          <w:sz w:val="22"/>
        </w:rPr>
        <w:t>sulle tariffe dell’anno 2021</w:t>
      </w:r>
      <w:r w:rsidR="00C05E81">
        <w:rPr>
          <w:rFonts w:ascii="Arial" w:hAnsi="Arial"/>
          <w:color w:val="000000"/>
          <w:sz w:val="22"/>
        </w:rPr>
        <w:t xml:space="preserve"> nella</w:t>
      </w:r>
      <w:r>
        <w:rPr>
          <w:rFonts w:ascii="Arial" w:hAnsi="Arial"/>
          <w:color w:val="000000"/>
          <w:sz w:val="22"/>
        </w:rPr>
        <w:t xml:space="preserve"> ripartizione dei conguagli.</w:t>
      </w:r>
    </w:p>
    <w:p w:rsidR="00D80B53" w:rsidRDefault="00D80B53">
      <w:pPr>
        <w:widowControl/>
        <w:spacing w:line="276" w:lineRule="auto"/>
        <w:rPr>
          <w:rFonts w:ascii="Arial" w:eastAsia="Times New Roman" w:hAnsi="Arial"/>
          <w:color w:val="000000"/>
          <w:sz w:val="22"/>
        </w:rPr>
      </w:pPr>
    </w:p>
    <w:p w:rsidR="00D80B53" w:rsidRDefault="00D80B53">
      <w:pPr>
        <w:widowControl/>
        <w:spacing w:line="276" w:lineRule="auto"/>
        <w:rPr>
          <w:rFonts w:ascii="Arial" w:eastAsia="Times New Roman" w:hAnsi="Arial"/>
          <w:color w:val="000000"/>
          <w:sz w:val="22"/>
        </w:rPr>
      </w:pPr>
    </w:p>
    <w:p w:rsidR="00ED4406" w:rsidRDefault="00ED4406">
      <w:pPr>
        <w:widowControl/>
        <w:numPr>
          <w:ilvl w:val="0"/>
          <w:numId w:val="17"/>
        </w:numPr>
        <w:spacing w:line="276" w:lineRule="auto"/>
        <w:ind w:left="720" w:hanging="360"/>
        <w:rPr>
          <w:rFonts w:ascii="Arial" w:eastAsia="Times New Roman" w:hAnsi="Arial"/>
          <w:b/>
          <w:color w:val="000000"/>
          <w:sz w:val="22"/>
        </w:rPr>
      </w:pPr>
      <w:r>
        <w:rPr>
          <w:rFonts w:ascii="Arial" w:eastAsia="Times New Roman" w:hAnsi="Arial"/>
          <w:b/>
          <w:color w:val="000000"/>
          <w:sz w:val="22"/>
        </w:rPr>
        <w:t>Ulteriori componenti ex Deliberazioni 443/2019/R/Rif, 238/2020/R/Rif e 493/2020/R/Rif</w:t>
      </w:r>
    </w:p>
    <w:p w:rsidR="00ED4406" w:rsidRDefault="00ED4406">
      <w:pPr>
        <w:widowControl/>
        <w:spacing w:line="276" w:lineRule="auto"/>
        <w:rPr>
          <w:rFonts w:ascii="Arial" w:eastAsia="Times New Roman" w:hAnsi="Arial"/>
          <w:color w:val="000000"/>
          <w:sz w:val="22"/>
        </w:rPr>
      </w:pPr>
    </w:p>
    <w:tbl>
      <w:tblPr>
        <w:tblW w:w="96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34"/>
        <w:gridCol w:w="1604"/>
      </w:tblGrid>
      <w:tr w:rsidR="00ED4406">
        <w:trPr>
          <w:trHeight w:val="402"/>
        </w:trPr>
        <w:tc>
          <w:tcPr>
            <w:tcW w:w="80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Scostamento atteso dei costi variabili di cui all'articolo 7 bis del MTR   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COV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  <w:vertAlign w:val="superscript"/>
              </w:rPr>
              <w:t>EXP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  <w:vertAlign w:val="subscript"/>
              </w:rPr>
              <w:t>TV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2021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0,00</w:t>
            </w:r>
          </w:p>
        </w:tc>
      </w:tr>
      <w:tr w:rsidR="00ED4406">
        <w:trPr>
          <w:trHeight w:val="402"/>
        </w:trPr>
        <w:tc>
          <w:tcPr>
            <w:tcW w:w="8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Oneri variabili per la tutela delle utenze domestiche di cui al comma 7 ter.1 del MTR   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COS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  <w:vertAlign w:val="superscript"/>
              </w:rPr>
              <w:t>EXP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  <w:vertAlign w:val="subscript"/>
              </w:rPr>
              <w:t>TV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,2021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0,00</w:t>
            </w:r>
          </w:p>
        </w:tc>
      </w:tr>
      <w:tr w:rsidR="00ED4406">
        <w:trPr>
          <w:trHeight w:val="402"/>
        </w:trPr>
        <w:tc>
          <w:tcPr>
            <w:tcW w:w="80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Numero di rate 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r'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     0</w:t>
            </w:r>
          </w:p>
        </w:tc>
      </w:tr>
      <w:tr w:rsidR="00ED4406">
        <w:trPr>
          <w:trHeight w:val="402"/>
        </w:trPr>
        <w:tc>
          <w:tcPr>
            <w:tcW w:w="8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Rata annuale RCND</w:t>
            </w:r>
            <w:r>
              <w:rPr>
                <w:rFonts w:ascii="Arial" w:eastAsia="Times New Roman" w:hAnsi="Arial"/>
                <w:color w:val="000000"/>
                <w:sz w:val="20"/>
                <w:vertAlign w:val="subscript"/>
              </w:rPr>
              <w:t>TV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RCND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  <w:vertAlign w:val="subscript"/>
              </w:rPr>
              <w:t>TV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/r'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0,00</w:t>
            </w:r>
          </w:p>
        </w:tc>
      </w:tr>
      <w:tr w:rsidR="00ED4406">
        <w:trPr>
          <w:trHeight w:val="402"/>
        </w:trPr>
        <w:tc>
          <w:tcPr>
            <w:tcW w:w="8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Deroga ex art. 107 c.5 d.l. 18/20: differenza tra costi variabili 2019 e costi variabili da PEF 2020 approvato in applicazione del MTR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24.689,78</w:t>
            </w:r>
          </w:p>
        </w:tc>
      </w:tr>
      <w:tr w:rsidR="00ED4406">
        <w:trPr>
          <w:trHeight w:val="402"/>
        </w:trPr>
        <w:tc>
          <w:tcPr>
            <w:tcW w:w="8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Numero di anni per il recupero della differenza tra costi 2019 e costi da PEF 2020 approvato in applicazione del MTR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    3</w:t>
            </w:r>
          </w:p>
        </w:tc>
      </w:tr>
      <w:tr w:rsidR="00ED4406">
        <w:trPr>
          <w:trHeight w:val="402"/>
        </w:trPr>
        <w:tc>
          <w:tcPr>
            <w:tcW w:w="8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Rata annuale conguaglio relativa ai costi variabili per deroga ex art. 107, c. 5, d.l. 18/20   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RCU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  <w:vertAlign w:val="subscript"/>
              </w:rPr>
              <w:t>TV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8.229,92</w:t>
            </w:r>
          </w:p>
        </w:tc>
      </w:tr>
      <w:tr w:rsidR="00ED4406">
        <w:trPr>
          <w:trHeight w:val="402"/>
        </w:trPr>
        <w:tc>
          <w:tcPr>
            <w:tcW w:w="8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Quota (relativa ai costi variabili) dei conguagli residui afferenti alle determinazioni tariffarie del 2020, da recuperare nel 2021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0,00</w:t>
            </w:r>
          </w:p>
        </w:tc>
      </w:tr>
      <w:tr w:rsidR="00ED4406">
        <w:trPr>
          <w:trHeight w:val="402"/>
        </w:trPr>
        <w:tc>
          <w:tcPr>
            <w:tcW w:w="80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i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lastRenderedPageBreak/>
              <w:t xml:space="preserve">       di cui quota dei conguagli relativi all'annualità 2018 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(1+ɣ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  <w:vertAlign w:val="subscript"/>
              </w:rPr>
              <w:t>2020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)RC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  <w:vertAlign w:val="subscript"/>
              </w:rPr>
              <w:t>TV,2020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/r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  <w:vertAlign w:val="subscript"/>
              </w:rPr>
              <w:t>2020</w:t>
            </w:r>
          </w:p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i/>
                <w:color w:val="000000"/>
                <w:sz w:val="20"/>
              </w:rPr>
              <w:t>(se r</w:t>
            </w:r>
            <w:r>
              <w:rPr>
                <w:rFonts w:ascii="Arial" w:eastAsia="Times New Roman" w:hAnsi="Arial"/>
                <w:i/>
                <w:color w:val="000000"/>
                <w:sz w:val="20"/>
                <w:vertAlign w:val="subscript"/>
              </w:rPr>
              <w:t>2020</w:t>
            </w:r>
            <w:r>
              <w:rPr>
                <w:rFonts w:ascii="Arial" w:eastAsia="Times New Roman" w:hAnsi="Arial"/>
                <w:i/>
                <w:color w:val="000000"/>
                <w:sz w:val="20"/>
              </w:rPr>
              <w:t>&gt; 1)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0,00</w:t>
            </w:r>
          </w:p>
        </w:tc>
      </w:tr>
      <w:tr w:rsidR="00ED4406">
        <w:trPr>
          <w:trHeight w:val="402"/>
        </w:trPr>
        <w:tc>
          <w:tcPr>
            <w:tcW w:w="8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Numero di rate conguagli relativi all'annualità 2018 (RC 2020)   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r</w:t>
            </w:r>
            <w:r>
              <w:rPr>
                <w:rFonts w:ascii="Arial" w:eastAsia="Times New Roman" w:hAnsi="Arial"/>
                <w:color w:val="000000"/>
                <w:sz w:val="20"/>
                <w:vertAlign w:val="subscript"/>
              </w:rPr>
              <w:t xml:space="preserve">2020 </w:t>
            </w:r>
            <w:r>
              <w:rPr>
                <w:rFonts w:ascii="Arial" w:eastAsia="Times New Roman" w:hAnsi="Arial"/>
                <w:i/>
                <w:color w:val="000000"/>
                <w:sz w:val="20"/>
              </w:rPr>
              <w:t>(da PEF 2020)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     0</w:t>
            </w:r>
          </w:p>
        </w:tc>
      </w:tr>
      <w:tr w:rsidR="00ED4406">
        <w:trPr>
          <w:trHeight w:val="792"/>
        </w:trPr>
        <w:tc>
          <w:tcPr>
            <w:tcW w:w="8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∑TV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a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totale delle entrate tariffarie relative alle componenti di costo variabile (ex deliberazioni 443/2019/R/RIF, 238/2020/R/RIF e 493/2020/R/RIF)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253.586,57</w:t>
            </w:r>
          </w:p>
        </w:tc>
      </w:tr>
      <w:tr w:rsidR="00ED4406">
        <w:trPr>
          <w:trHeight w:val="402"/>
        </w:trPr>
        <w:tc>
          <w:tcPr>
            <w:tcW w:w="8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Scostamento atteso dei costi fissi di cui all'articolo 7 bis del MTR   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COV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  <w:vertAlign w:val="superscript"/>
              </w:rPr>
              <w:t>EXP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  <w:vertAlign w:val="subscript"/>
              </w:rPr>
              <w:t>TF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2021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0,00</w:t>
            </w:r>
          </w:p>
        </w:tc>
      </w:tr>
      <w:tr w:rsidR="00ED4406">
        <w:trPr>
          <w:trHeight w:val="402"/>
        </w:trPr>
        <w:tc>
          <w:tcPr>
            <w:tcW w:w="8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Deroga ex art. 107 c.5 d.l. 18/20: differenza tra costi fissi 2019 e costi fissi da PEF 2020 approvato in applicazione del MTR 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19.596,42</w:t>
            </w:r>
          </w:p>
        </w:tc>
      </w:tr>
      <w:tr w:rsidR="00ED4406">
        <w:trPr>
          <w:trHeight w:val="402"/>
        </w:trPr>
        <w:tc>
          <w:tcPr>
            <w:tcW w:w="8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Numero di anni per il recupero della differenza tra costi 2019 e costi da PEF 2020 approvato in applicazione del MTR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    3</w:t>
            </w:r>
          </w:p>
        </w:tc>
      </w:tr>
      <w:tr w:rsidR="00ED4406">
        <w:trPr>
          <w:trHeight w:val="402"/>
        </w:trPr>
        <w:tc>
          <w:tcPr>
            <w:tcW w:w="8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Rata annuale conguaglio relativa ai costi fissi per deroga ex art. 107, c. 5, d.l. 18/20   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RCU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  <w:vertAlign w:val="subscript"/>
              </w:rPr>
              <w:t>TF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6.532,14</w:t>
            </w:r>
          </w:p>
        </w:tc>
      </w:tr>
      <w:tr w:rsidR="00ED4406">
        <w:trPr>
          <w:trHeight w:val="402"/>
        </w:trPr>
        <w:tc>
          <w:tcPr>
            <w:tcW w:w="8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Quota (relativa ai costi fissi) dei conguagli residui afferenti alle determinazioni tariffarie del 2020, da recuperare nel 2021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0,00</w:t>
            </w:r>
          </w:p>
        </w:tc>
      </w:tr>
      <w:tr w:rsidR="00ED4406">
        <w:trPr>
          <w:trHeight w:val="402"/>
        </w:trPr>
        <w:tc>
          <w:tcPr>
            <w:tcW w:w="80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       di cui quota dei conguagli relativi all'annualità 2018 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(1+ɣ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  <w:vertAlign w:val="subscript"/>
              </w:rPr>
              <w:t>2020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)RC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  <w:vertAlign w:val="subscript"/>
              </w:rPr>
              <w:t>TF,2020</w:t>
            </w:r>
            <w:r>
              <w:rPr>
                <w:rFonts w:ascii="Arial" w:eastAsia="Times New Roman" w:hAnsi="Arial"/>
                <w:b/>
                <w:i/>
                <w:color w:val="000000"/>
                <w:sz w:val="20"/>
              </w:rPr>
              <w:t>/r</w:t>
            </w:r>
            <w:r>
              <w:rPr>
                <w:rFonts w:ascii="Arial" w:eastAsia="Times New Roman" w:hAnsi="Arial"/>
                <w:color w:val="000000"/>
                <w:sz w:val="20"/>
                <w:vertAlign w:val="subscript"/>
              </w:rPr>
              <w:t>2020</w:t>
            </w:r>
          </w:p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i/>
                <w:color w:val="000000"/>
                <w:sz w:val="20"/>
              </w:rPr>
              <w:t>(se r</w:t>
            </w:r>
            <w:r>
              <w:rPr>
                <w:rFonts w:ascii="Arial" w:eastAsia="Times New Roman" w:hAnsi="Arial"/>
                <w:i/>
                <w:color w:val="000000"/>
                <w:sz w:val="20"/>
                <w:vertAlign w:val="subscript"/>
              </w:rPr>
              <w:t>2020</w:t>
            </w:r>
            <w:r>
              <w:rPr>
                <w:rFonts w:ascii="Arial" w:eastAsia="Times New Roman" w:hAnsi="Arial"/>
                <w:i/>
                <w:color w:val="000000"/>
                <w:sz w:val="20"/>
              </w:rPr>
              <w:t>&gt; 1)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0,00</w:t>
            </w:r>
          </w:p>
        </w:tc>
      </w:tr>
      <w:tr w:rsidR="00ED4406">
        <w:trPr>
          <w:trHeight w:val="402"/>
        </w:trPr>
        <w:tc>
          <w:tcPr>
            <w:tcW w:w="8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Numero di rate conguagli relativi all'annualità 2018 (RC 2020)   r</w:t>
            </w:r>
            <w:r>
              <w:rPr>
                <w:rFonts w:ascii="Arial" w:eastAsia="Times New Roman" w:hAnsi="Arial"/>
                <w:color w:val="000000"/>
                <w:sz w:val="20"/>
                <w:vertAlign w:val="subscript"/>
              </w:rPr>
              <w:t xml:space="preserve">2020 </w:t>
            </w:r>
            <w:r>
              <w:rPr>
                <w:rFonts w:ascii="Arial" w:eastAsia="Times New Roman" w:hAnsi="Arial"/>
                <w:i/>
                <w:color w:val="000000"/>
                <w:sz w:val="20"/>
              </w:rPr>
              <w:t>(da PEF 2020)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color w:val="000000"/>
                <w:sz w:val="20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     0</w:t>
            </w:r>
          </w:p>
        </w:tc>
      </w:tr>
      <w:tr w:rsidR="00ED4406">
        <w:trPr>
          <w:trHeight w:val="792"/>
        </w:trPr>
        <w:tc>
          <w:tcPr>
            <w:tcW w:w="8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∑TF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a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totale delle entrate tariffarie relative alle componenti di costo fisse (ex deliberazioni 443/2019/R/RIF, 238/2020/R/RIF e 493/2020/R/RIF)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122.720,35</w:t>
            </w:r>
          </w:p>
        </w:tc>
      </w:tr>
      <w:tr w:rsidR="00ED4406">
        <w:trPr>
          <w:trHeight w:val="792"/>
        </w:trPr>
        <w:tc>
          <w:tcPr>
            <w:tcW w:w="8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lef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∑T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a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>= ∑TV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a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+ ∑TF</w:t>
            </w:r>
            <w:r>
              <w:rPr>
                <w:rFonts w:ascii="Arial" w:eastAsia="Times New Roman" w:hAnsi="Arial"/>
                <w:b/>
                <w:color w:val="000000"/>
                <w:sz w:val="20"/>
                <w:vertAlign w:val="subscript"/>
              </w:rPr>
              <w:t>a</w:t>
            </w:r>
            <w:r>
              <w:rPr>
                <w:rFonts w:ascii="Arial" w:eastAsia="Times New Roman" w:hAnsi="Arial"/>
                <w:b/>
                <w:color w:val="000000"/>
                <w:sz w:val="20"/>
              </w:rPr>
              <w:t xml:space="preserve"> (ex deliberazioni 443/2019/R/RIF, 238/2020/R/RIF e 493/2020/R/RIF)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ED4406" w:rsidRDefault="00ED4406">
            <w:pPr>
              <w:widowControl/>
              <w:jc w:val="right"/>
              <w:rPr>
                <w:rFonts w:ascii="Arial" w:eastAsia="Times New Roman" w:hAnsi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376.306,92</w:t>
            </w:r>
          </w:p>
        </w:tc>
      </w:tr>
    </w:tbl>
    <w:p w:rsidR="00ED4406" w:rsidRDefault="00ED4406">
      <w:pPr>
        <w:widowControl/>
        <w:rPr>
          <w:rFonts w:eastAsia="Times New Roman"/>
        </w:rPr>
      </w:pPr>
    </w:p>
    <w:sectPr w:rsidR="00ED4406" w:rsidSect="00CE6BCB">
      <w:headerReference w:type="default" r:id="rId14"/>
      <w:footerReference w:type="default" r:id="rId15"/>
      <w:pgSz w:w="11906" w:h="16837"/>
      <w:pgMar w:top="1700" w:right="1134" w:bottom="1134" w:left="1134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87" w:rsidRDefault="004E4987">
      <w:r>
        <w:separator/>
      </w:r>
    </w:p>
  </w:endnote>
  <w:endnote w:type="continuationSeparator" w:id="1">
    <w:p w:rsidR="004E4987" w:rsidRDefault="004E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06" w:rsidRDefault="00E00227">
    <w:pPr>
      <w:pStyle w:val="Pidipagina"/>
      <w:widowControl/>
      <w:jc w:val="right"/>
      <w:rPr>
        <w:rFonts w:eastAsia="Times New Roman" w:cs="Times New Roman"/>
        <w:szCs w:val="24"/>
        <w:lang w:val="en-GB"/>
      </w:rPr>
    </w:pPr>
    <w:r>
      <w:rPr>
        <w:rFonts w:eastAsia="Times New Roman" w:cs="Times New Roman"/>
        <w:szCs w:val="24"/>
        <w:lang w:val="en-GB"/>
      </w:rPr>
      <w:fldChar w:fldCharType="begin"/>
    </w:r>
    <w:r w:rsidR="00ED4406">
      <w:rPr>
        <w:rFonts w:eastAsia="Times New Roman" w:cs="Times New Roman"/>
        <w:szCs w:val="24"/>
        <w:lang w:val="en-GB"/>
      </w:rPr>
      <w:instrText>PAGE</w:instrText>
    </w:r>
    <w:r>
      <w:rPr>
        <w:rFonts w:eastAsia="Times New Roman" w:cs="Times New Roman"/>
        <w:szCs w:val="24"/>
        <w:lang w:val="en-GB"/>
      </w:rPr>
      <w:fldChar w:fldCharType="separate"/>
    </w:r>
    <w:r w:rsidR="00C25711">
      <w:rPr>
        <w:rFonts w:eastAsia="Times New Roman" w:cs="Times New Roman"/>
        <w:noProof/>
        <w:szCs w:val="24"/>
        <w:lang w:val="en-GB"/>
      </w:rPr>
      <w:t>11</w:t>
    </w:r>
    <w:r>
      <w:rPr>
        <w:rFonts w:eastAsia="Times New Roman" w:cs="Times New Roman"/>
        <w:szCs w:val="24"/>
        <w:lang w:val="en-GB"/>
      </w:rPr>
      <w:fldChar w:fldCharType="end"/>
    </w:r>
  </w:p>
  <w:p w:rsidR="00ED4406" w:rsidRDefault="00ED4406">
    <w:pPr>
      <w:pStyle w:val="Pidipagina"/>
      <w:widowControl/>
      <w:rPr>
        <w:rFonts w:eastAsia="Times New Roman" w:cs="Times New Roman"/>
        <w:szCs w:val="24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87" w:rsidRDefault="004E4987">
      <w:r>
        <w:separator/>
      </w:r>
    </w:p>
  </w:footnote>
  <w:footnote w:type="continuationSeparator" w:id="1">
    <w:p w:rsidR="004E4987" w:rsidRDefault="004E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06" w:rsidRDefault="00ED4406">
    <w:pPr>
      <w:pStyle w:val="Intestazione"/>
      <w:widowControl/>
      <w:rPr>
        <w:rFonts w:eastAsia="Times New Roman" w:cs="Times New Roman"/>
        <w:szCs w:val="24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305"/>
    <w:multiLevelType w:val="multilevel"/>
    <w:tmpl w:val="1A68658C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17A6095"/>
    <w:multiLevelType w:val="multilevel"/>
    <w:tmpl w:val="E544F682"/>
    <w:lvl w:ilvl="0">
      <w:start w:val="1"/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84270A2"/>
    <w:multiLevelType w:val="multilevel"/>
    <w:tmpl w:val="678E428E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suff w:val="space"/>
      <w:lvlText w:val="Capitolo %2"/>
      <w:lvlJc w:val="left"/>
      <w:rPr>
        <w:rFonts w:ascii="Times New Roman" w:hAnsi="Times New Roman" w:cs="Times New Roman"/>
        <w:b/>
        <w:sz w:val="24"/>
      </w:rPr>
    </w:lvl>
    <w:lvl w:ilvl="2">
      <w:start w:val="1"/>
      <w:numFmt w:val="decimal"/>
      <w:lvlRestart w:val="0"/>
      <w:suff w:val="space"/>
      <w:lvlText w:val="Articolo %3"/>
      <w:lvlJc w:val="left"/>
      <w:rPr>
        <w:rFonts w:ascii="Times New Roman" w:hAnsi="Times New Roman" w:cs="Times New Roman"/>
        <w:b/>
        <w:sz w:val="24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decimal"/>
      <w:lvlText w:val="%3.%5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lowerRoman"/>
      <w:lvlText w:val="%7)"/>
      <w:lvlJc w:val="left"/>
      <w:rPr>
        <w:rFonts w:cs="Times New Roman"/>
      </w:rPr>
    </w:lvl>
    <w:lvl w:ilvl="7">
      <w:start w:val="1"/>
      <w:numFmt w:val="lowerRoman"/>
      <w:lvlText w:val="%8.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3">
    <w:nsid w:val="0A8426F5"/>
    <w:multiLevelType w:val="multilevel"/>
    <w:tmpl w:val="70B65F7A"/>
    <w:lvl w:ilvl="0">
      <w:start w:val="12"/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bullet"/>
      <w:lvlText w:val=""/>
      <w:lvlJc w:val="left"/>
      <w:rPr>
        <w:rFonts w:ascii="Wingdings 2" w:hAnsi="Wingdings 2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>
    <w:nsid w:val="15D82A0B"/>
    <w:multiLevelType w:val="multilevel"/>
    <w:tmpl w:val="2EE4442A"/>
    <w:lvl w:ilvl="0">
      <w:start w:val="1"/>
      <w:numFmt w:val="bullet"/>
      <w:lvlText w:val="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>
    <w:nsid w:val="187E45C6"/>
    <w:multiLevelType w:val="multilevel"/>
    <w:tmpl w:val="0442978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>
    <w:nsid w:val="2027354B"/>
    <w:multiLevelType w:val="multilevel"/>
    <w:tmpl w:val="6A7A569E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>
    <w:nsid w:val="24396438"/>
    <w:multiLevelType w:val="multilevel"/>
    <w:tmpl w:val="F6F83080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>
    <w:nsid w:val="24921DC5"/>
    <w:multiLevelType w:val="multilevel"/>
    <w:tmpl w:val="A1966A2C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9">
    <w:nsid w:val="2932297B"/>
    <w:multiLevelType w:val="multilevel"/>
    <w:tmpl w:val="2A12523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0">
    <w:nsid w:val="2A5236FB"/>
    <w:multiLevelType w:val="multilevel"/>
    <w:tmpl w:val="E0C80B4C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1">
    <w:nsid w:val="32663C9B"/>
    <w:multiLevelType w:val="multilevel"/>
    <w:tmpl w:val="9972136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2">
    <w:nsid w:val="33492DD9"/>
    <w:multiLevelType w:val="multilevel"/>
    <w:tmpl w:val="DD3276D4"/>
    <w:lvl w:ilvl="0">
      <w:start w:val="12"/>
      <w:numFmt w:val="bullet"/>
      <w:lvlText w:val="-"/>
      <w:lvlJc w:val="left"/>
      <w:rPr>
        <w:rFonts w:ascii="Times New Roman" w:hAnsi="Times New Roman" w:cs="Times New Roman"/>
      </w:rPr>
    </w:lvl>
    <w:lvl w:ilvl="1">
      <w:start w:val="164"/>
      <w:numFmt w:val="bullet"/>
      <w:lvlText w:val=""/>
      <w:lvlJc w:val="left"/>
      <w:rPr>
        <w:rFonts w:ascii="Wingdings" w:hAnsi="Wingdings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3">
    <w:nsid w:val="35540F79"/>
    <w:multiLevelType w:val="multilevel"/>
    <w:tmpl w:val="729060EE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>
    <w:nsid w:val="35897435"/>
    <w:multiLevelType w:val="multilevel"/>
    <w:tmpl w:val="BCF237F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>
    <w:nsid w:val="38EC6BD1"/>
    <w:multiLevelType w:val="multilevel"/>
    <w:tmpl w:val="001C98C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>
    <w:nsid w:val="3D6A4F5E"/>
    <w:multiLevelType w:val="multilevel"/>
    <w:tmpl w:val="36C465B4"/>
    <w:lvl w:ilvl="0">
      <w:numFmt w:val="bullet"/>
      <w:lvlText w:val="-"/>
      <w:lvlJc w:val="left"/>
      <w:rPr>
        <w:rFonts w:ascii="Calibri" w:hAnsi="Calibri" w:cs="Calibri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>
    <w:nsid w:val="403D1D01"/>
    <w:multiLevelType w:val="multilevel"/>
    <w:tmpl w:val="AB56B06A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>
    <w:nsid w:val="406A5186"/>
    <w:multiLevelType w:val="multilevel"/>
    <w:tmpl w:val="A5CAD51C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>
    <w:nsid w:val="40791BAA"/>
    <w:multiLevelType w:val="multilevel"/>
    <w:tmpl w:val="D6BEAF04"/>
    <w:lvl w:ilvl="0">
      <w:start w:val="1"/>
      <w:numFmt w:val="decimal"/>
      <w:pStyle w:val="Titolo1"/>
      <w:lvlText w:val="%1"/>
      <w:lvlJc w:val="left"/>
      <w:rPr>
        <w:rFonts w:cs="Times New Roman"/>
      </w:rPr>
    </w:lvl>
    <w:lvl w:ilvl="1">
      <w:start w:val="1"/>
      <w:numFmt w:val="decimal"/>
      <w:pStyle w:val="Titolo1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0">
    <w:nsid w:val="409F4763"/>
    <w:multiLevelType w:val="multilevel"/>
    <w:tmpl w:val="CA64F62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>
    <w:nsid w:val="42C83166"/>
    <w:multiLevelType w:val="multilevel"/>
    <w:tmpl w:val="8C5C3B12"/>
    <w:lvl w:ilvl="0">
      <w:numFmt w:val="bullet"/>
      <w:lvlText w:val="-"/>
      <w:lvlJc w:val="left"/>
      <w:rPr>
        <w:rFonts w:ascii="Calibri" w:hAnsi="Calibri" w:cs="Calibri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>
    <w:nsid w:val="43A55BD4"/>
    <w:multiLevelType w:val="multilevel"/>
    <w:tmpl w:val="2A36A1F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>
    <w:nsid w:val="480A6CBA"/>
    <w:multiLevelType w:val="multilevel"/>
    <w:tmpl w:val="DBB40A78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>
    <w:nsid w:val="4CBB55D6"/>
    <w:multiLevelType w:val="multilevel"/>
    <w:tmpl w:val="8B72F5C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5">
    <w:nsid w:val="4D7D76A7"/>
    <w:multiLevelType w:val="multilevel"/>
    <w:tmpl w:val="7D22E75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>
    <w:nsid w:val="4FB21AF3"/>
    <w:multiLevelType w:val="multilevel"/>
    <w:tmpl w:val="097A045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>
    <w:nsid w:val="54B8658D"/>
    <w:multiLevelType w:val="multilevel"/>
    <w:tmpl w:val="457AADBE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>
    <w:nsid w:val="589E5F19"/>
    <w:multiLevelType w:val="multilevel"/>
    <w:tmpl w:val="95DCAECC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9">
    <w:nsid w:val="5C39347C"/>
    <w:multiLevelType w:val="multilevel"/>
    <w:tmpl w:val="79F888F8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0">
    <w:nsid w:val="5EB648F8"/>
    <w:multiLevelType w:val="multilevel"/>
    <w:tmpl w:val="8A264D8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1">
    <w:nsid w:val="608639FA"/>
    <w:multiLevelType w:val="multilevel"/>
    <w:tmpl w:val="F746FC68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2">
    <w:nsid w:val="60B37725"/>
    <w:multiLevelType w:val="multilevel"/>
    <w:tmpl w:val="3DEE6634"/>
    <w:lvl w:ilvl="0">
      <w:start w:val="12"/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3">
    <w:nsid w:val="64E4487A"/>
    <w:multiLevelType w:val="multilevel"/>
    <w:tmpl w:val="595A312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4">
    <w:nsid w:val="67870369"/>
    <w:multiLevelType w:val="singleLevel"/>
    <w:tmpl w:val="A18CF372"/>
    <w:lvl w:ilvl="0">
      <w:start w:val="1"/>
      <w:numFmt w:val="lowerLetter"/>
      <w:pStyle w:val="Testonormale"/>
      <w:lvlText w:val="%1)"/>
      <w:lvlJc w:val="left"/>
      <w:rPr>
        <w:rFonts w:cs="Times New Roman"/>
      </w:rPr>
    </w:lvl>
  </w:abstractNum>
  <w:abstractNum w:abstractNumId="35">
    <w:nsid w:val="6A2D0224"/>
    <w:multiLevelType w:val="multilevel"/>
    <w:tmpl w:val="B6487AC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6">
    <w:nsid w:val="703B61DD"/>
    <w:multiLevelType w:val="multilevel"/>
    <w:tmpl w:val="6320493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7">
    <w:nsid w:val="71907784"/>
    <w:multiLevelType w:val="multilevel"/>
    <w:tmpl w:val="2C843A6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-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8">
    <w:nsid w:val="74077B98"/>
    <w:multiLevelType w:val="multilevel"/>
    <w:tmpl w:val="8BDE4D36"/>
    <w:lvl w:ilvl="0">
      <w:start w:val="1"/>
      <w:numFmt w:val="bullet"/>
      <w:lvlText w:val="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9">
    <w:nsid w:val="75C60714"/>
    <w:multiLevelType w:val="multilevel"/>
    <w:tmpl w:val="9D60004C"/>
    <w:lvl w:ilvl="0">
      <w:start w:val="1"/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0">
    <w:nsid w:val="7C800B36"/>
    <w:multiLevelType w:val="multilevel"/>
    <w:tmpl w:val="5590F4CC"/>
    <w:lvl w:ilvl="0">
      <w:start w:val="1"/>
      <w:numFmt w:val="upperRoman"/>
      <w:pStyle w:val="capitoli"/>
      <w:suff w:val="space"/>
      <w:lvlText w:val="Titolo %1"/>
      <w:lvlJc w:val="left"/>
      <w:rPr>
        <w:rFonts w:ascii="Times New Roman" w:hAnsi="Times New Roman" w:cs="Times New Roman"/>
        <w:b/>
        <w:sz w:val="24"/>
      </w:rPr>
    </w:lvl>
    <w:lvl w:ilvl="1">
      <w:start w:val="1"/>
      <w:numFmt w:val="decimal"/>
      <w:pStyle w:val="capitoli"/>
      <w:suff w:val="space"/>
      <w:lvlText w:val="Capitolo %2"/>
      <w:lvlJc w:val="left"/>
      <w:rPr>
        <w:rFonts w:ascii="Times New Roman" w:hAnsi="Times New Roman" w:cs="Times New Roman"/>
        <w:b/>
        <w:sz w:val="24"/>
      </w:rPr>
    </w:lvl>
    <w:lvl w:ilvl="2">
      <w:start w:val="1"/>
      <w:numFmt w:val="decimal"/>
      <w:lvlRestart w:val="0"/>
      <w:pStyle w:val="numarticoli"/>
      <w:suff w:val="space"/>
      <w:lvlText w:val="Articolo %3"/>
      <w:lvlJc w:val="left"/>
      <w:rPr>
        <w:rFonts w:ascii="Times New Roman" w:hAnsi="Times New Roman" w:cs="Times New Roman"/>
        <w:b/>
        <w:color w:val="000000"/>
      </w:rPr>
    </w:lvl>
    <w:lvl w:ilvl="3">
      <w:start w:val="1"/>
      <w:numFmt w:val="none"/>
      <w:pStyle w:val="nomearticoli"/>
      <w:suff w:val="nothing"/>
      <w:lvlText w:val=""/>
      <w:lvlJc w:val="left"/>
      <w:rPr>
        <w:rFonts w:cs="Times New Roman"/>
      </w:rPr>
    </w:lvl>
    <w:lvl w:ilvl="4">
      <w:start w:val="1"/>
      <w:numFmt w:val="decimal"/>
      <w:pStyle w:val="elenconumeri"/>
      <w:lvlText w:val="%3.%5"/>
      <w:lvlJc w:val="left"/>
      <w:rPr>
        <w:rFonts w:cs="Times New Roman"/>
        <w:color w:val="000000"/>
      </w:rPr>
    </w:lvl>
    <w:lvl w:ilvl="5">
      <w:start w:val="1"/>
      <w:numFmt w:val="lowerLetter"/>
      <w:pStyle w:val="numarticoli"/>
      <w:lvlText w:val="%6)"/>
      <w:lvlJc w:val="left"/>
      <w:rPr>
        <w:rFonts w:cs="Times New Roman"/>
      </w:rPr>
    </w:lvl>
    <w:lvl w:ilvl="6">
      <w:start w:val="1"/>
      <w:numFmt w:val="lowerRoman"/>
      <w:pStyle w:val="nomearticoli"/>
      <w:lvlText w:val="%7)"/>
      <w:lvlJc w:val="left"/>
      <w:rPr>
        <w:rFonts w:cs="Times New Roman"/>
      </w:rPr>
    </w:lvl>
    <w:lvl w:ilvl="7">
      <w:start w:val="1"/>
      <w:numFmt w:val="decimal"/>
      <w:pStyle w:val="elenconumeri"/>
      <w:lvlText w:val="%8)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41">
    <w:nsid w:val="7D5C731F"/>
    <w:multiLevelType w:val="multilevel"/>
    <w:tmpl w:val="61626E22"/>
    <w:lvl w:ilvl="0">
      <w:start w:val="12"/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2">
    <w:nsid w:val="7E8B7943"/>
    <w:multiLevelType w:val="multilevel"/>
    <w:tmpl w:val="BD36634A"/>
    <w:lvl w:ilvl="0">
      <w:start w:val="1"/>
      <w:numFmt w:val="bullet"/>
      <w:lvlText w:val="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3">
    <w:nsid w:val="7F291F58"/>
    <w:multiLevelType w:val="multilevel"/>
    <w:tmpl w:val="59BAC89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19"/>
  </w:num>
  <w:num w:numId="2">
    <w:abstractNumId w:val="34"/>
  </w:num>
  <w:num w:numId="3">
    <w:abstractNumId w:val="25"/>
  </w:num>
  <w:num w:numId="4">
    <w:abstractNumId w:val="40"/>
  </w:num>
  <w:num w:numId="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7"/>
  </w:num>
  <w:num w:numId="8">
    <w:abstractNumId w:val="22"/>
  </w:num>
  <w:num w:numId="9">
    <w:abstractNumId w:val="36"/>
  </w:num>
  <w:num w:numId="10">
    <w:abstractNumId w:val="10"/>
  </w:num>
  <w:num w:numId="11">
    <w:abstractNumId w:val="26"/>
  </w:num>
  <w:num w:numId="12">
    <w:abstractNumId w:val="17"/>
  </w:num>
  <w:num w:numId="13">
    <w:abstractNumId w:val="23"/>
  </w:num>
  <w:num w:numId="14">
    <w:abstractNumId w:val="33"/>
  </w:num>
  <w:num w:numId="15">
    <w:abstractNumId w:val="20"/>
  </w:num>
  <w:num w:numId="16">
    <w:abstractNumId w:val="43"/>
  </w:num>
  <w:num w:numId="17">
    <w:abstractNumId w:val="3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E86A50"/>
    <w:rsid w:val="00072001"/>
    <w:rsid w:val="000807BD"/>
    <w:rsid w:val="001368C5"/>
    <w:rsid w:val="00177B55"/>
    <w:rsid w:val="00180B0F"/>
    <w:rsid w:val="001B73BB"/>
    <w:rsid w:val="00207BAF"/>
    <w:rsid w:val="002174D6"/>
    <w:rsid w:val="00242C67"/>
    <w:rsid w:val="00250020"/>
    <w:rsid w:val="002730C2"/>
    <w:rsid w:val="00306456"/>
    <w:rsid w:val="003328F9"/>
    <w:rsid w:val="003F3DD6"/>
    <w:rsid w:val="004E0459"/>
    <w:rsid w:val="004E4987"/>
    <w:rsid w:val="0057619C"/>
    <w:rsid w:val="00636CE5"/>
    <w:rsid w:val="00672227"/>
    <w:rsid w:val="0071402B"/>
    <w:rsid w:val="007A7139"/>
    <w:rsid w:val="008207AC"/>
    <w:rsid w:val="0082622A"/>
    <w:rsid w:val="00870D46"/>
    <w:rsid w:val="00875448"/>
    <w:rsid w:val="00A07F82"/>
    <w:rsid w:val="00A57EC9"/>
    <w:rsid w:val="00A93102"/>
    <w:rsid w:val="00AB51EA"/>
    <w:rsid w:val="00AD067D"/>
    <w:rsid w:val="00AF1016"/>
    <w:rsid w:val="00B2205D"/>
    <w:rsid w:val="00B222F0"/>
    <w:rsid w:val="00B45242"/>
    <w:rsid w:val="00B8793E"/>
    <w:rsid w:val="00C05E81"/>
    <w:rsid w:val="00C25711"/>
    <w:rsid w:val="00C70A19"/>
    <w:rsid w:val="00CE6BCB"/>
    <w:rsid w:val="00D80B53"/>
    <w:rsid w:val="00DF1767"/>
    <w:rsid w:val="00E00227"/>
    <w:rsid w:val="00E06C73"/>
    <w:rsid w:val="00E71CEB"/>
    <w:rsid w:val="00E807B3"/>
    <w:rsid w:val="00E86A50"/>
    <w:rsid w:val="00ED4406"/>
    <w:rsid w:val="00F505BA"/>
    <w:rsid w:val="00FD5C72"/>
    <w:rsid w:val="00FE5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CE6B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E6BCB"/>
    <w:pPr>
      <w:keepNext/>
      <w:numPr>
        <w:numId w:val="1"/>
      </w:numPr>
      <w:tabs>
        <w:tab w:val="left" w:pos="432"/>
      </w:tabs>
      <w:spacing w:before="120" w:after="120"/>
      <w:ind w:left="432" w:hanging="432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6BCB"/>
    <w:pPr>
      <w:keepNext/>
      <w:tabs>
        <w:tab w:val="left" w:pos="1144"/>
      </w:tabs>
      <w:spacing w:before="120" w:after="60"/>
      <w:ind w:left="1144" w:hanging="576"/>
      <w:jc w:val="left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E6BCB"/>
    <w:pPr>
      <w:keepNext/>
      <w:tabs>
        <w:tab w:val="left" w:pos="720"/>
      </w:tabs>
      <w:spacing w:after="160"/>
      <w:ind w:left="720" w:hanging="720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E6BCB"/>
    <w:pPr>
      <w:keepNext/>
      <w:tabs>
        <w:tab w:val="left" w:pos="864"/>
      </w:tabs>
      <w:spacing w:after="120"/>
      <w:ind w:left="864" w:hanging="864"/>
      <w:jc w:val="left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E6BCB"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E6BCB"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E6BCB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CE6BCB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E6BCB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didefault">
    <w:name w:val="Stile di default"/>
    <w:uiPriority w:val="99"/>
    <w:rsid w:val="00CE6BCB"/>
  </w:style>
  <w:style w:type="character" w:customStyle="1" w:styleId="Titolo1Carattere">
    <w:name w:val="Titolo 1 Carattere"/>
    <w:basedOn w:val="Carpredefinitoparagrafo"/>
    <w:link w:val="Titolo1"/>
    <w:uiPriority w:val="99"/>
    <w:rsid w:val="00CE6BCB"/>
    <w:rPr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E6BCB"/>
    <w:rPr>
      <w:rFonts w:ascii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E6BCB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E6BCB"/>
    <w:rPr>
      <w:rFonts w:ascii="Times New Roman" w:hAnsi="Times New Roman" w:cs="Times New Roman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CE6BC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E6BCB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CE6BCB"/>
    <w:rPr>
      <w:rFonts w:ascii="Times New Roman" w:hAnsi="Times New Roman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CE6BCB"/>
    <w:rPr>
      <w:rFonts w:ascii="Times New Roman" w:hAnsi="Times New Roman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CE6BC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rsid w:val="00CE6B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E6BCB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CE6BCB"/>
    <w:pPr>
      <w:tabs>
        <w:tab w:val="left" w:pos="360"/>
        <w:tab w:val="left" w:pos="720"/>
        <w:tab w:val="left" w:pos="1080"/>
      </w:tabs>
      <w:spacing w:before="60" w:line="288" w:lineRule="auto"/>
    </w:pPr>
    <w:rPr>
      <w:rFonts w:ascii="Arial" w:hAnsi="Arial" w:cs="Arial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E6BCB"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E6BCB"/>
    <w:pPr>
      <w:tabs>
        <w:tab w:val="left" w:pos="360"/>
        <w:tab w:val="left" w:pos="720"/>
        <w:tab w:val="left" w:pos="1080"/>
      </w:tabs>
      <w:jc w:val="right"/>
    </w:pPr>
    <w:rPr>
      <w:rFonts w:ascii="Arial" w:hAnsi="Arial" w:cs="Arial"/>
      <w:color w:val="7E8B7A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BCB"/>
    <w:rPr>
      <w:rFonts w:ascii="Arial" w:hAnsi="Arial" w:cs="Arial"/>
      <w:color w:val="7E8B7A"/>
      <w:sz w:val="18"/>
      <w:szCs w:val="18"/>
    </w:rPr>
  </w:style>
  <w:style w:type="paragraph" w:customStyle="1" w:styleId="Bodytextbase">
    <w:name w:val="Body text base"/>
    <w:uiPriority w:val="99"/>
    <w:rsid w:val="00CE6BCB"/>
    <w:pPr>
      <w:widowControl w:val="0"/>
      <w:tabs>
        <w:tab w:val="left" w:pos="360"/>
        <w:tab w:val="left" w:pos="720"/>
        <w:tab w:val="left" w:pos="1080"/>
      </w:tabs>
      <w:autoSpaceDE w:val="0"/>
      <w:autoSpaceDN w:val="0"/>
      <w:adjustRightInd w:val="0"/>
      <w:spacing w:before="120" w:after="0" w:line="288" w:lineRule="auto"/>
      <w:jc w:val="both"/>
    </w:pPr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E6BCB"/>
    <w:pPr>
      <w:tabs>
        <w:tab w:val="right" w:pos="7920"/>
      </w:tabs>
    </w:pPr>
    <w:rPr>
      <w:rFonts w:ascii="Arial" w:hAnsi="Arial" w:cs="Arial"/>
      <w:color w:val="80808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BCB"/>
    <w:rPr>
      <w:rFonts w:ascii="Arial" w:hAnsi="Arial" w:cs="Arial"/>
      <w:color w:val="808080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rsid w:val="00CE6BCB"/>
    <w:pPr>
      <w:ind w:left="170" w:hanging="17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6BCB"/>
  </w:style>
  <w:style w:type="character" w:styleId="Rimandonotaapidipagina">
    <w:name w:val="footnote reference"/>
    <w:basedOn w:val="Carpredefinitoparagrafo"/>
    <w:uiPriority w:val="99"/>
    <w:rsid w:val="00CE6BCB"/>
  </w:style>
  <w:style w:type="paragraph" w:customStyle="1" w:styleId="StyleHeading3NotItalic">
    <w:name w:val="Style Heading 3 + Not Italic"/>
    <w:uiPriority w:val="99"/>
    <w:rsid w:val="00CE6BCB"/>
    <w:pPr>
      <w:keepNext/>
      <w:keepLines/>
      <w:widowControl w:val="0"/>
      <w:tabs>
        <w:tab w:val="left" w:pos="360"/>
        <w:tab w:val="left" w:pos="720"/>
        <w:tab w:val="left" w:pos="1080"/>
      </w:tabs>
      <w:autoSpaceDE w:val="0"/>
      <w:autoSpaceDN w:val="0"/>
      <w:adjustRightInd w:val="0"/>
      <w:spacing w:before="480" w:after="0" w:line="240" w:lineRule="auto"/>
      <w:ind w:left="720" w:hanging="720"/>
      <w:jc w:val="both"/>
      <w:outlineLvl w:val="2"/>
    </w:pPr>
    <w:rPr>
      <w:rFonts w:ascii="Times New Roman" w:hAnsi="Times New Roman" w:cs="Times New Roman"/>
      <w:b/>
      <w:bCs/>
    </w:rPr>
  </w:style>
  <w:style w:type="character" w:customStyle="1" w:styleId="BodytextbaseChar">
    <w:name w:val="Body text base Char"/>
    <w:uiPriority w:val="99"/>
    <w:rsid w:val="00CE6BCB"/>
    <w:rPr>
      <w:rFonts w:ascii="Arial" w:hAnsi="Arial" w:cs="Arial"/>
    </w:rPr>
  </w:style>
  <w:style w:type="character" w:customStyle="1" w:styleId="CarattereCarattere1">
    <w:name w:val="Carattere Carattere1"/>
    <w:uiPriority w:val="99"/>
    <w:rsid w:val="00CE6BCB"/>
    <w:rPr>
      <w:rFonts w:ascii="Arial" w:hAnsi="Arial" w:cs="Arial"/>
    </w:rPr>
  </w:style>
  <w:style w:type="character" w:customStyle="1" w:styleId="CarattereCarattere">
    <w:name w:val="Carattere Carattere"/>
    <w:uiPriority w:val="99"/>
    <w:rsid w:val="00CE6BCB"/>
  </w:style>
  <w:style w:type="paragraph" w:styleId="NormaleWeb">
    <w:name w:val="Normal (Web)"/>
    <w:basedOn w:val="Normale"/>
    <w:uiPriority w:val="99"/>
    <w:rsid w:val="00CE6BCB"/>
    <w:pPr>
      <w:spacing w:before="100" w:after="100"/>
    </w:pPr>
    <w:rPr>
      <w:rFonts w:ascii="Arial Unicode MS" w:eastAsia="Arial Unicode MS" w:cs="Arial Unicode MS"/>
      <w:sz w:val="22"/>
      <w:szCs w:val="22"/>
    </w:rPr>
  </w:style>
  <w:style w:type="paragraph" w:styleId="Sommario1">
    <w:name w:val="toc 1"/>
    <w:basedOn w:val="Normale"/>
    <w:next w:val="Normale"/>
    <w:uiPriority w:val="99"/>
    <w:rsid w:val="00CE6BCB"/>
    <w:pPr>
      <w:tabs>
        <w:tab w:val="right" w:leader="dot" w:pos="9628"/>
      </w:tabs>
      <w:spacing w:before="120"/>
      <w:ind w:left="567" w:hanging="567"/>
    </w:pPr>
    <w:rPr>
      <w:b/>
      <w:bCs/>
    </w:rPr>
  </w:style>
  <w:style w:type="paragraph" w:styleId="Sommario2">
    <w:name w:val="toc 2"/>
    <w:basedOn w:val="Normale"/>
    <w:next w:val="Normale"/>
    <w:uiPriority w:val="99"/>
    <w:rsid w:val="00CE6BCB"/>
    <w:pPr>
      <w:tabs>
        <w:tab w:val="left" w:pos="1260"/>
        <w:tab w:val="right" w:leader="dot" w:pos="9628"/>
      </w:tabs>
      <w:spacing w:before="60"/>
      <w:ind w:left="1134" w:hanging="567"/>
    </w:pPr>
  </w:style>
  <w:style w:type="paragraph" w:styleId="Sommario3">
    <w:name w:val="toc 3"/>
    <w:basedOn w:val="Normale"/>
    <w:next w:val="Normale"/>
    <w:uiPriority w:val="99"/>
    <w:rsid w:val="00CE6BCB"/>
    <w:pPr>
      <w:tabs>
        <w:tab w:val="left" w:pos="1440"/>
        <w:tab w:val="right" w:leader="dot" w:pos="9628"/>
      </w:tabs>
      <w:ind w:left="1871" w:hanging="737"/>
    </w:pPr>
  </w:style>
  <w:style w:type="paragraph" w:styleId="Sommario4">
    <w:name w:val="toc 4"/>
    <w:basedOn w:val="Normale"/>
    <w:next w:val="Normale"/>
    <w:uiPriority w:val="99"/>
    <w:rsid w:val="00CE6BCB"/>
    <w:pPr>
      <w:tabs>
        <w:tab w:val="left" w:pos="1680"/>
        <w:tab w:val="right" w:leader="dot" w:pos="9628"/>
      </w:tabs>
      <w:ind w:left="2721" w:hanging="907"/>
    </w:pPr>
  </w:style>
  <w:style w:type="character" w:styleId="Collegamentoipertestuale">
    <w:name w:val="Hyperlink"/>
    <w:basedOn w:val="Carpredefinitoparagrafo"/>
    <w:uiPriority w:val="99"/>
    <w:rsid w:val="00CE6BCB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CE6BCB"/>
  </w:style>
  <w:style w:type="paragraph" w:styleId="Corpodeltesto2">
    <w:name w:val="Body Text 2"/>
    <w:basedOn w:val="Normale"/>
    <w:link w:val="Corpodeltesto2Carattere"/>
    <w:uiPriority w:val="99"/>
    <w:rsid w:val="00CE6BCB"/>
    <w:rPr>
      <w:color w:val="FF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E6BCB"/>
    <w:rPr>
      <w:color w:val="FF0000"/>
    </w:rPr>
  </w:style>
  <w:style w:type="paragraph" w:customStyle="1" w:styleId="Default">
    <w:name w:val="Default"/>
    <w:uiPriority w:val="99"/>
    <w:rsid w:val="00CE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uiPriority w:val="99"/>
    <w:rsid w:val="00CE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CE6BCB"/>
    <w:pPr>
      <w:numPr>
        <w:numId w:val="2"/>
      </w:numPr>
      <w:tabs>
        <w:tab w:val="left" w:pos="720"/>
      </w:tabs>
      <w:spacing w:line="360" w:lineRule="auto"/>
      <w:ind w:left="720" w:firstLine="709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E6BCB"/>
  </w:style>
  <w:style w:type="paragraph" w:styleId="Elenco">
    <w:name w:val="List"/>
    <w:aliases w:val="Paragrafo elenco Carattere,Lettre d'introduction Carattere"/>
    <w:basedOn w:val="Normale"/>
    <w:uiPriority w:val="99"/>
    <w:semiHidden/>
    <w:unhideWhenUsed/>
    <w:rsid w:val="00CE6BCB"/>
    <w:pPr>
      <w:ind w:left="283" w:hanging="283"/>
      <w:contextualSpacing/>
    </w:pPr>
  </w:style>
  <w:style w:type="paragraph" w:styleId="Paragrafoelenco">
    <w:name w:val="List Paragraph"/>
    <w:aliases w:val="Lettre d'introduction,List Paragraph1,1st level"/>
    <w:basedOn w:val="Normale"/>
    <w:uiPriority w:val="99"/>
    <w:qFormat/>
    <w:rsid w:val="00CE6BCB"/>
    <w:pPr>
      <w:spacing w:after="160" w:line="254" w:lineRule="auto"/>
      <w:ind w:left="720"/>
      <w:contextualSpacing/>
      <w:jc w:val="left"/>
    </w:pPr>
    <w:rPr>
      <w:sz w:val="20"/>
      <w:szCs w:val="20"/>
    </w:rPr>
  </w:style>
  <w:style w:type="paragraph" w:customStyle="1" w:styleId="titoli">
    <w:name w:val="(titoli)"/>
    <w:next w:val="Normale"/>
    <w:uiPriority w:val="99"/>
    <w:rsid w:val="00CE6BCB"/>
    <w:pPr>
      <w:widowControl w:val="0"/>
      <w:autoSpaceDE w:val="0"/>
      <w:autoSpaceDN w:val="0"/>
      <w:adjustRightInd w:val="0"/>
      <w:spacing w:before="480" w:after="120" w:line="240" w:lineRule="auto"/>
      <w:ind w:left="4537"/>
      <w:jc w:val="center"/>
      <w:outlineLvl w:val="0"/>
    </w:pPr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elencoarabo">
    <w:name w:val="(elenco arabo)"/>
    <w:uiPriority w:val="99"/>
    <w:rsid w:val="00CE6BCB"/>
    <w:pPr>
      <w:widowControl w:val="0"/>
      <w:tabs>
        <w:tab w:val="left" w:pos="851"/>
        <w:tab w:val="left" w:pos="1277"/>
      </w:tabs>
      <w:autoSpaceDE w:val="0"/>
      <w:autoSpaceDN w:val="0"/>
      <w:adjustRightInd w:val="0"/>
      <w:spacing w:after="120" w:line="240" w:lineRule="auto"/>
      <w:ind w:left="1277" w:hanging="567"/>
      <w:contextualSpacing/>
      <w:jc w:val="both"/>
      <w:outlineLvl w:val="5"/>
    </w:pPr>
    <w:rPr>
      <w:rFonts w:ascii="Times New Roman" w:hAnsi="Times New Roman" w:cs="Times New Roman"/>
      <w:sz w:val="24"/>
      <w:szCs w:val="24"/>
    </w:rPr>
  </w:style>
  <w:style w:type="paragraph" w:customStyle="1" w:styleId="elencoromano">
    <w:name w:val="(elenco romano)"/>
    <w:uiPriority w:val="99"/>
    <w:rsid w:val="00CE6BCB"/>
    <w:pPr>
      <w:widowControl w:val="0"/>
      <w:tabs>
        <w:tab w:val="left" w:pos="1418"/>
        <w:tab w:val="left" w:pos="1854"/>
      </w:tabs>
      <w:autoSpaceDE w:val="0"/>
      <w:autoSpaceDN w:val="0"/>
      <w:adjustRightInd w:val="0"/>
      <w:spacing w:after="0" w:line="240" w:lineRule="auto"/>
      <w:ind w:left="1418" w:hanging="284"/>
      <w:jc w:val="both"/>
      <w:outlineLvl w:val="6"/>
    </w:pPr>
    <w:rPr>
      <w:rFonts w:ascii="Times New Roman" w:hAnsi="Times New Roman" w:cs="Times New Roman"/>
      <w:sz w:val="24"/>
      <w:szCs w:val="24"/>
    </w:rPr>
  </w:style>
  <w:style w:type="paragraph" w:customStyle="1" w:styleId="commi">
    <w:name w:val="(commi)"/>
    <w:uiPriority w:val="99"/>
    <w:rsid w:val="00CE6BCB"/>
    <w:pPr>
      <w:widowControl w:val="0"/>
      <w:tabs>
        <w:tab w:val="left" w:pos="567"/>
      </w:tabs>
      <w:autoSpaceDE w:val="0"/>
      <w:autoSpaceDN w:val="0"/>
      <w:adjustRightInd w:val="0"/>
      <w:spacing w:before="120" w:after="120" w:line="240" w:lineRule="auto"/>
      <w:ind w:left="567" w:hanging="567"/>
      <w:jc w:val="both"/>
      <w:outlineLvl w:val="4"/>
    </w:pPr>
    <w:rPr>
      <w:rFonts w:ascii="Times New Roman" w:hAnsi="Times New Roman" w:cs="Times New Roman"/>
      <w:sz w:val="24"/>
      <w:szCs w:val="24"/>
    </w:rPr>
  </w:style>
  <w:style w:type="paragraph" w:customStyle="1" w:styleId="capitoli">
    <w:name w:val="(capitoli)"/>
    <w:next w:val="Normale"/>
    <w:uiPriority w:val="99"/>
    <w:rsid w:val="00CE6BCB"/>
    <w:pPr>
      <w:widowControl w:val="0"/>
      <w:numPr>
        <w:ilvl w:val="1"/>
        <w:numId w:val="4"/>
      </w:numPr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articoli">
    <w:name w:val="(num. articoli)"/>
    <w:next w:val="nomearticoli"/>
    <w:uiPriority w:val="99"/>
    <w:rsid w:val="00CE6BCB"/>
    <w:pPr>
      <w:keepNext/>
      <w:keepLines/>
      <w:widowControl w:val="0"/>
      <w:numPr>
        <w:ilvl w:val="2"/>
        <w:numId w:val="4"/>
      </w:numPr>
      <w:autoSpaceDE w:val="0"/>
      <w:autoSpaceDN w:val="0"/>
      <w:adjustRightInd w:val="0"/>
      <w:spacing w:before="240" w:after="120" w:line="240" w:lineRule="auto"/>
      <w:ind w:left="2552" w:firstLine="567"/>
      <w:jc w:val="center"/>
      <w:outlineLvl w:val="2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nomearticoli">
    <w:name w:val="(nome articoli)"/>
    <w:next w:val="commi"/>
    <w:uiPriority w:val="99"/>
    <w:rsid w:val="00CE6BCB"/>
    <w:pPr>
      <w:keepNext/>
      <w:keepLines/>
      <w:widowControl w:val="0"/>
      <w:numPr>
        <w:ilvl w:val="3"/>
        <w:numId w:val="4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elenconumeri">
    <w:name w:val="(elenco numeri)"/>
    <w:uiPriority w:val="99"/>
    <w:rsid w:val="00CE6BCB"/>
    <w:pPr>
      <w:widowControl w:val="0"/>
      <w:numPr>
        <w:ilvl w:val="7"/>
        <w:numId w:val="4"/>
      </w:numPr>
      <w:tabs>
        <w:tab w:val="left" w:pos="1418"/>
        <w:tab w:val="left" w:pos="1494"/>
      </w:tabs>
      <w:autoSpaceDE w:val="0"/>
      <w:autoSpaceDN w:val="0"/>
      <w:adjustRightInd w:val="0"/>
      <w:spacing w:after="0" w:line="240" w:lineRule="auto"/>
      <w:ind w:left="1418" w:hanging="284"/>
      <w:jc w:val="both"/>
      <w:outlineLvl w:val="7"/>
    </w:pPr>
    <w:rPr>
      <w:rFonts w:ascii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rsid w:val="00CE6B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E6B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E6BC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CE6B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E6BCB"/>
    <w:rPr>
      <w:b/>
      <w:bCs/>
    </w:rPr>
  </w:style>
  <w:style w:type="character" w:styleId="Enfasicorsivo">
    <w:name w:val="Emphasis"/>
    <w:basedOn w:val="Carpredefinitoparagrafo"/>
    <w:uiPriority w:val="99"/>
    <w:qFormat/>
    <w:rsid w:val="00CE6B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Documents%20and%20Settings\davide\Desktop\testi_nuovi_tares\@CSL*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davide\Desktop\testi_nuovi_tares\@CSL*" TargetMode="External"/><Relationship Id="rId12" Type="http://schemas.openxmlformats.org/officeDocument/2006/relationships/hyperlink" Target="file:///C:\Documents%20and%20Settings\davide\Desktop\testi_nuovi_tares\@CSL*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davide\Desktop\testi_nuovi_tares\@CSL*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C:\Documents%20and%20Settings\davide\Desktop\testi_nuovi_tares\@CSL*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punto di partenza</vt:lpstr>
    </vt:vector>
  </TitlesOfParts>
  <Company>.</Company>
  <LinksUpToDate>false</LinksUpToDate>
  <CharactersWithSpaces>22046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punto di partenza</dc:title>
  <dc:creator>mminozzi</dc:creator>
  <cp:lastModifiedBy>Maria</cp:lastModifiedBy>
  <cp:revision>36</cp:revision>
  <dcterms:created xsi:type="dcterms:W3CDTF">2021-06-10T20:48:00Z</dcterms:created>
  <dcterms:modified xsi:type="dcterms:W3CDTF">2021-07-28T21:46:00Z</dcterms:modified>
</cp:coreProperties>
</file>