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624543" w14:textId="77777777" w:rsidR="00453D0E" w:rsidRDefault="00453D0E" w:rsidP="00453D0E">
      <w:pPr>
        <w:autoSpaceDE w:val="0"/>
        <w:autoSpaceDN w:val="0"/>
        <w:adjustRightInd w:val="0"/>
        <w:jc w:val="center"/>
        <w:rPr>
          <w:rFonts w:ascii="Calibri" w:hAnsi="Calibri" w:cs="Arial"/>
          <w:b/>
          <w:sz w:val="28"/>
          <w:szCs w:val="28"/>
        </w:rPr>
      </w:pPr>
      <w:r>
        <w:rPr>
          <w:rFonts w:ascii="Calibri" w:hAnsi="Calibri" w:cs="Arial"/>
          <w:b/>
          <w:sz w:val="28"/>
          <w:szCs w:val="28"/>
        </w:rPr>
        <w:t xml:space="preserve">                                  “ALLEGATO A”</w:t>
      </w:r>
    </w:p>
    <w:p w14:paraId="2407E6F2" w14:textId="77777777" w:rsidR="00453D0E" w:rsidRDefault="00453D0E" w:rsidP="00453D0E">
      <w:pPr>
        <w:autoSpaceDE w:val="0"/>
        <w:autoSpaceDN w:val="0"/>
        <w:adjustRightInd w:val="0"/>
        <w:jc w:val="center"/>
        <w:rPr>
          <w:rFonts w:ascii="Calibri" w:hAnsi="Calibri" w:cs="Arial"/>
          <w:b/>
          <w:sz w:val="28"/>
          <w:szCs w:val="28"/>
        </w:rPr>
      </w:pPr>
    </w:p>
    <w:p w14:paraId="5E338FF4" w14:textId="77777777" w:rsidR="00453D0E" w:rsidRDefault="00453D0E" w:rsidP="00453D0E">
      <w:pPr>
        <w:autoSpaceDE w:val="0"/>
        <w:autoSpaceDN w:val="0"/>
        <w:adjustRightInd w:val="0"/>
        <w:jc w:val="center"/>
        <w:rPr>
          <w:rFonts w:ascii="Calibri" w:hAnsi="Calibri" w:cs="Verdana,Italic"/>
          <w:i/>
          <w:iCs/>
          <w:color w:val="800000"/>
          <w:sz w:val="44"/>
          <w:szCs w:val="44"/>
        </w:rPr>
      </w:pPr>
      <w:r>
        <w:rPr>
          <w:rFonts w:ascii="Calibri" w:hAnsi="Calibri" w:cs="Verdana,Italic"/>
          <w:i/>
          <w:iCs/>
          <w:color w:val="800000"/>
          <w:sz w:val="44"/>
          <w:szCs w:val="44"/>
        </w:rPr>
        <w:t>Piano di Razionalizzazione 2017 – 2019</w:t>
      </w:r>
    </w:p>
    <w:p w14:paraId="7B266CC3" w14:textId="77777777" w:rsidR="00453D0E" w:rsidRDefault="00453D0E" w:rsidP="00453D0E">
      <w:pPr>
        <w:autoSpaceDE w:val="0"/>
        <w:autoSpaceDN w:val="0"/>
        <w:adjustRightInd w:val="0"/>
        <w:jc w:val="center"/>
        <w:rPr>
          <w:rFonts w:ascii="Calibri" w:hAnsi="Calibri"/>
          <w:i/>
          <w:iCs/>
          <w:color w:val="800000"/>
          <w:sz w:val="44"/>
          <w:szCs w:val="44"/>
        </w:rPr>
      </w:pPr>
      <w:r>
        <w:rPr>
          <w:rFonts w:ascii="Arial" w:hAnsi="Arial" w:cs="Arial"/>
          <w:sz w:val="22"/>
          <w:szCs w:val="22"/>
        </w:rPr>
        <w:t>D.L. 98/2011 convertito in Legge n. 111/11 all’art. 16 comma 4</w:t>
      </w:r>
    </w:p>
    <w:p w14:paraId="0C276EFA" w14:textId="77777777" w:rsidR="00453D0E" w:rsidRDefault="00453D0E" w:rsidP="00453D0E">
      <w:pPr>
        <w:rPr>
          <w:rFonts w:ascii="Calibri" w:hAnsi="Calibri" w:cs="Arial"/>
          <w:sz w:val="22"/>
          <w:szCs w:val="22"/>
        </w:rPr>
      </w:pPr>
    </w:p>
    <w:p w14:paraId="5FD9234B" w14:textId="77777777" w:rsidR="00453D0E" w:rsidRDefault="00453D0E" w:rsidP="00453D0E">
      <w:pPr>
        <w:rPr>
          <w:rFonts w:ascii="Calibri" w:hAnsi="Calibri" w:cs="Arial"/>
          <w:sz w:val="22"/>
          <w:szCs w:val="22"/>
        </w:rPr>
      </w:pPr>
    </w:p>
    <w:p w14:paraId="282BD01C" w14:textId="77777777" w:rsidR="00453D0E" w:rsidRDefault="00453D0E" w:rsidP="00453D0E">
      <w:pPr>
        <w:autoSpaceDE w:val="0"/>
        <w:autoSpaceDN w:val="0"/>
        <w:adjustRightInd w:val="0"/>
        <w:jc w:val="both"/>
        <w:rPr>
          <w:rFonts w:ascii="Calibri" w:hAnsi="Calibri" w:cs="Verdana,Italic"/>
          <w:i/>
          <w:iCs/>
          <w:color w:val="800000"/>
          <w:sz w:val="32"/>
          <w:szCs w:val="32"/>
        </w:rPr>
      </w:pPr>
      <w:r>
        <w:rPr>
          <w:rFonts w:ascii="Calibri" w:hAnsi="Calibri" w:cs="Arial"/>
          <w:color w:val="000000"/>
          <w:sz w:val="22"/>
          <w:szCs w:val="22"/>
        </w:rPr>
        <w:t>Il D.L. 98/2011 convertito in Legge n. 111/11 all’art. 16 comma 4 prevede che “</w:t>
      </w:r>
      <w:r>
        <w:rPr>
          <w:rFonts w:ascii="Calibri" w:hAnsi="Calibri"/>
          <w:color w:val="000000"/>
          <w:sz w:val="22"/>
          <w:szCs w:val="22"/>
        </w:rPr>
        <w:t>4. Fermo restando quanto previsto dall'articolo 11, le amministrazioni di cui all'articolo 1, comma 2, del decreto legislativo 30 marzo 2001, n. 165, possono adottare entro il 31 marzo di ogni anno piani triennali di razionalizzazione e riqualificazione della spesa, di riordino e ristrutturazione amministrativa, di semplificazione e digitalizzazione, di riduzione dei costi della politica e di funzionamento, ivi compresi gli appalti di servizio, gli affidamenti alle partecipate e il ricorso alle consulenze attraverso persone giuridiche. Detti piani indicano la spesa sostenuta a legislazione vigente per ciascuna delle voci di spesa interessate e i correlati obiettivi in termini fisici e finanziari. 5. In relazione ai processi di cui al comma 4, le eventuali economie aggiuntive effettivamente realizzate rispetto a quelle già previste dalla normativa vigente, dall'articolo 12 e dal presente articolo ai fini del miglioramento dei saldi di finanza pubblica, possono essere utilizzate annualmente, nell'importo massimo del 50 per cento, per la contrattazione integrativa, di cui il 50 per cento destinato alla erogazione dei premi previsti dall'articolo 19 del decreto legislativo 27 ottobre 2009, n. 150. La restante quota è versata annualmente dagli enti e dalle amministrazioni dotati di autonomia finanziaria ad apposito capitolo dell'entrata del bilancio dello Stato. La disposizione di cui al precedente periodo non si applica agli enti territoriali e agli enti, di competenza regionale o delle provincie autonome di Trento e di Bolzano, del SSN. Le risorse di cui al primo periodo sono utilizzabili solo se a consuntivo è accertato, con riferimento a ciascun esercizio, dalle amministrazioni interessate, il raggiungimento degli obiettivi fissati per ciascuna delle singole voci di spesa previste nei piani di cui al comma 4 e i conseguenti risparmi. I risparmi sono certificati, ai sensi della normativa vigente, dai competenti organi di controllo. Per la Presidenza del Consiglio dei Ministri e i Ministeri la verifica viene effettuata dal Ministero dell'economia e delle finanze - Dipartimento della Ragioneria generale dello Stato per il tramite, rispettivamente, dell'UBRRAC e degli uffici centrali di bilancio e dalla Presidenza del Consiglio - Dipartimento della funzione pubblica.</w:t>
      </w:r>
    </w:p>
    <w:p w14:paraId="33DB902C" w14:textId="77777777" w:rsidR="00453D0E" w:rsidRDefault="00453D0E" w:rsidP="00453D0E">
      <w:pPr>
        <w:pStyle w:val="NormaleWeb"/>
        <w:jc w:val="both"/>
        <w:rPr>
          <w:rFonts w:ascii="Calibri" w:hAnsi="Calibri"/>
          <w:color w:val="000000"/>
          <w:sz w:val="22"/>
          <w:szCs w:val="22"/>
        </w:rPr>
      </w:pPr>
      <w:r>
        <w:rPr>
          <w:rFonts w:ascii="Calibri" w:hAnsi="Calibri"/>
          <w:color w:val="000000"/>
          <w:sz w:val="22"/>
          <w:szCs w:val="22"/>
        </w:rPr>
        <w:t xml:space="preserve"> I piani adottati dalle amministrazioni sono oggetto di informazione alle organizzazioni sindacali rappresentative.</w:t>
      </w:r>
    </w:p>
    <w:p w14:paraId="0936C533" w14:textId="77777777" w:rsidR="00453D0E" w:rsidRDefault="00453D0E" w:rsidP="00453D0E">
      <w:pPr>
        <w:pStyle w:val="NormaleWeb"/>
        <w:jc w:val="both"/>
        <w:rPr>
          <w:rFonts w:ascii="Calibri" w:hAnsi="Calibri"/>
          <w:color w:val="000000"/>
          <w:sz w:val="22"/>
          <w:szCs w:val="22"/>
        </w:rPr>
      </w:pPr>
    </w:p>
    <w:p w14:paraId="1537E782" w14:textId="77777777" w:rsidR="00453D0E" w:rsidRDefault="00453D0E" w:rsidP="00453D0E">
      <w:pPr>
        <w:autoSpaceDE w:val="0"/>
        <w:autoSpaceDN w:val="0"/>
        <w:adjustRightInd w:val="0"/>
        <w:rPr>
          <w:rFonts w:ascii="Calibri" w:hAnsi="Calibri" w:cs="Verdana,Bold"/>
          <w:b/>
          <w:bCs/>
          <w:color w:val="000000"/>
          <w:sz w:val="22"/>
          <w:szCs w:val="22"/>
        </w:rPr>
      </w:pPr>
      <w:r>
        <w:rPr>
          <w:rFonts w:ascii="Calibri" w:hAnsi="Calibri" w:cs="Verdana,Bold"/>
          <w:b/>
          <w:bCs/>
          <w:color w:val="000000"/>
          <w:sz w:val="22"/>
          <w:szCs w:val="22"/>
        </w:rPr>
        <w:t>PREMESSA</w:t>
      </w:r>
    </w:p>
    <w:p w14:paraId="1CB91FA0" w14:textId="77777777" w:rsidR="00453D0E" w:rsidRDefault="00453D0E" w:rsidP="00453D0E">
      <w:pPr>
        <w:autoSpaceDE w:val="0"/>
        <w:autoSpaceDN w:val="0"/>
        <w:adjustRightInd w:val="0"/>
        <w:jc w:val="both"/>
        <w:rPr>
          <w:rFonts w:ascii="Calibri" w:hAnsi="Calibri" w:cs="Verdana"/>
          <w:color w:val="000000"/>
          <w:sz w:val="22"/>
          <w:szCs w:val="22"/>
        </w:rPr>
      </w:pPr>
      <w:r>
        <w:rPr>
          <w:rFonts w:ascii="Calibri" w:hAnsi="Calibri" w:cs="Verdana"/>
          <w:color w:val="000000"/>
          <w:sz w:val="22"/>
          <w:szCs w:val="22"/>
        </w:rPr>
        <w:t>Questo Ente, da tempo, sta perseguendo alcuni obiettivi di razionalizzazione dei beni individuati dalla predetta legge.</w:t>
      </w:r>
    </w:p>
    <w:p w14:paraId="04FEF5DA" w14:textId="77777777" w:rsidR="00453D0E" w:rsidRDefault="00453D0E" w:rsidP="00453D0E">
      <w:pPr>
        <w:autoSpaceDE w:val="0"/>
        <w:autoSpaceDN w:val="0"/>
        <w:adjustRightInd w:val="0"/>
        <w:jc w:val="both"/>
        <w:rPr>
          <w:rFonts w:ascii="Calibri" w:hAnsi="Calibri" w:cs="Verdana"/>
          <w:color w:val="000000"/>
          <w:sz w:val="22"/>
          <w:szCs w:val="22"/>
        </w:rPr>
      </w:pPr>
      <w:r>
        <w:rPr>
          <w:rFonts w:ascii="Calibri" w:hAnsi="Calibri" w:cs="Verdana"/>
          <w:color w:val="000000"/>
          <w:sz w:val="22"/>
          <w:szCs w:val="22"/>
        </w:rPr>
        <w:t>Per quanto riguarda le linee strategiche per la predisposizione del Piano Triennale, si individuano le seguenti linee di azione operative:</w:t>
      </w:r>
      <w:r>
        <w:rPr>
          <w:rFonts w:ascii="Calibri" w:hAnsi="Calibri" w:cs="Arial"/>
          <w:sz w:val="22"/>
          <w:szCs w:val="22"/>
        </w:rPr>
        <w:t xml:space="preserve"> Riassunzione all’interno del comune del servizio di elaborazione banca dati tributaria informatica integrata Cosap, permanente e temporanea, imposta comunale pubblicità, diritti sulle pubbliche affissioni e il servizio di supporto gestionale.</w:t>
      </w:r>
    </w:p>
    <w:p w14:paraId="442A4C90" w14:textId="77777777" w:rsidR="00453D0E" w:rsidRDefault="00453D0E" w:rsidP="00453D0E">
      <w:pPr>
        <w:autoSpaceDE w:val="0"/>
        <w:autoSpaceDN w:val="0"/>
        <w:jc w:val="both"/>
        <w:rPr>
          <w:rFonts w:ascii="Calibri" w:hAnsi="Calibri" w:cs="Arial"/>
          <w:sz w:val="22"/>
          <w:szCs w:val="22"/>
        </w:rPr>
      </w:pPr>
      <w:r>
        <w:rPr>
          <w:rFonts w:ascii="Calibri" w:hAnsi="Calibri" w:cs="Arial"/>
          <w:sz w:val="22"/>
          <w:szCs w:val="22"/>
        </w:rPr>
        <w:t>L’ attività era in precedenza gestita dalla Ditta Mazal spa.</w:t>
      </w:r>
    </w:p>
    <w:p w14:paraId="25C81C23" w14:textId="77777777" w:rsidR="00453D0E" w:rsidRDefault="00453D0E" w:rsidP="00453D0E">
      <w:pPr>
        <w:autoSpaceDE w:val="0"/>
        <w:autoSpaceDN w:val="0"/>
        <w:adjustRightInd w:val="0"/>
        <w:jc w:val="both"/>
        <w:rPr>
          <w:rFonts w:ascii="Calibri" w:hAnsi="Calibri" w:cs="Verdana,Bold"/>
          <w:b/>
          <w:bCs/>
          <w:color w:val="000000"/>
          <w:sz w:val="22"/>
          <w:szCs w:val="22"/>
        </w:rPr>
      </w:pPr>
    </w:p>
    <w:p w14:paraId="08EC2CCE" w14:textId="77777777" w:rsidR="00453D0E" w:rsidRDefault="00453D0E" w:rsidP="00453D0E">
      <w:pPr>
        <w:autoSpaceDE w:val="0"/>
        <w:autoSpaceDN w:val="0"/>
        <w:adjustRightInd w:val="0"/>
        <w:jc w:val="both"/>
        <w:rPr>
          <w:rFonts w:ascii="Calibri" w:hAnsi="Calibri" w:cs="Verdana,Bold"/>
          <w:b/>
          <w:bCs/>
          <w:color w:val="000000"/>
          <w:sz w:val="22"/>
          <w:szCs w:val="22"/>
        </w:rPr>
      </w:pPr>
      <w:r>
        <w:rPr>
          <w:rFonts w:ascii="Calibri" w:hAnsi="Calibri" w:cs="Verdana,Bold"/>
          <w:b/>
          <w:bCs/>
          <w:color w:val="000000"/>
          <w:sz w:val="22"/>
          <w:szCs w:val="22"/>
        </w:rPr>
        <w:t>RICOGNIZIONE STATO DI FATTO</w:t>
      </w:r>
    </w:p>
    <w:p w14:paraId="677F9641" w14:textId="77777777" w:rsidR="00453D0E" w:rsidRDefault="00453D0E" w:rsidP="00453D0E">
      <w:pPr>
        <w:autoSpaceDE w:val="0"/>
        <w:autoSpaceDN w:val="0"/>
        <w:adjustRightInd w:val="0"/>
        <w:jc w:val="both"/>
        <w:rPr>
          <w:rFonts w:ascii="Calibri" w:hAnsi="Calibri" w:cs="Verdana,Bold"/>
          <w:b/>
          <w:bCs/>
          <w:color w:val="000000"/>
          <w:sz w:val="22"/>
          <w:szCs w:val="22"/>
        </w:rPr>
      </w:pPr>
    </w:p>
    <w:p w14:paraId="24B41707" w14:textId="77777777" w:rsidR="00453D0E" w:rsidRDefault="00453D0E" w:rsidP="00453D0E">
      <w:pPr>
        <w:pStyle w:val="Paragrafoelenco"/>
        <w:widowControl w:val="0"/>
        <w:numPr>
          <w:ilvl w:val="0"/>
          <w:numId w:val="1"/>
        </w:numPr>
        <w:jc w:val="both"/>
        <w:rPr>
          <w:rFonts w:asciiTheme="minorHAnsi" w:hAnsiTheme="minorHAnsi"/>
          <w:sz w:val="22"/>
          <w:szCs w:val="22"/>
        </w:rPr>
      </w:pPr>
      <w:r>
        <w:rPr>
          <w:rFonts w:asciiTheme="minorHAnsi" w:hAnsiTheme="minorHAnsi" w:cs="Arial"/>
          <w:sz w:val="22"/>
          <w:szCs w:val="22"/>
        </w:rPr>
        <w:t xml:space="preserve">Tra il Comune di Cupra Marittima e la società Mazal ex A.I.P.A. S.p.A. era stata stipulata, in data 05.11.2011, rep. n. 2683, una convenzione </w:t>
      </w:r>
      <w:r>
        <w:rPr>
          <w:rFonts w:asciiTheme="minorHAnsi" w:hAnsiTheme="minorHAnsi"/>
          <w:sz w:val="22"/>
          <w:szCs w:val="22"/>
        </w:rPr>
        <w:t xml:space="preserve">per l’affidamento in concessione delle attività di accertamento, liquidazione e riscossione, anche coattiva, dell’imposta sulla pubblicità (I.C.P.), dei diritti sulle pubbliche affissioni (D.P.A.), compresa la materiale affissione dei manifesti, del canone per l’occupazione del suolo e delle aree pubbliche (C.O.S.A.P.) e della tassa per lo smaltimento dei rifiuti giornalieri (T.A.R.S.U.G.) </w:t>
      </w:r>
      <w:r>
        <w:rPr>
          <w:rFonts w:asciiTheme="minorHAnsi" w:hAnsiTheme="minorHAnsi" w:cs="Arial"/>
          <w:sz w:val="22"/>
          <w:szCs w:val="22"/>
        </w:rPr>
        <w:t xml:space="preserve"> quantificando il costo nella misura del 24,71% come aggio unico sulle </w:t>
      </w:r>
      <w:r>
        <w:rPr>
          <w:rFonts w:asciiTheme="minorHAnsi" w:hAnsiTheme="minorHAnsi" w:cs="Arial"/>
          <w:sz w:val="22"/>
          <w:szCs w:val="22"/>
        </w:rPr>
        <w:lastRenderedPageBreak/>
        <w:t>somme incassate dal Comune;</w:t>
      </w:r>
    </w:p>
    <w:p w14:paraId="2BE43219" w14:textId="77777777" w:rsidR="00453D0E" w:rsidRDefault="00453D0E" w:rsidP="00453D0E">
      <w:pPr>
        <w:jc w:val="both"/>
        <w:rPr>
          <w:rFonts w:asciiTheme="minorHAnsi" w:hAnsiTheme="minorHAnsi" w:cs="Arial"/>
          <w:snapToGrid w:val="0"/>
          <w:sz w:val="22"/>
          <w:szCs w:val="22"/>
        </w:rPr>
      </w:pPr>
    </w:p>
    <w:p w14:paraId="6C62B8A7" w14:textId="77777777" w:rsidR="00453D0E" w:rsidRDefault="00453D0E" w:rsidP="00453D0E">
      <w:pPr>
        <w:ind w:left="720"/>
        <w:jc w:val="both"/>
        <w:rPr>
          <w:rFonts w:asciiTheme="minorHAnsi" w:hAnsiTheme="minorHAnsi" w:cs="Arial"/>
          <w:snapToGrid w:val="0"/>
          <w:sz w:val="22"/>
          <w:szCs w:val="22"/>
        </w:rPr>
      </w:pPr>
    </w:p>
    <w:p w14:paraId="2252DB20" w14:textId="77777777" w:rsidR="00453D0E" w:rsidRDefault="00453D0E" w:rsidP="00453D0E">
      <w:pPr>
        <w:pStyle w:val="Paragrafoelenco"/>
        <w:numPr>
          <w:ilvl w:val="0"/>
          <w:numId w:val="2"/>
        </w:numPr>
        <w:jc w:val="both"/>
        <w:rPr>
          <w:rFonts w:asciiTheme="minorHAnsi" w:hAnsiTheme="minorHAnsi" w:cs="Arial"/>
          <w:sz w:val="22"/>
          <w:szCs w:val="22"/>
        </w:rPr>
      </w:pPr>
      <w:r>
        <w:rPr>
          <w:rFonts w:asciiTheme="minorHAnsi" w:hAnsiTheme="minorHAnsi" w:cs="Arial"/>
          <w:sz w:val="22"/>
          <w:szCs w:val="22"/>
        </w:rPr>
        <w:t>la durata dell’affidamento è di 5 anni;</w:t>
      </w:r>
    </w:p>
    <w:p w14:paraId="5FAD2939" w14:textId="77777777" w:rsidR="00453D0E" w:rsidRDefault="00453D0E" w:rsidP="00453D0E">
      <w:pPr>
        <w:pStyle w:val="Paragrafoelenco"/>
        <w:jc w:val="both"/>
        <w:rPr>
          <w:rFonts w:asciiTheme="minorHAnsi" w:hAnsiTheme="minorHAnsi" w:cs="Arial"/>
          <w:sz w:val="22"/>
          <w:szCs w:val="22"/>
        </w:rPr>
      </w:pPr>
    </w:p>
    <w:p w14:paraId="11135E4E" w14:textId="77777777" w:rsidR="00453D0E" w:rsidRDefault="00453D0E" w:rsidP="00453D0E">
      <w:pPr>
        <w:ind w:left="720"/>
        <w:jc w:val="both"/>
        <w:rPr>
          <w:rFonts w:asciiTheme="minorHAnsi" w:hAnsiTheme="minorHAnsi" w:cs="Arial"/>
          <w:sz w:val="22"/>
          <w:szCs w:val="22"/>
        </w:rPr>
      </w:pPr>
    </w:p>
    <w:p w14:paraId="2F158DB6" w14:textId="77777777" w:rsidR="00453D0E" w:rsidRDefault="00453D0E" w:rsidP="00453D0E">
      <w:pPr>
        <w:numPr>
          <w:ilvl w:val="0"/>
          <w:numId w:val="3"/>
        </w:numPr>
        <w:jc w:val="both"/>
        <w:rPr>
          <w:rFonts w:ascii="Calibri" w:hAnsi="Calibri" w:cs="Arial"/>
          <w:sz w:val="22"/>
          <w:szCs w:val="22"/>
        </w:rPr>
      </w:pPr>
      <w:r>
        <w:rPr>
          <w:rFonts w:asciiTheme="minorHAnsi" w:hAnsiTheme="minorHAnsi" w:cs="Arial"/>
          <w:sz w:val="22"/>
          <w:szCs w:val="22"/>
        </w:rPr>
        <w:t>Dall’ottobre 2016, alla scadenza del contratto, tutte le suindicate attività svolte dalla ditta Mazal ex Aipa Spa sono state riassunte all’interno del comune demandando all’ufficio ragioneria e ai preposti uffici tributi e urbanistica l’organizzazione del servizio;</w:t>
      </w:r>
      <w:r>
        <w:rPr>
          <w:rFonts w:ascii="Calibri" w:hAnsi="Calibri" w:cs="Arial"/>
          <w:sz w:val="22"/>
          <w:szCs w:val="22"/>
        </w:rPr>
        <w:t xml:space="preserve"> </w:t>
      </w:r>
    </w:p>
    <w:p w14:paraId="68EA3B82" w14:textId="77777777" w:rsidR="00453D0E" w:rsidRDefault="00453D0E" w:rsidP="00453D0E">
      <w:pPr>
        <w:autoSpaceDE w:val="0"/>
        <w:autoSpaceDN w:val="0"/>
        <w:adjustRightInd w:val="0"/>
        <w:jc w:val="both"/>
        <w:rPr>
          <w:rFonts w:ascii="Calibri" w:hAnsi="Calibri" w:cs="Arial"/>
          <w:sz w:val="22"/>
          <w:szCs w:val="22"/>
        </w:rPr>
      </w:pPr>
    </w:p>
    <w:p w14:paraId="7CF9D37F" w14:textId="77777777" w:rsidR="00453D0E" w:rsidRDefault="00453D0E" w:rsidP="00453D0E">
      <w:pPr>
        <w:autoSpaceDE w:val="0"/>
        <w:autoSpaceDN w:val="0"/>
        <w:adjustRightInd w:val="0"/>
        <w:jc w:val="both"/>
        <w:rPr>
          <w:rFonts w:ascii="Calibri" w:hAnsi="Calibri" w:cs="Arial"/>
          <w:sz w:val="22"/>
          <w:szCs w:val="22"/>
        </w:rPr>
      </w:pPr>
    </w:p>
    <w:p w14:paraId="1733B736" w14:textId="77777777" w:rsidR="00453D0E" w:rsidRDefault="00453D0E" w:rsidP="00453D0E">
      <w:pPr>
        <w:autoSpaceDE w:val="0"/>
        <w:autoSpaceDN w:val="0"/>
        <w:adjustRightInd w:val="0"/>
        <w:jc w:val="both"/>
        <w:rPr>
          <w:rFonts w:ascii="Calibri" w:hAnsi="Calibri" w:cs="Arial"/>
          <w:sz w:val="22"/>
          <w:szCs w:val="22"/>
        </w:rPr>
      </w:pPr>
    </w:p>
    <w:p w14:paraId="360840B3" w14:textId="4C3BACAB" w:rsidR="00453D0E" w:rsidRDefault="00453D0E" w:rsidP="00453D0E">
      <w:pPr>
        <w:autoSpaceDE w:val="0"/>
        <w:autoSpaceDN w:val="0"/>
        <w:adjustRightInd w:val="0"/>
        <w:jc w:val="both"/>
        <w:rPr>
          <w:rFonts w:ascii="Calibri" w:hAnsi="Calibri" w:cs="Arial"/>
          <w:b/>
          <w:sz w:val="22"/>
          <w:szCs w:val="22"/>
        </w:rPr>
      </w:pPr>
      <w:r>
        <w:rPr>
          <w:rFonts w:ascii="Calibri" w:hAnsi="Calibri" w:cs="Arial"/>
          <w:b/>
          <w:sz w:val="22"/>
          <w:szCs w:val="22"/>
        </w:rPr>
        <w:t>INCASSI DAL 01/01/201</w:t>
      </w:r>
      <w:r>
        <w:rPr>
          <w:rFonts w:ascii="Calibri" w:hAnsi="Calibri" w:cs="Arial"/>
          <w:b/>
          <w:sz w:val="22"/>
          <w:szCs w:val="22"/>
        </w:rPr>
        <w:t>9</w:t>
      </w:r>
      <w:r>
        <w:rPr>
          <w:rFonts w:ascii="Calibri" w:hAnsi="Calibri" w:cs="Arial"/>
          <w:b/>
          <w:sz w:val="22"/>
          <w:szCs w:val="22"/>
        </w:rPr>
        <w:t xml:space="preserve"> AL 31/12/201</w:t>
      </w:r>
      <w:r>
        <w:rPr>
          <w:rFonts w:ascii="Calibri" w:hAnsi="Calibri" w:cs="Arial"/>
          <w:b/>
          <w:sz w:val="22"/>
          <w:szCs w:val="22"/>
        </w:rPr>
        <w:t>9</w:t>
      </w:r>
    </w:p>
    <w:p w14:paraId="75A6E1B3" w14:textId="77777777" w:rsidR="00453D0E" w:rsidRDefault="00453D0E" w:rsidP="00453D0E">
      <w:pPr>
        <w:autoSpaceDE w:val="0"/>
        <w:autoSpaceDN w:val="0"/>
        <w:adjustRightInd w:val="0"/>
        <w:jc w:val="both"/>
        <w:rPr>
          <w:rFonts w:ascii="Calibri" w:hAnsi="Calibri" w:cs="Arial"/>
          <w:b/>
          <w:sz w:val="22"/>
          <w:szCs w:val="22"/>
        </w:rPr>
      </w:pPr>
    </w:p>
    <w:p w14:paraId="1E2D8598" w14:textId="77777777" w:rsidR="00453D0E" w:rsidRDefault="00453D0E" w:rsidP="00453D0E">
      <w:pPr>
        <w:autoSpaceDE w:val="0"/>
        <w:autoSpaceDN w:val="0"/>
        <w:adjustRightInd w:val="0"/>
        <w:jc w:val="both"/>
        <w:rPr>
          <w:rFonts w:ascii="Calibri" w:hAnsi="Calibri" w:cs="Arial"/>
          <w:b/>
          <w:sz w:val="22"/>
          <w:szCs w:val="22"/>
        </w:rPr>
      </w:pPr>
      <w:r>
        <w:rPr>
          <w:rFonts w:ascii="Calibri" w:hAnsi="Calibri" w:cs="Arial"/>
          <w:b/>
          <w:sz w:val="22"/>
          <w:szCs w:val="22"/>
        </w:rPr>
        <w:t xml:space="preserve">    </w:t>
      </w:r>
    </w:p>
    <w:tbl>
      <w:tblPr>
        <w:tblStyle w:val="Grigliatabella"/>
        <w:tblW w:w="0" w:type="auto"/>
        <w:tblInd w:w="0" w:type="dxa"/>
        <w:tblLook w:val="04A0" w:firstRow="1" w:lastRow="0" w:firstColumn="1" w:lastColumn="0" w:noHBand="0" w:noVBand="1"/>
      </w:tblPr>
      <w:tblGrid>
        <w:gridCol w:w="1925"/>
        <w:gridCol w:w="1925"/>
        <w:gridCol w:w="1926"/>
        <w:gridCol w:w="1926"/>
      </w:tblGrid>
      <w:tr w:rsidR="00453D0E" w14:paraId="24778A48" w14:textId="77777777" w:rsidTr="00BD5123">
        <w:tc>
          <w:tcPr>
            <w:tcW w:w="1925" w:type="dxa"/>
            <w:tcBorders>
              <w:top w:val="single" w:sz="4" w:space="0" w:color="auto"/>
              <w:left w:val="single" w:sz="4" w:space="0" w:color="auto"/>
              <w:bottom w:val="single" w:sz="4" w:space="0" w:color="auto"/>
              <w:right w:val="single" w:sz="4" w:space="0" w:color="auto"/>
            </w:tcBorders>
            <w:hideMark/>
          </w:tcPr>
          <w:p w14:paraId="536ACB8B" w14:textId="77777777" w:rsidR="00453D0E" w:rsidRDefault="00453D0E" w:rsidP="00BD5123">
            <w:pPr>
              <w:autoSpaceDE w:val="0"/>
              <w:autoSpaceDN w:val="0"/>
              <w:adjustRightInd w:val="0"/>
              <w:jc w:val="both"/>
              <w:rPr>
                <w:rFonts w:ascii="Calibri" w:hAnsi="Calibri" w:cs="Arial"/>
                <w:b/>
                <w:sz w:val="22"/>
                <w:szCs w:val="22"/>
                <w:lang w:eastAsia="en-US"/>
              </w:rPr>
            </w:pPr>
            <w:r>
              <w:rPr>
                <w:rFonts w:ascii="Calibri" w:hAnsi="Calibri" w:cs="Arial"/>
                <w:b/>
                <w:sz w:val="22"/>
                <w:szCs w:val="22"/>
                <w:lang w:eastAsia="en-US"/>
              </w:rPr>
              <w:t>COSAP</w:t>
            </w:r>
          </w:p>
        </w:tc>
        <w:tc>
          <w:tcPr>
            <w:tcW w:w="1925" w:type="dxa"/>
            <w:tcBorders>
              <w:top w:val="single" w:sz="4" w:space="0" w:color="auto"/>
              <w:left w:val="single" w:sz="4" w:space="0" w:color="auto"/>
              <w:bottom w:val="single" w:sz="4" w:space="0" w:color="auto"/>
              <w:right w:val="single" w:sz="4" w:space="0" w:color="auto"/>
            </w:tcBorders>
            <w:hideMark/>
          </w:tcPr>
          <w:p w14:paraId="430F7D98" w14:textId="77777777" w:rsidR="00453D0E" w:rsidRDefault="00453D0E" w:rsidP="00BD5123">
            <w:pPr>
              <w:autoSpaceDE w:val="0"/>
              <w:autoSpaceDN w:val="0"/>
              <w:adjustRightInd w:val="0"/>
              <w:jc w:val="both"/>
              <w:rPr>
                <w:rFonts w:ascii="Calibri" w:hAnsi="Calibri" w:cs="Arial"/>
                <w:b/>
                <w:sz w:val="22"/>
                <w:szCs w:val="22"/>
                <w:lang w:eastAsia="en-US"/>
              </w:rPr>
            </w:pPr>
            <w:r>
              <w:rPr>
                <w:rFonts w:ascii="Calibri" w:hAnsi="Calibri" w:cs="Arial"/>
                <w:b/>
                <w:sz w:val="22"/>
                <w:szCs w:val="22"/>
                <w:lang w:eastAsia="en-US"/>
              </w:rPr>
              <w:t>ICP</w:t>
            </w:r>
          </w:p>
        </w:tc>
        <w:tc>
          <w:tcPr>
            <w:tcW w:w="1926" w:type="dxa"/>
            <w:tcBorders>
              <w:top w:val="single" w:sz="4" w:space="0" w:color="auto"/>
              <w:left w:val="single" w:sz="4" w:space="0" w:color="auto"/>
              <w:bottom w:val="single" w:sz="4" w:space="0" w:color="auto"/>
              <w:right w:val="single" w:sz="4" w:space="0" w:color="auto"/>
            </w:tcBorders>
            <w:hideMark/>
          </w:tcPr>
          <w:p w14:paraId="445211DA" w14:textId="77777777" w:rsidR="00453D0E" w:rsidRDefault="00453D0E" w:rsidP="00BD5123">
            <w:pPr>
              <w:autoSpaceDE w:val="0"/>
              <w:autoSpaceDN w:val="0"/>
              <w:adjustRightInd w:val="0"/>
              <w:jc w:val="both"/>
              <w:rPr>
                <w:rFonts w:ascii="Calibri" w:hAnsi="Calibri" w:cs="Arial"/>
                <w:b/>
                <w:sz w:val="22"/>
                <w:szCs w:val="22"/>
                <w:lang w:eastAsia="en-US"/>
              </w:rPr>
            </w:pPr>
            <w:r>
              <w:rPr>
                <w:rFonts w:ascii="Calibri" w:hAnsi="Calibri" w:cs="Arial"/>
                <w:b/>
                <w:sz w:val="22"/>
                <w:szCs w:val="22"/>
                <w:lang w:eastAsia="en-US"/>
              </w:rPr>
              <w:t>DIRITTI AFFISSIONI</w:t>
            </w:r>
          </w:p>
        </w:tc>
        <w:tc>
          <w:tcPr>
            <w:tcW w:w="1926" w:type="dxa"/>
            <w:tcBorders>
              <w:top w:val="single" w:sz="4" w:space="0" w:color="auto"/>
              <w:left w:val="single" w:sz="4" w:space="0" w:color="auto"/>
              <w:bottom w:val="single" w:sz="4" w:space="0" w:color="auto"/>
              <w:right w:val="single" w:sz="4" w:space="0" w:color="auto"/>
            </w:tcBorders>
            <w:hideMark/>
          </w:tcPr>
          <w:p w14:paraId="1B83A5AC" w14:textId="77777777" w:rsidR="00453D0E" w:rsidRDefault="00453D0E" w:rsidP="00BD5123">
            <w:pPr>
              <w:autoSpaceDE w:val="0"/>
              <w:autoSpaceDN w:val="0"/>
              <w:adjustRightInd w:val="0"/>
              <w:jc w:val="both"/>
              <w:rPr>
                <w:rFonts w:ascii="Calibri" w:hAnsi="Calibri" w:cs="Arial"/>
                <w:b/>
                <w:sz w:val="22"/>
                <w:szCs w:val="22"/>
                <w:lang w:eastAsia="en-US"/>
              </w:rPr>
            </w:pPr>
            <w:r>
              <w:rPr>
                <w:rFonts w:ascii="Calibri" w:hAnsi="Calibri" w:cs="Arial"/>
                <w:b/>
                <w:sz w:val="22"/>
                <w:szCs w:val="22"/>
                <w:lang w:eastAsia="en-US"/>
              </w:rPr>
              <w:t xml:space="preserve">TOTALE </w:t>
            </w:r>
          </w:p>
        </w:tc>
      </w:tr>
      <w:tr w:rsidR="00453D0E" w14:paraId="32A3E1B7" w14:textId="77777777" w:rsidTr="00BD5123">
        <w:tc>
          <w:tcPr>
            <w:tcW w:w="1925" w:type="dxa"/>
            <w:tcBorders>
              <w:top w:val="single" w:sz="4" w:space="0" w:color="auto"/>
              <w:left w:val="single" w:sz="4" w:space="0" w:color="auto"/>
              <w:bottom w:val="single" w:sz="4" w:space="0" w:color="auto"/>
              <w:right w:val="single" w:sz="4" w:space="0" w:color="auto"/>
            </w:tcBorders>
            <w:hideMark/>
          </w:tcPr>
          <w:p w14:paraId="1900BAFC" w14:textId="3AF50171" w:rsidR="00453D0E" w:rsidRDefault="00453D0E" w:rsidP="00BD5123">
            <w:pPr>
              <w:autoSpaceDE w:val="0"/>
              <w:autoSpaceDN w:val="0"/>
              <w:adjustRightInd w:val="0"/>
              <w:jc w:val="both"/>
              <w:rPr>
                <w:rFonts w:ascii="Calibri" w:hAnsi="Calibri" w:cs="Arial"/>
                <w:b/>
                <w:sz w:val="22"/>
                <w:szCs w:val="22"/>
                <w:lang w:eastAsia="en-US"/>
              </w:rPr>
            </w:pPr>
            <w:r>
              <w:rPr>
                <w:rFonts w:ascii="Calibri" w:hAnsi="Calibri" w:cs="Arial"/>
                <w:b/>
                <w:sz w:val="22"/>
                <w:szCs w:val="22"/>
                <w:lang w:eastAsia="en-US"/>
              </w:rPr>
              <w:t>67.939</w:t>
            </w:r>
            <w:r>
              <w:rPr>
                <w:rFonts w:ascii="Calibri" w:hAnsi="Calibri" w:cs="Arial"/>
                <w:b/>
                <w:sz w:val="22"/>
                <w:szCs w:val="22"/>
                <w:lang w:eastAsia="en-US"/>
              </w:rPr>
              <w:t>,00</w:t>
            </w:r>
          </w:p>
        </w:tc>
        <w:tc>
          <w:tcPr>
            <w:tcW w:w="1925" w:type="dxa"/>
            <w:tcBorders>
              <w:top w:val="single" w:sz="4" w:space="0" w:color="auto"/>
              <w:left w:val="single" w:sz="4" w:space="0" w:color="auto"/>
              <w:bottom w:val="single" w:sz="4" w:space="0" w:color="auto"/>
              <w:right w:val="single" w:sz="4" w:space="0" w:color="auto"/>
            </w:tcBorders>
            <w:hideMark/>
          </w:tcPr>
          <w:p w14:paraId="4C120C52" w14:textId="5384F930" w:rsidR="00453D0E" w:rsidRDefault="00453D0E" w:rsidP="00BD5123">
            <w:pPr>
              <w:autoSpaceDE w:val="0"/>
              <w:autoSpaceDN w:val="0"/>
              <w:adjustRightInd w:val="0"/>
              <w:jc w:val="both"/>
              <w:rPr>
                <w:rFonts w:ascii="Calibri" w:hAnsi="Calibri" w:cs="Arial"/>
                <w:b/>
                <w:sz w:val="22"/>
                <w:szCs w:val="22"/>
                <w:lang w:eastAsia="en-US"/>
              </w:rPr>
            </w:pPr>
            <w:r>
              <w:rPr>
                <w:rFonts w:ascii="Calibri" w:hAnsi="Calibri" w:cs="Arial"/>
                <w:b/>
                <w:sz w:val="22"/>
                <w:szCs w:val="22"/>
                <w:lang w:eastAsia="en-US"/>
              </w:rPr>
              <w:t>15.003</w:t>
            </w:r>
            <w:r>
              <w:rPr>
                <w:rFonts w:ascii="Calibri" w:hAnsi="Calibri" w:cs="Arial"/>
                <w:b/>
                <w:sz w:val="22"/>
                <w:szCs w:val="22"/>
                <w:lang w:eastAsia="en-US"/>
              </w:rPr>
              <w:t>,00</w:t>
            </w:r>
          </w:p>
        </w:tc>
        <w:tc>
          <w:tcPr>
            <w:tcW w:w="1926" w:type="dxa"/>
            <w:tcBorders>
              <w:top w:val="single" w:sz="4" w:space="0" w:color="auto"/>
              <w:left w:val="single" w:sz="4" w:space="0" w:color="auto"/>
              <w:bottom w:val="single" w:sz="4" w:space="0" w:color="auto"/>
              <w:right w:val="single" w:sz="4" w:space="0" w:color="auto"/>
            </w:tcBorders>
            <w:hideMark/>
          </w:tcPr>
          <w:p w14:paraId="6B6F7729" w14:textId="33FEE883" w:rsidR="00453D0E" w:rsidRDefault="00453D0E" w:rsidP="00BD5123">
            <w:pPr>
              <w:autoSpaceDE w:val="0"/>
              <w:autoSpaceDN w:val="0"/>
              <w:adjustRightInd w:val="0"/>
              <w:jc w:val="both"/>
              <w:rPr>
                <w:rFonts w:ascii="Calibri" w:hAnsi="Calibri" w:cs="Arial"/>
                <w:b/>
                <w:sz w:val="22"/>
                <w:szCs w:val="22"/>
                <w:lang w:eastAsia="en-US"/>
              </w:rPr>
            </w:pPr>
            <w:r>
              <w:rPr>
                <w:rFonts w:ascii="Calibri" w:hAnsi="Calibri" w:cs="Arial"/>
                <w:b/>
                <w:sz w:val="22"/>
                <w:szCs w:val="22"/>
                <w:lang w:eastAsia="en-US"/>
              </w:rPr>
              <w:t>4.758</w:t>
            </w:r>
            <w:r>
              <w:rPr>
                <w:rFonts w:ascii="Calibri" w:hAnsi="Calibri" w:cs="Arial"/>
                <w:b/>
                <w:sz w:val="22"/>
                <w:szCs w:val="22"/>
                <w:lang w:eastAsia="en-US"/>
              </w:rPr>
              <w:t>,00</w:t>
            </w:r>
          </w:p>
        </w:tc>
        <w:tc>
          <w:tcPr>
            <w:tcW w:w="1926" w:type="dxa"/>
            <w:tcBorders>
              <w:top w:val="single" w:sz="4" w:space="0" w:color="auto"/>
              <w:left w:val="single" w:sz="4" w:space="0" w:color="auto"/>
              <w:bottom w:val="single" w:sz="4" w:space="0" w:color="auto"/>
              <w:right w:val="single" w:sz="4" w:space="0" w:color="auto"/>
            </w:tcBorders>
            <w:hideMark/>
          </w:tcPr>
          <w:p w14:paraId="2E3B43C6" w14:textId="75365C72" w:rsidR="00453D0E" w:rsidRDefault="00453D0E" w:rsidP="00BD5123">
            <w:pPr>
              <w:autoSpaceDE w:val="0"/>
              <w:autoSpaceDN w:val="0"/>
              <w:adjustRightInd w:val="0"/>
              <w:jc w:val="both"/>
              <w:rPr>
                <w:rFonts w:ascii="Calibri" w:hAnsi="Calibri" w:cs="Arial"/>
                <w:b/>
                <w:sz w:val="22"/>
                <w:szCs w:val="22"/>
                <w:lang w:eastAsia="en-US"/>
              </w:rPr>
            </w:pPr>
            <w:r>
              <w:rPr>
                <w:rFonts w:ascii="Calibri" w:hAnsi="Calibri" w:cs="Arial"/>
                <w:b/>
                <w:sz w:val="22"/>
                <w:szCs w:val="22"/>
                <w:lang w:eastAsia="en-US"/>
              </w:rPr>
              <w:t>87.700</w:t>
            </w:r>
            <w:r>
              <w:rPr>
                <w:rFonts w:ascii="Calibri" w:hAnsi="Calibri" w:cs="Arial"/>
                <w:b/>
                <w:sz w:val="22"/>
                <w:szCs w:val="22"/>
                <w:lang w:eastAsia="en-US"/>
              </w:rPr>
              <w:t>,00</w:t>
            </w:r>
          </w:p>
        </w:tc>
      </w:tr>
    </w:tbl>
    <w:p w14:paraId="5416FAB4" w14:textId="77777777" w:rsidR="00453D0E" w:rsidRDefault="00453D0E" w:rsidP="00453D0E">
      <w:pPr>
        <w:autoSpaceDE w:val="0"/>
        <w:autoSpaceDN w:val="0"/>
        <w:adjustRightInd w:val="0"/>
        <w:jc w:val="both"/>
        <w:rPr>
          <w:rFonts w:ascii="Calibri" w:hAnsi="Calibri" w:cs="Arial"/>
          <w:b/>
          <w:sz w:val="22"/>
          <w:szCs w:val="22"/>
        </w:rPr>
      </w:pPr>
      <w:r>
        <w:rPr>
          <w:rFonts w:ascii="Calibri" w:hAnsi="Calibri" w:cs="Arial"/>
          <w:b/>
          <w:sz w:val="22"/>
          <w:szCs w:val="22"/>
        </w:rPr>
        <w:t xml:space="preserve">                                           </w:t>
      </w:r>
    </w:p>
    <w:p w14:paraId="109CA156" w14:textId="77777777" w:rsidR="00453D0E" w:rsidRDefault="00453D0E" w:rsidP="00453D0E">
      <w:pPr>
        <w:autoSpaceDE w:val="0"/>
        <w:autoSpaceDN w:val="0"/>
        <w:adjustRightInd w:val="0"/>
        <w:jc w:val="both"/>
        <w:rPr>
          <w:rFonts w:ascii="Calibri" w:hAnsi="Calibri" w:cs="Arial"/>
          <w:b/>
          <w:sz w:val="22"/>
          <w:szCs w:val="22"/>
        </w:rPr>
      </w:pPr>
    </w:p>
    <w:p w14:paraId="63E620D4" w14:textId="77777777" w:rsidR="00453D0E" w:rsidRDefault="00453D0E" w:rsidP="00453D0E">
      <w:pPr>
        <w:autoSpaceDE w:val="0"/>
        <w:autoSpaceDN w:val="0"/>
        <w:adjustRightInd w:val="0"/>
        <w:jc w:val="both"/>
        <w:rPr>
          <w:rFonts w:ascii="Calibri" w:hAnsi="Calibri" w:cs="Verdana"/>
          <w:color w:val="000000"/>
          <w:sz w:val="22"/>
          <w:szCs w:val="22"/>
        </w:rPr>
      </w:pPr>
    </w:p>
    <w:p w14:paraId="0E8654E3" w14:textId="70F84534" w:rsidR="00453D0E" w:rsidRDefault="00453D0E" w:rsidP="00453D0E">
      <w:pPr>
        <w:autoSpaceDE w:val="0"/>
        <w:autoSpaceDN w:val="0"/>
        <w:adjustRightInd w:val="0"/>
        <w:jc w:val="both"/>
        <w:rPr>
          <w:rFonts w:ascii="Calibri" w:hAnsi="Calibri" w:cs="Verdana"/>
          <w:color w:val="000000"/>
          <w:sz w:val="22"/>
          <w:szCs w:val="22"/>
        </w:rPr>
      </w:pPr>
      <w:r>
        <w:rPr>
          <w:rFonts w:ascii="Calibri" w:hAnsi="Calibri" w:cs="Verdana"/>
          <w:color w:val="000000"/>
          <w:sz w:val="22"/>
          <w:szCs w:val="22"/>
        </w:rPr>
        <w:t xml:space="preserve">TOTALE PAGATO EURO </w:t>
      </w:r>
      <w:r>
        <w:rPr>
          <w:rFonts w:ascii="Calibri" w:hAnsi="Calibri" w:cs="Verdana"/>
          <w:color w:val="000000"/>
          <w:sz w:val="22"/>
          <w:szCs w:val="22"/>
        </w:rPr>
        <w:t>87.700</w:t>
      </w:r>
      <w:r>
        <w:rPr>
          <w:rFonts w:ascii="Calibri" w:hAnsi="Calibri" w:cs="Verdana"/>
          <w:color w:val="000000"/>
          <w:sz w:val="22"/>
          <w:szCs w:val="22"/>
        </w:rPr>
        <w:t xml:space="preserve">,00 RISPARMIO DI SPESA (24,71%) EURO </w:t>
      </w:r>
      <w:bookmarkStart w:id="0" w:name="_Hlk533068501"/>
      <w:r>
        <w:rPr>
          <w:rFonts w:ascii="Calibri" w:hAnsi="Calibri" w:cs="Verdana"/>
          <w:color w:val="000000"/>
          <w:sz w:val="22"/>
          <w:szCs w:val="22"/>
        </w:rPr>
        <w:t>21.670</w:t>
      </w:r>
      <w:r>
        <w:rPr>
          <w:rFonts w:ascii="Calibri" w:hAnsi="Calibri" w:cs="Verdana"/>
          <w:color w:val="000000"/>
          <w:sz w:val="22"/>
          <w:szCs w:val="22"/>
        </w:rPr>
        <w:t>,00</w:t>
      </w:r>
      <w:bookmarkEnd w:id="0"/>
    </w:p>
    <w:p w14:paraId="52734335" w14:textId="23793460" w:rsidR="00453D0E" w:rsidRDefault="00453D0E" w:rsidP="00453D0E">
      <w:pPr>
        <w:autoSpaceDE w:val="0"/>
        <w:autoSpaceDN w:val="0"/>
        <w:adjustRightInd w:val="0"/>
        <w:jc w:val="both"/>
        <w:rPr>
          <w:rFonts w:ascii="Calibri" w:hAnsi="Calibri" w:cs="Verdana"/>
          <w:color w:val="000000"/>
          <w:sz w:val="22"/>
          <w:szCs w:val="22"/>
        </w:rPr>
      </w:pPr>
      <w:r>
        <w:rPr>
          <w:rFonts w:ascii="Calibri" w:hAnsi="Calibri" w:cs="Verdana"/>
          <w:color w:val="000000"/>
          <w:sz w:val="22"/>
          <w:szCs w:val="22"/>
        </w:rPr>
        <w:t xml:space="preserve">DA DESTINARE A CONTARTTAZIONE INTEGRATIVA E PREMI (50%) EURO </w:t>
      </w:r>
      <w:r>
        <w:rPr>
          <w:rFonts w:ascii="Calibri" w:hAnsi="Calibri" w:cs="Verdana"/>
          <w:color w:val="000000"/>
          <w:sz w:val="22"/>
          <w:szCs w:val="22"/>
        </w:rPr>
        <w:t>10.835</w:t>
      </w:r>
      <w:r>
        <w:rPr>
          <w:rFonts w:ascii="Calibri" w:hAnsi="Calibri" w:cs="Verdana"/>
          <w:color w:val="000000"/>
          <w:sz w:val="22"/>
          <w:szCs w:val="22"/>
        </w:rPr>
        <w:t>,00</w:t>
      </w:r>
    </w:p>
    <w:p w14:paraId="2AE631AE" w14:textId="77777777" w:rsidR="00453D0E" w:rsidRDefault="00453D0E" w:rsidP="00453D0E">
      <w:pPr>
        <w:autoSpaceDE w:val="0"/>
        <w:autoSpaceDN w:val="0"/>
        <w:adjustRightInd w:val="0"/>
        <w:jc w:val="both"/>
        <w:rPr>
          <w:rFonts w:ascii="Calibri" w:hAnsi="Calibri" w:cs="Verdana"/>
          <w:color w:val="000000"/>
          <w:sz w:val="22"/>
          <w:szCs w:val="22"/>
        </w:rPr>
      </w:pPr>
    </w:p>
    <w:p w14:paraId="5C0CA97D" w14:textId="77777777" w:rsidR="00453D0E" w:rsidRDefault="00453D0E" w:rsidP="00453D0E">
      <w:pPr>
        <w:autoSpaceDE w:val="0"/>
        <w:autoSpaceDN w:val="0"/>
        <w:adjustRightInd w:val="0"/>
        <w:jc w:val="both"/>
        <w:rPr>
          <w:rFonts w:ascii="Calibri" w:hAnsi="Calibri" w:cs="Verdana,Bold"/>
          <w:b/>
          <w:bCs/>
          <w:color w:val="000000"/>
          <w:sz w:val="22"/>
          <w:szCs w:val="22"/>
        </w:rPr>
      </w:pPr>
    </w:p>
    <w:p w14:paraId="6CCF12F9" w14:textId="77777777" w:rsidR="00453D0E" w:rsidRDefault="00453D0E" w:rsidP="00453D0E">
      <w:pPr>
        <w:autoSpaceDE w:val="0"/>
        <w:autoSpaceDN w:val="0"/>
        <w:adjustRightInd w:val="0"/>
        <w:jc w:val="both"/>
        <w:rPr>
          <w:rFonts w:ascii="Calibri" w:hAnsi="Calibri"/>
          <w:b/>
          <w:bCs/>
          <w:color w:val="000000"/>
          <w:sz w:val="22"/>
          <w:szCs w:val="22"/>
        </w:rPr>
      </w:pPr>
      <w:r>
        <w:rPr>
          <w:rFonts w:ascii="Calibri" w:hAnsi="Calibri"/>
          <w:b/>
          <w:bCs/>
          <w:color w:val="000000"/>
          <w:sz w:val="22"/>
          <w:szCs w:val="22"/>
        </w:rPr>
        <w:t>CONSIDERAZIONI CONCLUSIVE.</w:t>
      </w:r>
    </w:p>
    <w:p w14:paraId="5F17D03E" w14:textId="77777777" w:rsidR="00453D0E" w:rsidRDefault="00453D0E" w:rsidP="00453D0E">
      <w:pPr>
        <w:autoSpaceDE w:val="0"/>
        <w:autoSpaceDN w:val="0"/>
        <w:adjustRightInd w:val="0"/>
        <w:jc w:val="both"/>
        <w:rPr>
          <w:rFonts w:ascii="Calibri" w:hAnsi="Calibri"/>
          <w:b/>
          <w:bCs/>
          <w:color w:val="000000"/>
          <w:sz w:val="22"/>
          <w:szCs w:val="22"/>
        </w:rPr>
      </w:pPr>
    </w:p>
    <w:p w14:paraId="2F9CC90B" w14:textId="5156FCE7" w:rsidR="00453D0E" w:rsidRDefault="00453D0E" w:rsidP="00453D0E">
      <w:pPr>
        <w:autoSpaceDE w:val="0"/>
        <w:autoSpaceDN w:val="0"/>
        <w:adjustRightInd w:val="0"/>
        <w:jc w:val="both"/>
        <w:rPr>
          <w:rFonts w:ascii="Calibri" w:hAnsi="Calibri"/>
          <w:color w:val="000000"/>
          <w:sz w:val="22"/>
          <w:szCs w:val="22"/>
        </w:rPr>
      </w:pPr>
      <w:r>
        <w:rPr>
          <w:rFonts w:ascii="Calibri" w:hAnsi="Calibri"/>
          <w:color w:val="000000"/>
          <w:sz w:val="22"/>
          <w:szCs w:val="22"/>
        </w:rPr>
        <w:t>Le azioni ed i processi delineati dal Piano hanno portato per l’anno 20</w:t>
      </w:r>
      <w:r w:rsidR="006B2911">
        <w:rPr>
          <w:rFonts w:ascii="Calibri" w:hAnsi="Calibri"/>
          <w:color w:val="000000"/>
          <w:sz w:val="22"/>
          <w:szCs w:val="22"/>
        </w:rPr>
        <w:t>19</w:t>
      </w:r>
      <w:r>
        <w:rPr>
          <w:rFonts w:ascii="Calibri" w:hAnsi="Calibri"/>
          <w:color w:val="000000"/>
          <w:sz w:val="22"/>
          <w:szCs w:val="22"/>
        </w:rPr>
        <w:t xml:space="preserve"> economie aggiuntive pari ad euro </w:t>
      </w:r>
      <w:r w:rsidR="006B2911">
        <w:rPr>
          <w:rFonts w:ascii="Calibri" w:hAnsi="Calibri"/>
          <w:color w:val="000000"/>
          <w:sz w:val="22"/>
          <w:szCs w:val="22"/>
        </w:rPr>
        <w:t>21.670</w:t>
      </w:r>
      <w:r>
        <w:rPr>
          <w:rFonts w:ascii="Calibri" w:hAnsi="Calibri"/>
          <w:color w:val="000000"/>
          <w:sz w:val="22"/>
          <w:szCs w:val="22"/>
        </w:rPr>
        <w:t xml:space="preserve">,00, dette risorse sono messe a disposizioni del Fondo Accessorio e quindi, della Contrattazione Integrativa, nella misura del 50%, pari ad euro </w:t>
      </w:r>
      <w:r w:rsidR="006B2911">
        <w:rPr>
          <w:rFonts w:ascii="Calibri" w:hAnsi="Calibri"/>
          <w:color w:val="000000"/>
          <w:sz w:val="22"/>
          <w:szCs w:val="22"/>
        </w:rPr>
        <w:t>10.835</w:t>
      </w:r>
      <w:r>
        <w:rPr>
          <w:rFonts w:ascii="Calibri" w:hAnsi="Calibri"/>
          <w:color w:val="000000"/>
          <w:sz w:val="22"/>
          <w:szCs w:val="22"/>
        </w:rPr>
        <w:t>,00, finalizzandole per il 50% all’erogazione dei premi previsti dall’art. 19 del Decreto Legislativo 150/2009.</w:t>
      </w:r>
    </w:p>
    <w:p w14:paraId="2CD981C4" w14:textId="77777777" w:rsidR="00453D0E" w:rsidRDefault="00453D0E" w:rsidP="00453D0E">
      <w:pPr>
        <w:rPr>
          <w:rFonts w:ascii="Calibri" w:hAnsi="Calibri"/>
        </w:rPr>
      </w:pPr>
    </w:p>
    <w:p w14:paraId="2F53FCB8" w14:textId="77777777" w:rsidR="00453D0E" w:rsidRDefault="00453D0E" w:rsidP="00453D0E"/>
    <w:p w14:paraId="4412E161" w14:textId="77777777" w:rsidR="00453D0E" w:rsidRDefault="00453D0E" w:rsidP="00453D0E"/>
    <w:p w14:paraId="235D2B78" w14:textId="77777777" w:rsidR="00453D0E" w:rsidRDefault="00453D0E" w:rsidP="00453D0E"/>
    <w:p w14:paraId="48595D48" w14:textId="77777777" w:rsidR="00453D0E" w:rsidRDefault="00453D0E" w:rsidP="00453D0E"/>
    <w:p w14:paraId="714271D6" w14:textId="77777777" w:rsidR="00F34CEF" w:rsidRDefault="00F34CEF"/>
    <w:sectPr w:rsidR="00F34CE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Italic">
    <w:panose1 w:val="00000000000000000000"/>
    <w:charset w:val="00"/>
    <w:family w:val="auto"/>
    <w:notTrueType/>
    <w:pitch w:val="default"/>
    <w:sig w:usb0="00000003" w:usb1="00000000" w:usb2="00000000" w:usb3="00000000" w:csb0="00000001" w:csb1="00000000"/>
  </w:font>
  <w:font w:name="Verdana,Bold">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3A0016"/>
    <w:multiLevelType w:val="hybridMultilevel"/>
    <w:tmpl w:val="CA522AB0"/>
    <w:lvl w:ilvl="0" w:tplc="0360ED0E">
      <w:numFmt w:val="bullet"/>
      <w:lvlText w:val="-"/>
      <w:lvlJc w:val="left"/>
      <w:pPr>
        <w:tabs>
          <w:tab w:val="num" w:pos="720"/>
        </w:tabs>
        <w:ind w:left="720" w:hanging="360"/>
      </w:pPr>
      <w:rPr>
        <w:rFonts w:ascii="Arial" w:eastAsia="Times New Roman" w:hAnsi="Arial"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F3C3F4D"/>
    <w:multiLevelType w:val="hybridMultilevel"/>
    <w:tmpl w:val="77CAE0D6"/>
    <w:lvl w:ilvl="0" w:tplc="D18A59CC">
      <w:start w:val="6"/>
      <w:numFmt w:val="bullet"/>
      <w:lvlText w:val="-"/>
      <w:lvlJc w:val="left"/>
      <w:pPr>
        <w:ind w:left="720" w:hanging="360"/>
      </w:pPr>
      <w:rPr>
        <w:rFonts w:ascii="Calibri" w:eastAsiaTheme="minorEastAsia" w:hAnsi="Calibri" w:cs="Times New Roman" w:hint="default"/>
      </w:rPr>
    </w:lvl>
    <w:lvl w:ilvl="1" w:tplc="04100003">
      <w:start w:val="1"/>
      <w:numFmt w:val="bullet"/>
      <w:lvlText w:val="o"/>
      <w:lvlJc w:val="left"/>
      <w:pPr>
        <w:ind w:left="1440" w:hanging="360"/>
      </w:pPr>
      <w:rPr>
        <w:rFonts w:ascii="Courier New" w:hAnsi="Courier Ne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abstractNum w:abstractNumId="2" w15:restartNumberingAfterBreak="0">
    <w:nsid w:val="77536C89"/>
    <w:multiLevelType w:val="hybridMultilevel"/>
    <w:tmpl w:val="A6C422F8"/>
    <w:lvl w:ilvl="0" w:tplc="631CA280">
      <w:numFmt w:val="bullet"/>
      <w:lvlText w:val="-"/>
      <w:lvlJc w:val="left"/>
      <w:pPr>
        <w:ind w:left="720" w:hanging="360"/>
      </w:pPr>
      <w:rPr>
        <w:rFonts w:ascii="Calibri" w:eastAsia="Times New Roman"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D0E"/>
    <w:rsid w:val="00453D0E"/>
    <w:rsid w:val="006B2911"/>
    <w:rsid w:val="00F34CE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6FCB1"/>
  <w15:chartTrackingRefBased/>
  <w15:docId w15:val="{1F29EA32-F109-4CEF-8494-074F6F06D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53D0E"/>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453D0E"/>
    <w:pPr>
      <w:spacing w:before="100" w:beforeAutospacing="1" w:after="100" w:afterAutospacing="1"/>
    </w:pPr>
    <w:rPr>
      <w:color w:val="0000FF"/>
    </w:rPr>
  </w:style>
  <w:style w:type="paragraph" w:styleId="Paragrafoelenco">
    <w:name w:val="List Paragraph"/>
    <w:basedOn w:val="Normale"/>
    <w:uiPriority w:val="34"/>
    <w:qFormat/>
    <w:rsid w:val="00453D0E"/>
    <w:pPr>
      <w:autoSpaceDE w:val="0"/>
      <w:autoSpaceDN w:val="0"/>
      <w:ind w:left="720"/>
      <w:contextualSpacing/>
    </w:pPr>
    <w:rPr>
      <w:rFonts w:eastAsiaTheme="minorEastAsia"/>
      <w:sz w:val="20"/>
      <w:szCs w:val="20"/>
    </w:rPr>
  </w:style>
  <w:style w:type="table" w:styleId="Grigliatabella">
    <w:name w:val="Table Grid"/>
    <w:basedOn w:val="Tabellanormale"/>
    <w:uiPriority w:val="39"/>
    <w:rsid w:val="00453D0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734</Words>
  <Characters>4189</Characters>
  <Application>Microsoft Office Word</Application>
  <DocSecurity>0</DocSecurity>
  <Lines>34</Lines>
  <Paragraphs>9</Paragraphs>
  <ScaleCrop>false</ScaleCrop>
  <Company/>
  <LinksUpToDate>false</LinksUpToDate>
  <CharactersWithSpaces>4914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2</cp:revision>
  <dcterms:created xsi:type="dcterms:W3CDTF">2020-10-23T11:31:00Z</dcterms:created>
  <dcterms:modified xsi:type="dcterms:W3CDTF">2020-10-23T11:51:00Z</dcterms:modified>
</cp:coreProperties>
</file>