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7BD1" w14:textId="77777777" w:rsidR="00F01B7B" w:rsidRDefault="004F2B90" w:rsidP="002907BD">
      <w:pPr>
        <w:pStyle w:val="western"/>
        <w:jc w:val="center"/>
        <w:rPr>
          <w:rFonts w:ascii="Corbel" w:eastAsia="Calibri" w:hAnsi="Corbel" w:cs="Corbel"/>
          <w:b/>
          <w:bCs/>
          <w:sz w:val="28"/>
          <w:szCs w:val="28"/>
        </w:rPr>
      </w:pPr>
      <w:proofErr w:type="gramStart"/>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proofErr w:type="gramEnd"/>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3876D6D4"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25347B">
        <w:rPr>
          <w:b/>
          <w:shd w:val="clear" w:color="auto" w:fill="FFFFFF"/>
        </w:rPr>
        <w:t>2</w:t>
      </w:r>
      <w:r w:rsidR="00F01B7B">
        <w:rPr>
          <w:b/>
          <w:shd w:val="clear" w:color="auto" w:fill="FFFFFF"/>
        </w:rPr>
        <w:t xml:space="preserve"> </w:t>
      </w:r>
      <w:r w:rsidR="00A62E35">
        <w:rPr>
          <w:b/>
          <w:shd w:val="clear" w:color="auto" w:fill="FFFFFF"/>
        </w:rPr>
        <w:t>UNIT</w:t>
      </w:r>
      <w:r>
        <w:rPr>
          <w:b/>
          <w:shd w:val="clear" w:color="auto" w:fill="FFFFFF"/>
        </w:rPr>
        <w:t xml:space="preserve">A’ A TEMPO </w:t>
      </w:r>
      <w:r w:rsidR="0025347B">
        <w:rPr>
          <w:b/>
          <w:shd w:val="clear" w:color="auto" w:fill="FFFFFF"/>
        </w:rPr>
        <w:t>IN</w:t>
      </w:r>
      <w:r>
        <w:rPr>
          <w:b/>
          <w:shd w:val="clear" w:color="auto" w:fill="FFFFFF"/>
        </w:rPr>
        <w:t>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w:t>
      </w:r>
      <w:r w:rsidR="0025347B">
        <w:rPr>
          <w:b/>
          <w:shd w:val="clear" w:color="auto" w:fill="FFFFFF"/>
        </w:rPr>
        <w:t>SAN GINESIO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2D1D45BF"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fra le ore 9.00 di</w:t>
      </w:r>
      <w:r w:rsidR="009B03EF">
        <w:rPr>
          <w:rFonts w:ascii="Times New Roman" w:hAnsi="Times New Roman" w:cs="Times New Roman"/>
          <w:b/>
        </w:rPr>
        <w:t xml:space="preserve"> Mercoledì </w:t>
      </w:r>
      <w:r w:rsidR="0025347B">
        <w:rPr>
          <w:rFonts w:ascii="Times New Roman" w:hAnsi="Times New Roman" w:cs="Times New Roman"/>
          <w:b/>
        </w:rPr>
        <w:t>10</w:t>
      </w:r>
      <w:r w:rsidR="009B03EF">
        <w:rPr>
          <w:rFonts w:ascii="Times New Roman" w:hAnsi="Times New Roman" w:cs="Times New Roman"/>
          <w:b/>
        </w:rPr>
        <w:t>/02/</w:t>
      </w:r>
      <w:proofErr w:type="gramStart"/>
      <w:r w:rsidR="009B03EF">
        <w:rPr>
          <w:rFonts w:ascii="Times New Roman" w:hAnsi="Times New Roman" w:cs="Times New Roman"/>
          <w:b/>
        </w:rPr>
        <w:t>2021</w:t>
      </w:r>
      <w:r w:rsidR="00ED1B3F" w:rsidRPr="00ED1B3F">
        <w:rPr>
          <w:rFonts w:ascii="Times New Roman" w:hAnsi="Times New Roman" w:cs="Times New Roman"/>
          <w:b/>
        </w:rPr>
        <w:t xml:space="preserve">  e</w:t>
      </w:r>
      <w:proofErr w:type="gramEnd"/>
      <w:r w:rsidR="00ED1B3F" w:rsidRPr="00ED1B3F">
        <w:rPr>
          <w:rFonts w:ascii="Times New Roman" w:hAnsi="Times New Roman" w:cs="Times New Roman"/>
          <w:b/>
        </w:rPr>
        <w:t xml:space="preserve"> le ore 12.30 di</w:t>
      </w:r>
      <w:r w:rsidR="00ED1B3F">
        <w:rPr>
          <w:rFonts w:ascii="Times New Roman" w:hAnsi="Times New Roman" w:cs="Times New Roman"/>
        </w:rPr>
        <w:t xml:space="preserve"> </w:t>
      </w:r>
      <w:r w:rsidR="009B03EF" w:rsidRPr="009B03EF">
        <w:rPr>
          <w:rFonts w:ascii="Times New Roman" w:hAnsi="Times New Roman" w:cs="Times New Roman"/>
          <w:b/>
        </w:rPr>
        <w:t xml:space="preserve">Giovedì </w:t>
      </w:r>
      <w:r w:rsidR="0025347B">
        <w:rPr>
          <w:rFonts w:ascii="Times New Roman" w:hAnsi="Times New Roman" w:cs="Times New Roman"/>
          <w:b/>
        </w:rPr>
        <w:t>11</w:t>
      </w:r>
      <w:r w:rsidR="009B03EF" w:rsidRPr="009B03EF">
        <w:rPr>
          <w:rFonts w:ascii="Times New Roman" w:hAnsi="Times New Roman" w:cs="Times New Roman"/>
          <w:b/>
        </w:rPr>
        <w:t>/02/2021</w:t>
      </w:r>
      <w:r w:rsidR="00ED1B3F" w:rsidRPr="00ED1B3F">
        <w:rPr>
          <w:rFonts w:ascii="Times New Roman" w:hAnsi="Times New Roman" w:cs="Times New Roman"/>
          <w:b/>
        </w:rPr>
        <w:t xml:space="preserve"> </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5CAF9716" w:rsidR="00F01B7B" w:rsidRDefault="00A62E35" w:rsidP="0025347B">
            <w:pPr>
              <w:pStyle w:val="western"/>
              <w:spacing w:before="0"/>
            </w:pPr>
            <w:r>
              <w:t xml:space="preserve">COMUNE DI </w:t>
            </w:r>
            <w:r w:rsidR="0025347B">
              <w:t>SAN GINESIO</w:t>
            </w:r>
            <w:r w:rsidR="00F01B7B">
              <w:t xml:space="preserve"> </w:t>
            </w:r>
          </w:p>
        </w:tc>
      </w:tr>
      <w:tr w:rsidR="00F01B7B" w14:paraId="2F3FFFD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194D23BA" w:rsidR="00F01B7B" w:rsidRDefault="0025347B" w:rsidP="0025347B">
            <w:pPr>
              <w:pStyle w:val="western"/>
              <w:spacing w:before="0"/>
            </w:pPr>
            <w:r>
              <w:t>22</w:t>
            </w:r>
            <w:r w:rsidR="00011649">
              <w:t>/</w:t>
            </w:r>
            <w:r w:rsidR="7226C4C5">
              <w:t>1</w:t>
            </w:r>
            <w:r w:rsidR="008434D7">
              <w:t>2</w:t>
            </w:r>
            <w:r w:rsidR="00011649">
              <w:t>/</w:t>
            </w:r>
            <w:r w:rsidR="00F01B7B">
              <w:t>2020</w:t>
            </w:r>
          </w:p>
        </w:tc>
      </w:tr>
      <w:tr w:rsidR="00F01B7B" w14:paraId="47B035F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14BACDF4" w:rsidR="00F01B7B" w:rsidRDefault="0025347B" w:rsidP="0025347B">
            <w:pPr>
              <w:pStyle w:val="western"/>
              <w:spacing w:before="0"/>
            </w:pPr>
            <w:r>
              <w:rPr>
                <w:sz w:val="20"/>
                <w:szCs w:val="20"/>
              </w:rPr>
              <w:t>PIENO</w:t>
            </w:r>
          </w:p>
        </w:tc>
      </w:tr>
      <w:tr w:rsidR="00F01B7B" w14:paraId="3772F890"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5127F0E6" w:rsidR="00F01B7B" w:rsidRDefault="0025347B" w:rsidP="00F1100E">
            <w:pPr>
              <w:pStyle w:val="western"/>
              <w:spacing w:before="0"/>
              <w:rPr>
                <w:rFonts w:eastAsia="Arial"/>
                <w:sz w:val="20"/>
                <w:szCs w:val="20"/>
              </w:rPr>
            </w:pPr>
            <w:r>
              <w:rPr>
                <w:sz w:val="20"/>
                <w:szCs w:val="20"/>
              </w:rPr>
              <w:t>T. INDETERMINATO</w:t>
            </w:r>
          </w:p>
        </w:tc>
      </w:tr>
      <w:tr w:rsidR="00F01B7B" w14:paraId="21D05E29" w14:textId="77777777" w:rsidTr="0025347B">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5D7BC38F" w:rsidR="00F01B7B" w:rsidRDefault="00F01B7B" w:rsidP="0025347B">
            <w:pPr>
              <w:pStyle w:val="western"/>
              <w:spacing w:before="0" w:line="195" w:lineRule="atLeast"/>
            </w:pPr>
            <w:r>
              <w:rPr>
                <w:rFonts w:ascii="Helvetica" w:hAnsi="Helvetica" w:cs="Helvetica"/>
              </w:rPr>
              <w:t xml:space="preserve">SI </w:t>
            </w:r>
            <w:r>
              <w:rPr>
                <w:rFonts w:ascii="Corbel" w:hAnsi="Corbel" w:cs="Corbel"/>
              </w:rPr>
              <w:t>[ ] – NO [ ]</w:t>
            </w:r>
          </w:p>
        </w:tc>
      </w:tr>
      <w:tr w:rsidR="00F01B7B" w14:paraId="574EF99D"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E0F650B" w14:textId="54368D0B" w:rsidR="0025347B" w:rsidRDefault="0025347B" w:rsidP="6AF91E97">
            <w:pPr>
              <w:pStyle w:val="western"/>
              <w:spacing w:before="0"/>
              <w:jc w:val="left"/>
              <w:rPr>
                <w:b/>
                <w:bCs/>
                <w:sz w:val="20"/>
                <w:szCs w:val="20"/>
              </w:rPr>
            </w:pPr>
            <w:r>
              <w:rPr>
                <w:b/>
                <w:bCs/>
                <w:sz w:val="20"/>
                <w:szCs w:val="20"/>
              </w:rPr>
              <w:t>OPERAIO GENERICO</w:t>
            </w:r>
            <w:r w:rsidR="443AF7E7" w:rsidRPr="6AF91E97">
              <w:rPr>
                <w:b/>
                <w:bCs/>
                <w:sz w:val="20"/>
                <w:szCs w:val="20"/>
              </w:rPr>
              <w:t xml:space="preserve"> </w:t>
            </w:r>
            <w:r w:rsidR="613263D8" w:rsidRPr="6AF91E97">
              <w:rPr>
                <w:b/>
                <w:bCs/>
                <w:sz w:val="20"/>
                <w:szCs w:val="20"/>
              </w:rPr>
              <w:t>(Cod. Istat 2011</w:t>
            </w:r>
            <w:r w:rsidR="3B0AF131" w:rsidRPr="6AF91E97">
              <w:rPr>
                <w:b/>
                <w:bCs/>
                <w:sz w:val="20"/>
                <w:szCs w:val="20"/>
              </w:rPr>
              <w:t>:</w:t>
            </w:r>
            <w:r w:rsidR="613263D8" w:rsidRPr="6AF91E97">
              <w:rPr>
                <w:b/>
                <w:bCs/>
                <w:sz w:val="20"/>
                <w:szCs w:val="20"/>
              </w:rPr>
              <w:t xml:space="preserve"> </w:t>
            </w:r>
            <w:r>
              <w:rPr>
                <w:b/>
                <w:bCs/>
                <w:sz w:val="20"/>
                <w:szCs w:val="20"/>
              </w:rPr>
              <w:t xml:space="preserve">8 professioni non   </w:t>
            </w:r>
          </w:p>
          <w:p w14:paraId="314E3051" w14:textId="0D20C05B" w:rsidR="003D79E3" w:rsidRDefault="0025347B" w:rsidP="6AF91E97">
            <w:pPr>
              <w:pStyle w:val="western"/>
              <w:spacing w:before="0"/>
              <w:jc w:val="left"/>
              <w:rPr>
                <w:b/>
                <w:bCs/>
                <w:sz w:val="20"/>
                <w:szCs w:val="20"/>
              </w:rPr>
            </w:pPr>
            <w:r>
              <w:rPr>
                <w:b/>
                <w:bCs/>
                <w:sz w:val="20"/>
                <w:szCs w:val="20"/>
              </w:rPr>
              <w:t xml:space="preserve">                                       qualificate</w:t>
            </w:r>
            <w:r w:rsidR="5034567C" w:rsidRPr="6AF91E97">
              <w:rPr>
                <w:b/>
                <w:bCs/>
                <w:sz w:val="20"/>
                <w:szCs w:val="20"/>
              </w:rPr>
              <w:t>)</w:t>
            </w:r>
            <w:r w:rsidR="1B9AE4CD" w:rsidRPr="6AF91E97">
              <w:rPr>
                <w:sz w:val="20"/>
                <w:szCs w:val="20"/>
              </w:rPr>
              <w:t xml:space="preserve"> </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3299CCBD" w:rsidR="003D79E3" w:rsidRDefault="003D79E3" w:rsidP="61E29290">
            <w:pPr>
              <w:pStyle w:val="western"/>
              <w:spacing w:before="0"/>
              <w:jc w:val="left"/>
              <w:rPr>
                <w:b/>
                <w:bCs/>
                <w:sz w:val="20"/>
                <w:szCs w:val="20"/>
              </w:rPr>
            </w:pPr>
          </w:p>
        </w:tc>
      </w:tr>
      <w:tr w:rsidR="00F01B7B" w14:paraId="3F6889B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2EB378F" w14:textId="3F2FDA3C" w:rsidR="001123EB" w:rsidRDefault="006E45C9" w:rsidP="00A32163">
            <w:pPr>
              <w:pStyle w:val="western"/>
              <w:spacing w:before="0"/>
            </w:pPr>
            <w:r>
              <w:t>Patente B</w:t>
            </w:r>
            <w:r w:rsidR="0025347B">
              <w:t xml:space="preserve">    </w:t>
            </w:r>
          </w:p>
          <w:p w14:paraId="1225DC72" w14:textId="75738F90" w:rsidR="001123EB" w:rsidRPr="001123EB" w:rsidRDefault="001123EB" w:rsidP="4EB5839E">
            <w:pPr>
              <w:pStyle w:val="western"/>
              <w:spacing w:before="0"/>
              <w:rPr>
                <w:b/>
                <w:bCs/>
              </w:rPr>
            </w:pPr>
          </w:p>
        </w:tc>
      </w:tr>
      <w:tr w:rsidR="00F01B7B" w14:paraId="1A879DC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7687E2AA" w:rsidR="00F01B7B" w:rsidRDefault="003D6563" w:rsidP="00C56ACB">
            <w:pPr>
              <w:pStyle w:val="western"/>
            </w:pPr>
            <w:r>
              <w:t>Prova tecnico pratica su: movimentazione carichi, utilizzo strumenti ed apparecchiature semplici, organizzazione di materiali  sui luoghi di lavoro, obblighi di sicurezza sui luoghi di lavoro, utilizzo dei più comuni sistemi informatici</w:t>
            </w:r>
          </w:p>
        </w:tc>
      </w:tr>
      <w:tr w:rsidR="00F01B7B" w14:paraId="7E4A529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4448774A" w:rsidR="2C99C001" w:rsidRDefault="00FA1E53" w:rsidP="6AF91E97">
            <w:pPr>
              <w:pStyle w:val="western"/>
              <w:spacing w:before="0"/>
            </w:pPr>
            <w:r>
              <w:t xml:space="preserve">36 ore settimanali: orario </w:t>
            </w:r>
            <w:proofErr w:type="gramStart"/>
            <w:r>
              <w:t>giornaliero  7</w:t>
            </w:r>
            <w:proofErr w:type="gramEnd"/>
            <w:r>
              <w:t>,00 – 13,00</w:t>
            </w:r>
          </w:p>
          <w:p w14:paraId="245E0254" w14:textId="4C9E4889" w:rsidR="6AF91E97" w:rsidRDefault="6AF91E97" w:rsidP="6AF91E97">
            <w:pPr>
              <w:pStyle w:val="western"/>
              <w:spacing w:before="0"/>
            </w:pPr>
          </w:p>
          <w:p w14:paraId="41C8F396" w14:textId="77777777" w:rsidR="005870F1" w:rsidRDefault="005870F1" w:rsidP="00815AEE">
            <w:pPr>
              <w:pStyle w:val="western"/>
              <w:spacing w:before="0"/>
            </w:pPr>
          </w:p>
        </w:tc>
      </w:tr>
      <w:tr w:rsidR="00F01B7B" w14:paraId="083D0A8C"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567635E6" w:rsidR="005870F1" w:rsidRDefault="00E318EC" w:rsidP="00E318EC">
            <w:pPr>
              <w:pStyle w:val="western"/>
              <w:spacing w:before="0"/>
            </w:pPr>
            <w:r>
              <w:t>Ambito comunale</w:t>
            </w:r>
          </w:p>
        </w:tc>
      </w:tr>
      <w:tr w:rsidR="00F01B7B" w14:paraId="54B42C14"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2ADF16C6" w:rsidR="007A6166" w:rsidRPr="00E527A5" w:rsidRDefault="00E527A5" w:rsidP="00C56ACB">
            <w:pPr>
              <w:spacing w:line="240" w:lineRule="auto"/>
              <w:jc w:val="both"/>
              <w:rPr>
                <w:rFonts w:ascii="Arial" w:eastAsia="Arial" w:hAnsi="Arial" w:cs="Arial"/>
                <w:sz w:val="20"/>
                <w:szCs w:val="20"/>
              </w:rPr>
            </w:pPr>
            <w:r w:rsidRPr="00E527A5">
              <w:rPr>
                <w:rFonts w:ascii="Arial" w:eastAsia="Arial" w:hAnsi="Arial" w:cs="Arial"/>
                <w:sz w:val="20"/>
                <w:szCs w:val="20"/>
              </w:rPr>
              <w:t>Provvede ad operazioni di carico, scarico, spostamento materiali, attrezzature e strumenti di lavoro dei mezzi del comune.</w:t>
            </w:r>
            <w:r w:rsidR="00064A11">
              <w:rPr>
                <w:rFonts w:ascii="Arial" w:eastAsia="Arial" w:hAnsi="Arial" w:cs="Arial"/>
                <w:sz w:val="20"/>
                <w:szCs w:val="20"/>
              </w:rPr>
              <w:t xml:space="preserve"> </w:t>
            </w:r>
            <w:r w:rsidRPr="00E527A5">
              <w:rPr>
                <w:rFonts w:ascii="Arial" w:eastAsia="Arial" w:hAnsi="Arial" w:cs="Arial"/>
                <w:sz w:val="20"/>
                <w:szCs w:val="20"/>
              </w:rPr>
              <w:t>Provvede a rendere utilizz</w:t>
            </w:r>
            <w:bookmarkStart w:id="0" w:name="_GoBack"/>
            <w:bookmarkEnd w:id="0"/>
            <w:r w:rsidRPr="00E527A5">
              <w:rPr>
                <w:rFonts w:ascii="Arial" w:eastAsia="Arial" w:hAnsi="Arial" w:cs="Arial"/>
                <w:sz w:val="20"/>
                <w:szCs w:val="20"/>
              </w:rPr>
              <w:t>abili e fruibili luoghi di lavoro ripulendo da materiali ed eventualmente</w:t>
            </w:r>
            <w:r>
              <w:rPr>
                <w:rFonts w:ascii="Arial" w:eastAsia="Arial" w:hAnsi="Arial" w:cs="Arial"/>
                <w:sz w:val="20"/>
                <w:szCs w:val="20"/>
              </w:rPr>
              <w:t xml:space="preserve"> da macerie e detriti. Sistemazione delle attrezzature </w:t>
            </w:r>
            <w:r>
              <w:rPr>
                <w:rFonts w:ascii="Arial" w:eastAsia="Arial" w:hAnsi="Arial" w:cs="Arial"/>
                <w:sz w:val="20"/>
                <w:szCs w:val="20"/>
              </w:rPr>
              <w:lastRenderedPageBreak/>
              <w:t>negli appositi spazi, ecc. Provvede all’aperura, chiusura, custodia e sorveglianza dei locali e degli uffici ecc. Provvede al prelievo, trasporto e consegne di materiale d’ufficio, fascicoli, documenti e ricollocazione in archivio degli stessi. Provvede al trasporto, imballaggio e sistemazione di mobili e materiali occorrenti al funzionamento degli uffici.</w:t>
            </w:r>
            <w:r w:rsidR="006F6751">
              <w:rPr>
                <w:rFonts w:ascii="Arial" w:eastAsia="Arial" w:hAnsi="Arial" w:cs="Arial"/>
                <w:sz w:val="20"/>
                <w:szCs w:val="20"/>
              </w:rPr>
              <w:t xml:space="preserve"> Provvede alla manovra di macchine di uso semplice ed all’utilizzazione delle attrezzature per lavaggio e lubrificazione automezzi, a carico e scarico delle merci dei magazzini e depositi. Provvede alle lavorazioni agro-forestali mediante uso di strumenti e arnesi di lavoro adeguati. Provvede alla piccola manutenzione di locali e arredi. Presta assistenza ai servizi di rappresentanza esterna dell’Amministrazione. Provvede alle operazioni di apertura e chiusura dei magazzini, alla presa in carico e custodia delle merci sulla base di documenti di accompagnamento delle stesse, alla verifica dei colli ed alla riconsegna della merce previo controllo dei documenti di uscita. Svolge compiti e mansioni inerenti alla guida dei mezzi di proprietà comunale in base alla patente di guida posseduta (categoria B).</w:t>
            </w:r>
          </w:p>
        </w:tc>
      </w:tr>
      <w:tr w:rsidR="00F01B7B" w14:paraId="251BF0D0"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lastRenderedPageBreak/>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0025347B">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lastRenderedPageBreak/>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Riguardo all’attribuzione, si precisa che, nei casi in cui l’Ente assumente richieda una specifica professionalità, la qualifica va riconosciuta con una lettura di aggregazione corrispondente al 3° “</w:t>
      </w:r>
      <w:proofErr w:type="spellStart"/>
      <w:r>
        <w:rPr>
          <w:rFonts w:ascii="Times New Roman" w:hAnsi="Times New Roman" w:cs="Times New Roman"/>
        </w:rPr>
        <w:t>Digit</w:t>
      </w:r>
      <w:proofErr w:type="spellEnd"/>
      <w:r>
        <w:rPr>
          <w:rFonts w:ascii="Times New Roman" w:hAnsi="Times New Roman" w:cs="Times New Roman"/>
        </w:rPr>
        <w:t xml:space="preserve">” (livello di aggregazione dei profili). Ciò comporta che tutte le specifiche professionalità 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Nei casi invece di richieste di professionalità generiche (qualifiche a basso contenuto professionale) il riferimento dovrà essere al 1° </w:t>
      </w:r>
      <w:proofErr w:type="spellStart"/>
      <w:r>
        <w:rPr>
          <w:rFonts w:ascii="Times New Roman" w:hAnsi="Times New Roman" w:cs="Times New Roman"/>
        </w:rPr>
        <w:t>Digit</w:t>
      </w:r>
      <w:proofErr w:type="spellEnd"/>
      <w:r>
        <w:rPr>
          <w:rFonts w:ascii="Times New Roman" w:hAnsi="Times New Roman" w:cs="Times New Roman"/>
        </w:rPr>
        <w:t xml:space="preserve">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7"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5EC015F4" w:rsidR="002E7E55"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lastRenderedPageBreak/>
        <w:t>[</w:t>
      </w:r>
      <w:r w:rsidR="00FC4D26">
        <w:rPr>
          <w:b/>
          <w:bCs/>
        </w:rPr>
        <w:t>2</w:t>
      </w:r>
      <w:r w:rsidRPr="1BA8CB48">
        <w:rPr>
          <w:b/>
          <w:bCs/>
        </w:rPr>
        <w:t>]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0B3CC689" w14:textId="77777777" w:rsidR="000C35C7" w:rsidRDefault="000C35C7" w:rsidP="1BA8CB48">
      <w:pPr>
        <w:pStyle w:val="NormaleWeb"/>
        <w:shd w:val="clear" w:color="auto" w:fill="FFFFFF" w:themeFill="background1"/>
        <w:spacing w:before="0" w:beforeAutospacing="0" w:after="0"/>
        <w:textAlignment w:val="baseline"/>
        <w:rPr>
          <w:b/>
          <w:bCs/>
        </w:rPr>
      </w:pPr>
    </w:p>
    <w:p w14:paraId="60DCEE41" w14:textId="706A5FF0" w:rsidR="000C35C7" w:rsidRPr="00E5277F" w:rsidRDefault="000C35C7" w:rsidP="000C35C7">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 xml:space="preserve">domanda telematica tramite </w:t>
      </w:r>
      <w:proofErr w:type="gramStart"/>
      <w:r>
        <w:rPr>
          <w:rFonts w:ascii="Times New Roman" w:hAnsi="Times New Roman"/>
          <w:b/>
          <w:bCs/>
          <w:sz w:val="24"/>
          <w:szCs w:val="24"/>
          <w:u w:val="single"/>
          <w:bdr w:val="none" w:sz="0" w:space="0" w:color="auto" w:frame="1"/>
        </w:rPr>
        <w:t>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dovrà</w:t>
      </w:r>
      <w:proofErr w:type="gramEnd"/>
      <w:r w:rsidRPr="00E5277F">
        <w:rPr>
          <w:rFonts w:ascii="Times New Roman" w:hAnsi="Times New Roman"/>
          <w:sz w:val="24"/>
          <w:szCs w:val="24"/>
          <w:u w:val="single"/>
          <w:bdr w:val="none" w:sz="0" w:space="0" w:color="auto" w:frame="1"/>
        </w:rPr>
        <w:t xml:space="preserve"> avvenire tassativamente entro i termini citati nell’art. 1 (dalle ore 9.00 del </w:t>
      </w:r>
      <w:r w:rsidR="00DD5EB0">
        <w:rPr>
          <w:rFonts w:ascii="Times New Roman" w:hAnsi="Times New Roman"/>
          <w:sz w:val="24"/>
          <w:szCs w:val="24"/>
          <w:u w:val="single"/>
          <w:bdr w:val="none" w:sz="0" w:space="0" w:color="auto" w:frame="1"/>
        </w:rPr>
        <w:t>10</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xml:space="preserve"> alle ore 12.30 del giorno</w:t>
      </w:r>
      <w:r w:rsidR="004A6A1D">
        <w:rPr>
          <w:rFonts w:ascii="Times New Roman" w:hAnsi="Times New Roman"/>
          <w:sz w:val="24"/>
          <w:szCs w:val="24"/>
          <w:u w:val="single"/>
          <w:bdr w:val="none" w:sz="0" w:space="0" w:color="auto" w:frame="1"/>
        </w:rPr>
        <w:t xml:space="preserve"> </w:t>
      </w:r>
      <w:r w:rsidR="00DD5EB0">
        <w:rPr>
          <w:rFonts w:ascii="Times New Roman" w:hAnsi="Times New Roman"/>
          <w:sz w:val="24"/>
          <w:szCs w:val="24"/>
          <w:u w:val="single"/>
          <w:bdr w:val="none" w:sz="0" w:space="0" w:color="auto" w:frame="1"/>
        </w:rPr>
        <w:t>11</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 xml:space="preserve">. </w:t>
      </w:r>
    </w:p>
    <w:p w14:paraId="3C4E5D48" w14:textId="08F552A1" w:rsidR="002E7E55" w:rsidRDefault="002E7E55" w:rsidP="002E7E55">
      <w:pPr>
        <w:jc w:val="both"/>
        <w:rPr>
          <w:rFonts w:ascii="Times New Roman" w:hAnsi="Times New Roman"/>
          <w:b/>
          <w:bCs/>
          <w:color w:val="000000" w:themeColor="text1"/>
          <w:sz w:val="24"/>
          <w:szCs w:val="24"/>
          <w:lang w:eastAsia="it-IT"/>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w:t>
      </w:r>
      <w:r w:rsidR="001B104F">
        <w:rPr>
          <w:rFonts w:ascii="Times New Roman" w:hAnsi="Times New Roman"/>
          <w:b/>
          <w:bCs/>
          <w:sz w:val="24"/>
          <w:szCs w:val="24"/>
          <w:u w:val="single"/>
          <w:bdr w:val="none" w:sz="0" w:space="0" w:color="auto" w:frame="1"/>
        </w:rPr>
        <w:t>2</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4A6A1D" w:rsidRPr="004A6A1D">
        <w:rPr>
          <w:rFonts w:ascii="Times New Roman" w:hAnsi="Times New Roman"/>
          <w:b/>
          <w:sz w:val="24"/>
          <w:szCs w:val="24"/>
          <w:u w:val="single"/>
          <w:bdr w:val="none" w:sz="0" w:space="0" w:color="auto" w:frame="1"/>
        </w:rPr>
        <w:t>1</w:t>
      </w:r>
      <w:r w:rsidR="00D15490">
        <w:rPr>
          <w:rFonts w:ascii="Times New Roman" w:hAnsi="Times New Roman"/>
          <w:b/>
          <w:sz w:val="24"/>
          <w:szCs w:val="24"/>
          <w:u w:val="single"/>
          <w:bdr w:val="none" w:sz="0" w:space="0" w:color="auto" w:frame="1"/>
        </w:rPr>
        <w:t>9</w:t>
      </w:r>
      <w:r w:rsidR="004A6A1D" w:rsidRPr="004A6A1D">
        <w:rPr>
          <w:rFonts w:ascii="Times New Roman" w:hAnsi="Times New Roman"/>
          <w:b/>
          <w:sz w:val="24"/>
          <w:szCs w:val="24"/>
          <w:u w:val="single"/>
          <w:bdr w:val="none" w:sz="0" w:space="0" w:color="auto" w:frame="1"/>
        </w:rPr>
        <w:t>/02</w:t>
      </w:r>
      <w:r w:rsidR="6E2AC176" w:rsidRPr="52139788">
        <w:rPr>
          <w:rFonts w:ascii="Times New Roman" w:hAnsi="Times New Roman"/>
          <w:b/>
          <w:bCs/>
          <w:color w:val="000000" w:themeColor="text1"/>
          <w:sz w:val="24"/>
          <w:szCs w:val="24"/>
          <w:lang w:eastAsia="it-IT"/>
        </w:rPr>
        <w:t>/202</w:t>
      </w:r>
      <w:r w:rsidR="000C35C7">
        <w:rPr>
          <w:rFonts w:ascii="Times New Roman" w:hAnsi="Times New Roman"/>
          <w:b/>
          <w:bCs/>
          <w:color w:val="000000" w:themeColor="text1"/>
          <w:sz w:val="24"/>
          <w:szCs w:val="24"/>
          <w:lang w:eastAsia="it-IT"/>
        </w:rPr>
        <w:t>1</w:t>
      </w:r>
      <w:r w:rsidR="6E2AC176" w:rsidRPr="52139788">
        <w:rPr>
          <w:rFonts w:ascii="Times New Roman" w:hAnsi="Times New Roman"/>
          <w:b/>
          <w:bCs/>
          <w:color w:val="000000" w:themeColor="text1"/>
          <w:sz w:val="24"/>
          <w:szCs w:val="24"/>
          <w:lang w:eastAsia="it-IT"/>
        </w:rPr>
        <w:t>.</w:t>
      </w:r>
    </w:p>
    <w:p w14:paraId="7E7C3F66" w14:textId="35993097" w:rsidR="00DB7E01" w:rsidRPr="00E5277F" w:rsidRDefault="00DB7E01" w:rsidP="00DB7E01">
      <w:pPr>
        <w:jc w:val="both"/>
        <w:rPr>
          <w:rFonts w:ascii="Times New Roman" w:hAnsi="Times New Roman"/>
          <w:sz w:val="24"/>
          <w:szCs w:val="24"/>
        </w:rPr>
      </w:pPr>
    </w:p>
    <w:p w14:paraId="2D9528B5" w14:textId="54D151F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8">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9">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w:t>
      </w:r>
      <w:proofErr w:type="spellStart"/>
      <w:r w:rsidRPr="52139788">
        <w:rPr>
          <w:sz w:val="24"/>
          <w:szCs w:val="24"/>
        </w:rPr>
        <w:t>Isee</w:t>
      </w:r>
      <w:proofErr w:type="spellEnd"/>
      <w:r w:rsidRPr="52139788">
        <w:rPr>
          <w:sz w:val="24"/>
          <w:szCs w:val="24"/>
        </w:rPr>
        <w:t xml:space="preserve"> ordinario successivo a DSU e </w:t>
      </w:r>
      <w:proofErr w:type="spellStart"/>
      <w:r w:rsidRPr="52139788">
        <w:rPr>
          <w:sz w:val="24"/>
          <w:szCs w:val="24"/>
        </w:rPr>
        <w:t>Isee</w:t>
      </w:r>
      <w:proofErr w:type="spellEnd"/>
      <w:r w:rsidRPr="52139788">
        <w:rPr>
          <w:sz w:val="24"/>
          <w:szCs w:val="24"/>
        </w:rPr>
        <w:t xml:space="preserv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45BFDD64"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w:t>
      </w:r>
      <w:r w:rsidRPr="002767F9">
        <w:rPr>
          <w:rStyle w:val="normaltextrun"/>
        </w:rPr>
        <w:lastRenderedPageBreak/>
        <w:t xml:space="preserve">la restante documentazione richiesta per la partecipazione al presente avviso pubblico, unitamente alla scansione (o foto) del proprio documento di identità personale in corso di validità. </w:t>
      </w:r>
      <w:r w:rsidRPr="002767F9">
        <w:rPr>
          <w:rStyle w:val="eop"/>
        </w:rPr>
        <w:t> </w:t>
      </w:r>
    </w:p>
    <w:p w14:paraId="2B4492A1" w14:textId="023E865E" w:rsidR="00972E67" w:rsidRPr="008A6284"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00B640E8">
        <w:rPr>
          <w:b/>
          <w:bCs/>
          <w:bdr w:val="none" w:sz="0" w:space="0" w:color="auto" w:frame="1"/>
        </w:rPr>
        <w:t>10</w:t>
      </w:r>
      <w:r w:rsidR="00307DA3">
        <w:rPr>
          <w:b/>
          <w:bCs/>
          <w:bdr w:val="none" w:sz="0" w:space="0" w:color="auto" w:frame="1"/>
        </w:rPr>
        <w:t>/02/2021</w:t>
      </w:r>
      <w:r w:rsidRPr="52139788">
        <w:rPr>
          <w:b/>
          <w:bCs/>
          <w:bdr w:val="none" w:sz="0" w:space="0" w:color="auto" w:frame="1"/>
        </w:rPr>
        <w:t>,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00B640E8">
        <w:rPr>
          <w:b/>
          <w:bCs/>
          <w:bdr w:val="none" w:sz="0" w:space="0" w:color="auto" w:frame="1"/>
        </w:rPr>
        <w:t>11</w:t>
      </w:r>
      <w:r w:rsidR="00307DA3">
        <w:rPr>
          <w:b/>
          <w:bCs/>
          <w:bdr w:val="none" w:sz="0" w:space="0" w:color="auto" w:frame="1"/>
        </w:rPr>
        <w:t>/02/2021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0">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4768B737" w:rsidR="00F01B7B" w:rsidRDefault="00F01B7B" w:rsidP="00376839">
      <w:pPr>
        <w:pStyle w:val="western"/>
        <w:ind w:left="113"/>
        <w:jc w:val="center"/>
        <w:rPr>
          <w:rFonts w:ascii="Times New Roman" w:hAnsi="Times New Roman" w:cs="Times New Roman"/>
        </w:rPr>
      </w:pPr>
      <w:r w:rsidRPr="52139788">
        <w:rPr>
          <w:rFonts w:ascii="Times New Roman" w:hAnsi="Times New Roman" w:cs="Times New Roman"/>
          <w:b/>
          <w:bCs/>
        </w:rPr>
        <w:t>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lastRenderedPageBreak/>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domande presentate da soggetti a cui è interdetto l’accesso alle chiamate a selezione nell’ambito del territorio regionale, come previsto dal punto 3 lettera A della DGR 894/2018. Tale disposizione non si applica ai lavoratori con diritto di precedenza di cui all’art. 36 comma 2 del D. </w:t>
      </w:r>
      <w:proofErr w:type="spellStart"/>
      <w:r>
        <w:rPr>
          <w:rFonts w:ascii="Times New Roman" w:hAnsi="Times New Roman" w:cs="Times New Roman"/>
        </w:rPr>
        <w:t>Lgs</w:t>
      </w:r>
      <w:proofErr w:type="spellEnd"/>
      <w:r>
        <w:rPr>
          <w:rFonts w:ascii="Times New Roman" w:hAnsi="Times New Roman" w:cs="Times New Roman"/>
        </w:rPr>
        <w:t>.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w:t>
      </w:r>
      <w:proofErr w:type="spellStart"/>
      <w:r>
        <w:rPr>
          <w:rFonts w:ascii="Times New Roman" w:hAnsi="Times New Roman" w:cs="Times New Roman"/>
        </w:rPr>
        <w:t>Lgs</w:t>
      </w:r>
      <w:proofErr w:type="spellEnd"/>
      <w:r>
        <w:rPr>
          <w:rFonts w:ascii="Times New Roman" w:hAnsi="Times New Roman" w:cs="Times New Roman"/>
        </w:rPr>
        <w:t xml:space="preserve">. 165/2001 così come modificato dall'art. 9 - comma 1,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 xml:space="preserve">Al riguardo si evidenzia che </w:t>
      </w:r>
      <w:r>
        <w:rPr>
          <w:rFonts w:ascii="Times New Roman" w:hAnsi="Times New Roman" w:cs="Times New Roman"/>
        </w:rPr>
        <w:lastRenderedPageBreak/>
        <w:t xml:space="preserve">hanno diritto di precedenza quei lavoratori che ai sensi dell’art 24 del D. </w:t>
      </w:r>
      <w:proofErr w:type="spellStart"/>
      <w:r>
        <w:rPr>
          <w:rFonts w:ascii="Times New Roman" w:hAnsi="Times New Roman" w:cs="Times New Roman"/>
        </w:rPr>
        <w:t>Lgs</w:t>
      </w:r>
      <w:proofErr w:type="spellEnd"/>
      <w:r>
        <w:rPr>
          <w:rFonts w:ascii="Times New Roman" w:hAnsi="Times New Roman" w:cs="Times New Roman"/>
        </w:rPr>
        <w:t>.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lastRenderedPageBreak/>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1"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w:t>
      </w:r>
      <w:proofErr w:type="spellStart"/>
      <w:r>
        <w:rPr>
          <w:rFonts w:ascii="Times New Roman" w:hAnsi="Times New Roman" w:cs="Times New Roman"/>
        </w:rPr>
        <w:t>lett</w:t>
      </w:r>
      <w:proofErr w:type="spellEnd"/>
      <w:r>
        <w:rPr>
          <w:rFonts w:ascii="Times New Roman" w:hAnsi="Times New Roman" w:cs="Times New Roman"/>
        </w:rPr>
        <w:t xml:space="preserve">.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lastRenderedPageBreak/>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 xml:space="preserve">Il periodo di conservazione, ai sensi dell’articolo 5, par. 1, </w:t>
      </w:r>
      <w:proofErr w:type="spellStart"/>
      <w:r>
        <w:t>lett</w:t>
      </w:r>
      <w:proofErr w:type="spellEnd"/>
      <w:r>
        <w: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40991F6E" w:rsidR="00F01B7B" w:rsidRDefault="00F01B7B" w:rsidP="00376839">
      <w:pPr>
        <w:pStyle w:val="western"/>
        <w:jc w:val="center"/>
        <w:rPr>
          <w:rFonts w:ascii="Times New Roman" w:hAnsi="Times New Roman" w:cs="Times New Roman"/>
        </w:rPr>
      </w:pPr>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proofErr w:type="gramStart"/>
      <w:r>
        <w:rPr>
          <w:rFonts w:ascii="Times New Roman" w:hAnsi="Times New Roman" w:cs="Times New Roman"/>
        </w:rPr>
        <w:t>D.Lgs</w:t>
      </w:r>
      <w:proofErr w:type="spellEnd"/>
      <w:proofErr w:type="gram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2"/>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0F4C32" w:rsidRDefault="000F4C32" w:rsidP="00B627F2">
      <w:pPr>
        <w:spacing w:after="0" w:line="240" w:lineRule="auto"/>
      </w:pPr>
      <w:r>
        <w:separator/>
      </w:r>
    </w:p>
  </w:endnote>
  <w:endnote w:type="continuationSeparator" w:id="0">
    <w:p w14:paraId="3FE9F23F" w14:textId="77777777" w:rsidR="000F4C32" w:rsidRDefault="000F4C32"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646" w14:textId="77777777" w:rsidR="000F4C32" w:rsidRDefault="000F4C32" w:rsidP="00B627F2">
      <w:pPr>
        <w:spacing w:after="0" w:line="240" w:lineRule="auto"/>
      </w:pPr>
      <w:r>
        <w:separator/>
      </w:r>
    </w:p>
  </w:footnote>
  <w:footnote w:type="continuationSeparator" w:id="0">
    <w:p w14:paraId="08CE6F91" w14:textId="77777777" w:rsidR="000F4C32" w:rsidRDefault="000F4C32"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C56ACB">
          <w:pPr>
            <w:pStyle w:val="Pidipagina"/>
            <w:spacing w:line="240" w:lineRule="atLeast"/>
            <w:jc w:val="center"/>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C56ACB">
          <w:pPr>
            <w:pStyle w:val="Pidipagina"/>
            <w:spacing w:line="240" w:lineRule="atLeast"/>
            <w:jc w:val="center"/>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C56ACB">
          <w:pPr>
            <w:pStyle w:val="Intestazione"/>
            <w:jc w:val="center"/>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0D37A93B" w:rsidR="004B28AC" w:rsidRPr="00BB1AFC" w:rsidRDefault="00B03D45" w:rsidP="00C56ACB">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di </w:t>
          </w:r>
          <w:r w:rsidR="00C56ACB">
            <w:rPr>
              <w:rFonts w:ascii="Times New Roman" w:hAnsi="Times New Roman"/>
              <w:b/>
              <w:bCs/>
              <w:sz w:val="16"/>
              <w:szCs w:val="16"/>
            </w:rPr>
            <w:t>Tolentino</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2"/>
    <w:rsid w:val="00011649"/>
    <w:rsid w:val="00035BC1"/>
    <w:rsid w:val="0004191B"/>
    <w:rsid w:val="00042833"/>
    <w:rsid w:val="00064A11"/>
    <w:rsid w:val="00094782"/>
    <w:rsid w:val="000C35C7"/>
    <w:rsid w:val="000C4ACE"/>
    <w:rsid w:val="000D22B9"/>
    <w:rsid w:val="000F04A3"/>
    <w:rsid w:val="000F1743"/>
    <w:rsid w:val="000F4C32"/>
    <w:rsid w:val="001123EB"/>
    <w:rsid w:val="00124F29"/>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7270"/>
    <w:rsid w:val="00248346"/>
    <w:rsid w:val="0025347B"/>
    <w:rsid w:val="00284719"/>
    <w:rsid w:val="002907BD"/>
    <w:rsid w:val="002C7D33"/>
    <w:rsid w:val="002E7E55"/>
    <w:rsid w:val="00307DA3"/>
    <w:rsid w:val="003176A8"/>
    <w:rsid w:val="0032692D"/>
    <w:rsid w:val="00327D21"/>
    <w:rsid w:val="00330D37"/>
    <w:rsid w:val="00344E43"/>
    <w:rsid w:val="0036752D"/>
    <w:rsid w:val="0037100B"/>
    <w:rsid w:val="00376839"/>
    <w:rsid w:val="003807BA"/>
    <w:rsid w:val="00391284"/>
    <w:rsid w:val="00392DDA"/>
    <w:rsid w:val="003C64C6"/>
    <w:rsid w:val="003D6563"/>
    <w:rsid w:val="003D6A93"/>
    <w:rsid w:val="003D79E3"/>
    <w:rsid w:val="003E37FB"/>
    <w:rsid w:val="003F42FD"/>
    <w:rsid w:val="003F53B2"/>
    <w:rsid w:val="003F77B0"/>
    <w:rsid w:val="004047AD"/>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6E45C9"/>
    <w:rsid w:val="006F6751"/>
    <w:rsid w:val="00717E39"/>
    <w:rsid w:val="00756F98"/>
    <w:rsid w:val="00764176"/>
    <w:rsid w:val="007730BB"/>
    <w:rsid w:val="007801C9"/>
    <w:rsid w:val="00792CDE"/>
    <w:rsid w:val="00792E73"/>
    <w:rsid w:val="00796402"/>
    <w:rsid w:val="007A097F"/>
    <w:rsid w:val="007A6166"/>
    <w:rsid w:val="007E67EE"/>
    <w:rsid w:val="00815AEE"/>
    <w:rsid w:val="008434D7"/>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B03EF"/>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640E8"/>
    <w:rsid w:val="00B70448"/>
    <w:rsid w:val="00B720B1"/>
    <w:rsid w:val="00B86432"/>
    <w:rsid w:val="00B93643"/>
    <w:rsid w:val="00B947B5"/>
    <w:rsid w:val="00BB0086"/>
    <w:rsid w:val="00BB1AFC"/>
    <w:rsid w:val="00BF7BB1"/>
    <w:rsid w:val="00C03F70"/>
    <w:rsid w:val="00C04347"/>
    <w:rsid w:val="00C06748"/>
    <w:rsid w:val="00C45AD2"/>
    <w:rsid w:val="00C50781"/>
    <w:rsid w:val="00C56ACB"/>
    <w:rsid w:val="00C84DB3"/>
    <w:rsid w:val="00C942A7"/>
    <w:rsid w:val="00CA275E"/>
    <w:rsid w:val="00CF03A8"/>
    <w:rsid w:val="00D077C7"/>
    <w:rsid w:val="00D15490"/>
    <w:rsid w:val="00D154B9"/>
    <w:rsid w:val="00D3416F"/>
    <w:rsid w:val="00D679B1"/>
    <w:rsid w:val="00D7174E"/>
    <w:rsid w:val="00D74234"/>
    <w:rsid w:val="00D8313B"/>
    <w:rsid w:val="00D9357E"/>
    <w:rsid w:val="00DA1666"/>
    <w:rsid w:val="00DB2EF9"/>
    <w:rsid w:val="00DB4F4B"/>
    <w:rsid w:val="00DB6437"/>
    <w:rsid w:val="00DB7E01"/>
    <w:rsid w:val="00DC5C90"/>
    <w:rsid w:val="00DD5EB0"/>
    <w:rsid w:val="00DF45D1"/>
    <w:rsid w:val="00E318EC"/>
    <w:rsid w:val="00E51700"/>
    <w:rsid w:val="00E5277F"/>
    <w:rsid w:val="00E527A5"/>
    <w:rsid w:val="00E5798D"/>
    <w:rsid w:val="00EA0A99"/>
    <w:rsid w:val="00EB6DEB"/>
    <w:rsid w:val="00ED1B3F"/>
    <w:rsid w:val="00ED7935"/>
    <w:rsid w:val="00F01B7B"/>
    <w:rsid w:val="00F025F9"/>
    <w:rsid w:val="00F1100E"/>
    <w:rsid w:val="00F51705"/>
    <w:rsid w:val="00F561FE"/>
    <w:rsid w:val="00F64881"/>
    <w:rsid w:val="00F82BED"/>
    <w:rsid w:val="00FA0B50"/>
    <w:rsid w:val="00FA1E53"/>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81"/>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ola.piermattei@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centroimpiegomacerata@emarch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http://www.regione.marche.it/Regione-Utile/Lavoro-e-Formazione-Professionale" TargetMode="External"/><Relationship Id="rId4" Type="http://schemas.openxmlformats.org/officeDocument/2006/relationships/webSettings" Target="webSettings.xml"/><Relationship Id="rId9" Type="http://schemas.openxmlformats.org/officeDocument/2006/relationships/hyperlink" Target="mailto:marco.braccialarghe@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3870</Words>
  <Characters>22061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Marco Braccialarghe</cp:lastModifiedBy>
  <cp:revision>21</cp:revision>
  <cp:lastPrinted>2021-01-18T08:25:00Z</cp:lastPrinted>
  <dcterms:created xsi:type="dcterms:W3CDTF">2021-01-07T14:13:00Z</dcterms:created>
  <dcterms:modified xsi:type="dcterms:W3CDTF">2021-01-29T09:25:00Z</dcterms:modified>
</cp:coreProperties>
</file>