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ientrocorpodeltesto"/>
        <w:ind w:left="0" w:hanging="0"/>
        <w:jc w:val="center"/>
        <w:rPr>
          <w:rFonts w:ascii="Arial" w:hAnsi="Arial"/>
          <w:b/>
          <w:b/>
          <w:sz w:val="36"/>
          <w:szCs w:val="36"/>
        </w:rPr>
      </w:pPr>
      <w:r>
        <w:rPr>
          <w:rFonts w:ascii="Arial" w:hAnsi="Arial"/>
          <w:b/>
          <w:sz w:val="36"/>
          <w:szCs w:val="36"/>
        </w:rPr>
        <w:t>Comune di GUALDO</w:t>
      </w:r>
    </w:p>
    <w:p>
      <w:pPr>
        <w:pStyle w:val="Rientrocorpodeltesto"/>
        <w:ind w:left="0" w:hanging="0"/>
        <w:jc w:val="center"/>
        <w:rPr>
          <w:rFonts w:ascii="Arial" w:hAnsi="Arial"/>
          <w:b/>
          <w:b/>
          <w:sz w:val="24"/>
        </w:rPr>
      </w:pPr>
      <w:r>
        <w:rPr>
          <w:rFonts w:ascii="Arial" w:hAnsi="Arial"/>
          <w:b/>
          <w:sz w:val="24"/>
        </w:rPr>
        <w:t>(Provincia di Macerata)</w:t>
      </w:r>
    </w:p>
    <w:p>
      <w:pPr>
        <w:pStyle w:val="Rientrocorpodeltesto"/>
        <w:ind w:left="0" w:hanging="0"/>
        <w:jc w:val="both"/>
        <w:rPr>
          <w:rFonts w:ascii="Arial" w:hAnsi="Arial"/>
          <w:b/>
          <w:b/>
          <w:sz w:val="24"/>
        </w:rPr>
      </w:pPr>
      <w:r>
        <w:rPr>
          <w:rFonts w:ascii="Arial" w:hAnsi="Arial"/>
          <w:b/>
          <w:sz w:val="24"/>
        </w:rPr>
        <w:t>Rep.               del</w:t>
      </w:r>
    </w:p>
    <w:p>
      <w:pPr>
        <w:pStyle w:val="Rientrocorpodeltesto"/>
        <w:ind w:left="0" w:hanging="0"/>
        <w:jc w:val="both"/>
        <w:rPr>
          <w:rFonts w:ascii="Arial" w:hAnsi="Arial"/>
          <w:sz w:val="24"/>
        </w:rPr>
      </w:pPr>
      <w:r>
        <w:rPr>
          <w:rFonts w:ascii="Arial" w:hAnsi="Arial"/>
          <w:b/>
          <w:sz w:val="24"/>
        </w:rPr>
        <w:t>Convenzione per la gestione del servizio di tesoreria dell’Ente Comune di Gualdo per il periodo dal 01.01.201 al 31.12.2025.</w:t>
      </w:r>
    </w:p>
    <w:p>
      <w:pPr>
        <w:pStyle w:val="Normal"/>
        <w:jc w:val="center"/>
        <w:rPr>
          <w:rFonts w:ascii="Arial" w:hAnsi="Arial"/>
          <w:sz w:val="24"/>
        </w:rPr>
      </w:pPr>
      <w:r>
        <w:rPr>
          <w:rFonts w:ascii="Arial" w:hAnsi="Arial"/>
          <w:sz w:val="24"/>
        </w:rPr>
        <w:t>tra:</w:t>
      </w:r>
    </w:p>
    <w:p>
      <w:pPr>
        <w:pStyle w:val="Normal"/>
        <w:jc w:val="both"/>
        <w:rPr>
          <w:rFonts w:ascii="Arial" w:hAnsi="Arial"/>
          <w:sz w:val="24"/>
        </w:rPr>
      </w:pPr>
      <w:r>
        <w:rPr>
          <w:rFonts w:ascii="Arial" w:hAnsi="Arial"/>
          <w:sz w:val="24"/>
        </w:rPr>
      </w:r>
    </w:p>
    <w:p>
      <w:pPr>
        <w:pStyle w:val="BodyText3"/>
        <w:rPr>
          <w:rFonts w:ascii="Arial" w:hAnsi="Arial"/>
          <w:sz w:val="24"/>
        </w:rPr>
      </w:pPr>
      <w:r>
        <w:rPr>
          <w:rFonts w:ascii="Arial" w:hAnsi="Arial"/>
          <w:sz w:val="24"/>
        </w:rPr>
        <w:t>Il Comune di Gualdo  (in seguito denominato “Ente”) rappresentato da……. nella qualità di  in base alla delibera n….., divenuta esecutiva ai sensi di legge</w:t>
      </w:r>
    </w:p>
    <w:p>
      <w:pPr>
        <w:pStyle w:val="Titoloprincipale"/>
        <w:rPr/>
      </w:pPr>
      <w:r>
        <w:rPr/>
      </w:r>
    </w:p>
    <w:p>
      <w:pPr>
        <w:pStyle w:val="Titoloprincipale"/>
        <w:rPr/>
      </w:pPr>
      <w:r>
        <w:rPr/>
        <w:t>E</w:t>
      </w:r>
    </w:p>
    <w:p>
      <w:pPr>
        <w:pStyle w:val="Normal"/>
        <w:jc w:val="both"/>
        <w:rPr>
          <w:rFonts w:ascii="Arial" w:hAnsi="Arial"/>
          <w:sz w:val="24"/>
        </w:rPr>
      </w:pPr>
      <w:r>
        <w:rPr>
          <w:rFonts w:ascii="Arial" w:hAnsi="Arial"/>
          <w:sz w:val="24"/>
        </w:rPr>
      </w:r>
    </w:p>
    <w:p>
      <w:pPr>
        <w:pStyle w:val="Normal"/>
        <w:spacing w:lineRule="auto" w:line="264"/>
        <w:jc w:val="both"/>
        <w:rPr>
          <w:rFonts w:ascii="Arial" w:hAnsi="Arial" w:cs="Arial"/>
          <w:sz w:val="24"/>
          <w:szCs w:val="24"/>
        </w:rPr>
      </w:pPr>
      <w:r>
        <w:rPr>
          <w:rFonts w:cs="Arial" w:ascii="Arial" w:hAnsi="Arial"/>
          <w:sz w:val="24"/>
          <w:szCs w:val="24"/>
        </w:rPr>
        <w:t>L’Istituto di Credito……….  (in seguito denominato “Tesoriere”), rappresentato dall’………………., nella qualità di rappresentate legale.</w:t>
      </w:r>
    </w:p>
    <w:p>
      <w:pPr>
        <w:pStyle w:val="Normal"/>
        <w:spacing w:lineRule="auto" w:line="264"/>
        <w:jc w:val="both"/>
        <w:rPr>
          <w:rFonts w:ascii="Arial" w:hAnsi="Arial" w:cs="Arial"/>
          <w:sz w:val="24"/>
          <w:szCs w:val="24"/>
        </w:rPr>
      </w:pPr>
      <w:r>
        <w:rPr>
          <w:rFonts w:cs="Arial" w:ascii="Arial" w:hAnsi="Arial"/>
          <w:sz w:val="24"/>
          <w:szCs w:val="24"/>
        </w:rPr>
      </w:r>
    </w:p>
    <w:p>
      <w:pPr>
        <w:pStyle w:val="Normal"/>
        <w:jc w:val="both"/>
        <w:rPr>
          <w:rFonts w:ascii="Arial" w:hAnsi="Arial"/>
          <w:sz w:val="24"/>
        </w:rPr>
      </w:pPr>
      <w:r>
        <w:rPr>
          <w:rFonts w:ascii="Arial" w:hAnsi="Arial"/>
          <w:sz w:val="24"/>
        </w:rPr>
        <w:t>(di seguito denominate congiuntamente “Parti”)</w:t>
      </w:r>
    </w:p>
    <w:p>
      <w:pPr>
        <w:pStyle w:val="Normal"/>
        <w:jc w:val="both"/>
        <w:rPr>
          <w:rFonts w:ascii="Arial" w:hAnsi="Arial"/>
          <w:sz w:val="24"/>
        </w:rPr>
      </w:pPr>
      <w:r>
        <w:rPr>
          <w:rFonts w:ascii="Arial" w:hAnsi="Arial"/>
          <w:sz w:val="24"/>
        </w:rPr>
      </w:r>
    </w:p>
    <w:p>
      <w:pPr>
        <w:pStyle w:val="Normal"/>
        <w:jc w:val="center"/>
        <w:rPr>
          <w:rFonts w:ascii="Arial" w:hAnsi="Arial"/>
          <w:sz w:val="24"/>
        </w:rPr>
      </w:pPr>
      <w:r>
        <w:rPr>
          <w:rFonts w:ascii="Arial" w:hAnsi="Arial"/>
          <w:sz w:val="24"/>
        </w:rPr>
        <w:t>Premesso</w:t>
      </w:r>
    </w:p>
    <w:p>
      <w:pPr>
        <w:pStyle w:val="Normal"/>
        <w:jc w:val="center"/>
        <w:rPr>
          <w:rFonts w:ascii="Arial" w:hAnsi="Arial"/>
          <w:sz w:val="24"/>
        </w:rPr>
      </w:pPr>
      <w:r>
        <w:rPr>
          <w:rFonts w:ascii="Arial" w:hAnsi="Arial"/>
          <w:sz w:val="24"/>
        </w:rPr>
      </w:r>
    </w:p>
    <w:p>
      <w:pPr>
        <w:pStyle w:val="Normal"/>
        <w:numPr>
          <w:ilvl w:val="0"/>
          <w:numId w:val="1"/>
        </w:numPr>
        <w:jc w:val="both"/>
        <w:rPr>
          <w:rFonts w:ascii="Arial" w:hAnsi="Arial"/>
          <w:i/>
          <w:i/>
          <w:sz w:val="24"/>
        </w:rPr>
      </w:pPr>
      <w:r>
        <w:rPr>
          <w:rFonts w:ascii="Arial" w:hAnsi="Arial"/>
          <w:i/>
          <w:sz w:val="24"/>
        </w:rPr>
        <w:t>che l’Ente è soggetto alla disciplina del Testo Unico degli Enti Locali di cui al D.lgs. n. 267/2000;</w:t>
      </w:r>
    </w:p>
    <w:p>
      <w:pPr>
        <w:pStyle w:val="Normal"/>
        <w:numPr>
          <w:ilvl w:val="0"/>
          <w:numId w:val="1"/>
        </w:numPr>
        <w:jc w:val="both"/>
        <w:rPr>
          <w:rFonts w:ascii="Arial" w:hAnsi="Arial"/>
          <w:i/>
          <w:i/>
          <w:sz w:val="24"/>
        </w:rPr>
      </w:pPr>
      <w:r>
        <w:rPr>
          <w:rFonts w:ascii="Arial" w:hAnsi="Arial"/>
          <w:sz w:val="24"/>
        </w:rPr>
        <w:t>che l’Ente è sottoposto al sistema di “Armonizzazione dei bilanci” di cui al D.lgs. n. 118/2011;</w:t>
      </w:r>
    </w:p>
    <w:p>
      <w:pPr>
        <w:pStyle w:val="Normal"/>
        <w:numPr>
          <w:ilvl w:val="0"/>
          <w:numId w:val="1"/>
        </w:numPr>
        <w:ind w:left="284" w:hanging="284"/>
        <w:jc w:val="both"/>
        <w:rPr>
          <w:rFonts w:ascii="Arial" w:hAnsi="Arial"/>
          <w:sz w:val="24"/>
        </w:rPr>
      </w:pPr>
      <w:r>
        <w:rPr>
          <w:rFonts w:ascii="Arial" w:hAnsi="Arial"/>
          <w:sz w:val="24"/>
        </w:rPr>
        <w:t>che l’Ente è sottoposto al regime di tesoreria unica di cui alla Legge n. 720/1984, e che le disponibilità dell’Ente, in base alla natura delle entrate e alle norme tempo per tempo vigenti, affluiscono nelle contabilità speciali presso la competente Sezione di tesoreria provinciale dello Stato (contabilità infruttifera o fruttifera), ovvero sul conto presso il Tesoriere relativamente alle entrate per le quali ricorrano gli estremi di esonero dal circuito statale della tesoreria unica.</w:t>
      </w:r>
    </w:p>
    <w:p>
      <w:pPr>
        <w:pStyle w:val="Normal"/>
        <w:jc w:val="center"/>
        <w:rPr>
          <w:rFonts w:ascii="Arial" w:hAnsi="Arial"/>
          <w:sz w:val="24"/>
        </w:rPr>
      </w:pPr>
      <w:r>
        <w:rPr>
          <w:rFonts w:ascii="Arial" w:hAnsi="Arial"/>
          <w:sz w:val="24"/>
        </w:rPr>
        <w:t>si conviene e si stipula quanto segue</w:t>
      </w:r>
    </w:p>
    <w:p>
      <w:pPr>
        <w:pStyle w:val="Normal"/>
        <w:jc w:val="center"/>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w:t>
      </w:r>
    </w:p>
    <w:p>
      <w:pPr>
        <w:pStyle w:val="Normal"/>
        <w:jc w:val="center"/>
        <w:rPr>
          <w:rFonts w:ascii="Arial" w:hAnsi="Arial"/>
          <w:sz w:val="24"/>
          <w:u w:val="single"/>
        </w:rPr>
      </w:pPr>
      <w:r>
        <w:rPr>
          <w:rFonts w:ascii="Arial" w:hAnsi="Arial"/>
          <w:sz w:val="24"/>
          <w:u w:val="single"/>
        </w:rPr>
        <w:t>Definizioni</w:t>
      </w:r>
    </w:p>
    <w:p>
      <w:pPr>
        <w:pStyle w:val="Normal"/>
        <w:jc w:val="center"/>
        <w:rPr>
          <w:rFonts w:ascii="Arial" w:hAnsi="Arial"/>
          <w:sz w:val="24"/>
        </w:rPr>
      </w:pPr>
      <w:r>
        <w:rPr>
          <w:rFonts w:ascii="Arial" w:hAnsi="Arial"/>
          <w:sz w:val="24"/>
        </w:rPr>
      </w:r>
    </w:p>
    <w:p>
      <w:pPr>
        <w:pStyle w:val="Normal"/>
        <w:rPr>
          <w:rFonts w:ascii="Arial" w:hAnsi="Arial"/>
          <w:sz w:val="24"/>
        </w:rPr>
      </w:pPr>
      <w:r>
        <w:rPr>
          <w:rFonts w:ascii="Arial" w:hAnsi="Arial"/>
          <w:sz w:val="24"/>
        </w:rPr>
        <w:t>1. Ai fini della presente convenzione, si intende per:</w:t>
      </w:r>
    </w:p>
    <w:p>
      <w:pPr>
        <w:pStyle w:val="Normal"/>
        <w:rPr>
          <w:rFonts w:ascii="Arial" w:hAnsi="Arial"/>
          <w:sz w:val="24"/>
        </w:rPr>
      </w:pPr>
      <w:r>
        <w:rPr>
          <w:rFonts w:ascii="Arial" w:hAnsi="Arial"/>
          <w:sz w:val="24"/>
        </w:rPr>
      </w:r>
    </w:p>
    <w:p>
      <w:pPr>
        <w:pStyle w:val="ListParagraph"/>
        <w:numPr>
          <w:ilvl w:val="0"/>
          <w:numId w:val="20"/>
        </w:numPr>
        <w:jc w:val="both"/>
        <w:rPr>
          <w:rFonts w:ascii="Arial" w:hAnsi="Arial"/>
          <w:sz w:val="24"/>
        </w:rPr>
      </w:pPr>
      <w:r>
        <w:rPr>
          <w:rFonts w:ascii="Arial" w:hAnsi="Arial"/>
          <w:sz w:val="24"/>
        </w:rPr>
        <w:t>TUEL: Testo Unico degli Enti locali di cui al D.lgs. n. 267/2000;</w:t>
      </w:r>
    </w:p>
    <w:p>
      <w:pPr>
        <w:pStyle w:val="ListParagraph"/>
        <w:numPr>
          <w:ilvl w:val="0"/>
          <w:numId w:val="20"/>
        </w:numPr>
        <w:jc w:val="both"/>
        <w:rPr>
          <w:rFonts w:ascii="Arial" w:hAnsi="Arial"/>
          <w:sz w:val="24"/>
        </w:rPr>
      </w:pPr>
      <w:r>
        <w:rPr>
          <w:rFonts w:ascii="Arial" w:hAnsi="Arial"/>
          <w:sz w:val="24"/>
        </w:rPr>
        <w:t>CAD: Codice dell’Amministrazione Digitale di cui al D.lgs. n. 82/2005;</w:t>
      </w:r>
    </w:p>
    <w:p>
      <w:pPr>
        <w:pStyle w:val="ListParagraph"/>
        <w:numPr>
          <w:ilvl w:val="0"/>
          <w:numId w:val="20"/>
        </w:numPr>
        <w:jc w:val="both"/>
        <w:rPr>
          <w:rFonts w:ascii="Arial" w:hAnsi="Arial"/>
          <w:sz w:val="24"/>
        </w:rPr>
      </w:pPr>
      <w:r>
        <w:rPr>
          <w:rFonts w:ascii="Arial" w:hAnsi="Arial"/>
          <w:sz w:val="24"/>
        </w:rPr>
        <w:t>PSD: Payment Services Directive ovvero Direttiva sui Sistemi di Pagamento come recepita nell’ordinamento italiano con il D.lgs. n. 11/2010 e successive modifiche;</w:t>
      </w:r>
    </w:p>
    <w:p>
      <w:pPr>
        <w:pStyle w:val="ListParagraph"/>
        <w:numPr>
          <w:ilvl w:val="0"/>
          <w:numId w:val="20"/>
        </w:numPr>
        <w:jc w:val="both"/>
        <w:rPr>
          <w:rFonts w:ascii="Arial" w:hAnsi="Arial"/>
          <w:sz w:val="24"/>
        </w:rPr>
      </w:pPr>
      <w:r>
        <w:rPr>
          <w:rFonts w:ascii="Arial" w:hAnsi="Arial"/>
          <w:sz w:val="24"/>
        </w:rPr>
        <w:t>PSP: Payment Service Provider ovvero Prestatore di Servizi di Pagamento ovvero istituti di moneta elettronica e istituti di pagamento nonché, quando prestano servizi di pagamento, Banche, Poste italiane S.p.A., la Banca centrale europea e le Banche centrali nazionali se non agiscono in veste di autorità monetaria, altre autorità pubbliche, le pubbliche amministrazioni statali, regionali e locali se non agiscono in veste di autorità pubbliche;</w:t>
      </w:r>
    </w:p>
    <w:p>
      <w:pPr>
        <w:pStyle w:val="ListParagraph"/>
        <w:numPr>
          <w:ilvl w:val="0"/>
          <w:numId w:val="20"/>
        </w:numPr>
        <w:jc w:val="both"/>
        <w:rPr>
          <w:rFonts w:ascii="Arial" w:hAnsi="Arial"/>
          <w:sz w:val="24"/>
        </w:rPr>
      </w:pPr>
      <w:r>
        <w:rPr>
          <w:rFonts w:ascii="Arial" w:hAnsi="Arial"/>
          <w:sz w:val="24"/>
        </w:rPr>
        <w:t xml:space="preserve">SIOPE: Sistema Informativo sulle operazioni degli enti pubblici; </w:t>
      </w:r>
    </w:p>
    <w:p>
      <w:pPr>
        <w:pStyle w:val="ListParagraph"/>
        <w:numPr>
          <w:ilvl w:val="0"/>
          <w:numId w:val="20"/>
        </w:numPr>
        <w:jc w:val="both"/>
        <w:rPr>
          <w:rFonts w:ascii="Arial" w:hAnsi="Arial"/>
          <w:sz w:val="24"/>
        </w:rPr>
      </w:pPr>
      <w:r>
        <w:rPr>
          <w:rFonts w:ascii="Arial" w:hAnsi="Arial"/>
          <w:sz w:val="24"/>
        </w:rPr>
        <w:t>SIOPE+: Sistema di monitoraggio dei pagamenti e degli incassi delle PA che utilizza una infrastruttura di colloquio</w:t>
      </w:r>
      <w:r>
        <w:rPr>
          <w:rFonts w:ascii="Arial" w:hAnsi="Arial"/>
          <w:color w:val="FF0000"/>
          <w:sz w:val="24"/>
        </w:rPr>
        <w:t xml:space="preserve"> </w:t>
      </w:r>
      <w:r>
        <w:rPr>
          <w:rFonts w:ascii="Arial" w:hAnsi="Arial"/>
          <w:sz w:val="24"/>
        </w:rPr>
        <w:t xml:space="preserve">gestita dalla Banca d’Italia; </w:t>
      </w:r>
    </w:p>
    <w:p>
      <w:pPr>
        <w:pStyle w:val="ListParagraph"/>
        <w:numPr>
          <w:ilvl w:val="0"/>
          <w:numId w:val="20"/>
        </w:numPr>
        <w:jc w:val="both"/>
        <w:rPr>
          <w:rFonts w:ascii="Arial" w:hAnsi="Arial"/>
          <w:sz w:val="24"/>
        </w:rPr>
      </w:pPr>
      <w:r>
        <w:rPr>
          <w:rFonts w:ascii="Arial" w:hAnsi="Arial"/>
          <w:sz w:val="24"/>
        </w:rPr>
        <w:t>OIL: ordinativo informatico locale secondo il tracciato standard previsto nella circolare AgID n. 64 del gennaio 2014, incluse successive modifiche e/o integrazioni;</w:t>
      </w:r>
    </w:p>
    <w:p>
      <w:pPr>
        <w:pStyle w:val="ListParagraph"/>
        <w:numPr>
          <w:ilvl w:val="0"/>
          <w:numId w:val="20"/>
        </w:numPr>
        <w:jc w:val="both"/>
        <w:rPr>
          <w:rFonts w:ascii="Arial" w:hAnsi="Arial"/>
          <w:sz w:val="24"/>
        </w:rPr>
      </w:pPr>
      <w:r>
        <w:rPr>
          <w:rFonts w:ascii="Arial" w:hAnsi="Arial"/>
          <w:sz w:val="24"/>
        </w:rPr>
        <w:t>OPI: ordinativo di pagamento e incasso</w:t>
      </w:r>
      <w:r>
        <w:rPr>
          <w:rFonts w:cs="Arial" w:ascii="Arial" w:hAnsi="Arial"/>
          <w:color w:val="000000"/>
          <w:sz w:val="24"/>
          <w:szCs w:val="24"/>
        </w:rPr>
        <w:t xml:space="preserve"> secondo il tracciato standard previsto nelle Regole tecniche e standard per l’emissione dei documenti informatici attraverso il sistema SIOPE+ nelle versioni tempo per tempo vigenti;</w:t>
      </w:r>
    </w:p>
    <w:p>
      <w:pPr>
        <w:pStyle w:val="ListParagraph"/>
        <w:numPr>
          <w:ilvl w:val="0"/>
          <w:numId w:val="20"/>
        </w:numPr>
        <w:jc w:val="both"/>
        <w:rPr>
          <w:rFonts w:ascii="Arial" w:hAnsi="Arial"/>
          <w:sz w:val="24"/>
        </w:rPr>
      </w:pPr>
      <w:r>
        <w:rPr>
          <w:rFonts w:ascii="Arial" w:hAnsi="Arial"/>
          <w:sz w:val="24"/>
        </w:rPr>
        <w:t>Tramite PA: soggetto incaricato di svolgere il colloquio telematico con SIOPE+ in nome per conto dell’Ente che ha conferito l’incarico;</w:t>
      </w:r>
    </w:p>
    <w:p>
      <w:pPr>
        <w:pStyle w:val="ListParagraph"/>
        <w:numPr>
          <w:ilvl w:val="0"/>
          <w:numId w:val="20"/>
        </w:numPr>
        <w:jc w:val="both"/>
        <w:rPr>
          <w:rFonts w:ascii="Arial" w:hAnsi="Arial"/>
          <w:sz w:val="24"/>
        </w:rPr>
      </w:pPr>
      <w:r>
        <w:rPr>
          <w:rFonts w:ascii="Arial" w:hAnsi="Arial"/>
          <w:sz w:val="24"/>
        </w:rPr>
        <w:t>PEC: posta elettronica certificata;</w:t>
      </w:r>
    </w:p>
    <w:p>
      <w:pPr>
        <w:pStyle w:val="ListParagraph"/>
        <w:numPr>
          <w:ilvl w:val="0"/>
          <w:numId w:val="20"/>
        </w:numPr>
        <w:jc w:val="both"/>
        <w:rPr>
          <w:rFonts w:ascii="Arial" w:hAnsi="Arial"/>
          <w:sz w:val="24"/>
        </w:rPr>
      </w:pPr>
      <w:r>
        <w:rPr>
          <w:rFonts w:ascii="Arial" w:hAnsi="Arial"/>
          <w:sz w:val="24"/>
        </w:rPr>
        <w:t>CIG: codice identificativo di gara;</w:t>
      </w:r>
    </w:p>
    <w:p>
      <w:pPr>
        <w:pStyle w:val="ListParagraph"/>
        <w:numPr>
          <w:ilvl w:val="0"/>
          <w:numId w:val="20"/>
        </w:numPr>
        <w:jc w:val="both"/>
        <w:rPr>
          <w:rFonts w:ascii="Arial" w:hAnsi="Arial" w:cs="Arial"/>
          <w:sz w:val="24"/>
        </w:rPr>
      </w:pPr>
      <w:r>
        <w:rPr>
          <w:rFonts w:ascii="Arial" w:hAnsi="Arial"/>
          <w:sz w:val="24"/>
        </w:rPr>
        <w:t>Operazione di Pagamento:</w:t>
      </w:r>
      <w:r>
        <w:rPr>
          <w:rFonts w:eastAsia="Calibri" w:cs="TimesNewRoman" w:ascii="TimesNewRoman" w:hAnsi="TimesNewRoman" w:eastAsiaTheme="minorHAnsi"/>
          <w:sz w:val="24"/>
          <w:szCs w:val="24"/>
          <w:lang w:eastAsia="en-US"/>
          <w14:ligatures w14:val="standard"/>
        </w:rPr>
        <w:t xml:space="preserve"> </w:t>
      </w:r>
      <w:r>
        <w:rPr>
          <w:rFonts w:eastAsia="Calibri" w:cs="Arial" w:ascii="Arial" w:hAnsi="Arial" w:eastAsiaTheme="minorHAnsi"/>
          <w:sz w:val="24"/>
          <w:szCs w:val="24"/>
          <w:lang w:eastAsia="en-US"/>
          <w14:ligatures w14:val="standard"/>
        </w:rPr>
        <w:t>locuzione generica per indicare indistintamente l’attività, posta in essere sia lato pagatore sia lato beneficiario, di versamento, trasferimento o prelevamento di fondi, indipendentemente da eventuali obblighi sottostanti tra pagatore e beneficiario;</w:t>
      </w:r>
    </w:p>
    <w:p>
      <w:pPr>
        <w:pStyle w:val="ListParagraph"/>
        <w:numPr>
          <w:ilvl w:val="0"/>
          <w:numId w:val="20"/>
        </w:numPr>
        <w:jc w:val="both"/>
        <w:rPr>
          <w:rFonts w:ascii="Arial" w:hAnsi="Arial"/>
          <w:sz w:val="24"/>
        </w:rPr>
      </w:pPr>
      <w:r>
        <w:rPr>
          <w:rFonts w:ascii="Arial" w:hAnsi="Arial"/>
          <w:sz w:val="24"/>
        </w:rPr>
        <w:t>Ordinativo: documento emesso dall’Ente per richiedere al Tesoriere l’esecuzione di una Operazioni di Pagamento;</w:t>
      </w:r>
    </w:p>
    <w:p>
      <w:pPr>
        <w:pStyle w:val="ListParagraph"/>
        <w:numPr>
          <w:ilvl w:val="0"/>
          <w:numId w:val="20"/>
        </w:numPr>
        <w:jc w:val="both"/>
        <w:rPr>
          <w:rFonts w:ascii="Arial" w:hAnsi="Arial"/>
          <w:sz w:val="24"/>
        </w:rPr>
      </w:pPr>
      <w:r>
        <w:rPr>
          <w:rFonts w:ascii="Arial" w:hAnsi="Arial"/>
          <w:sz w:val="24"/>
        </w:rPr>
        <w:t>Uscite: termine generico per individuare le somme utilizzate per Pagamenti disposti dall’Ente in favore di terzi;</w:t>
      </w:r>
    </w:p>
    <w:p>
      <w:pPr>
        <w:pStyle w:val="ListParagraph"/>
        <w:numPr>
          <w:ilvl w:val="0"/>
          <w:numId w:val="20"/>
        </w:numPr>
        <w:jc w:val="both"/>
        <w:rPr>
          <w:rFonts w:ascii="Arial" w:hAnsi="Arial"/>
          <w:sz w:val="24"/>
        </w:rPr>
      </w:pPr>
      <w:r>
        <w:rPr>
          <w:rFonts w:ascii="Arial" w:hAnsi="Arial"/>
          <w:sz w:val="24"/>
        </w:rPr>
        <w:t>SDD: Sepa Direct Debit;</w:t>
      </w:r>
    </w:p>
    <w:p>
      <w:pPr>
        <w:pStyle w:val="ListParagraph"/>
        <w:numPr>
          <w:ilvl w:val="0"/>
          <w:numId w:val="20"/>
        </w:numPr>
        <w:jc w:val="both"/>
        <w:rPr>
          <w:rFonts w:ascii="Arial" w:hAnsi="Arial"/>
          <w:sz w:val="24"/>
        </w:rPr>
      </w:pPr>
      <w:r>
        <w:rPr>
          <w:rFonts w:ascii="Arial" w:hAnsi="Arial"/>
          <w:b/>
          <w:sz w:val="24"/>
        </w:rPr>
        <w:t>Pagamento</w:t>
      </w:r>
      <w:r>
        <w:rPr>
          <w:rFonts w:ascii="Arial" w:hAnsi="Arial"/>
          <w:sz w:val="24"/>
        </w:rPr>
        <w:t>: Operazione comportante una Uscita eseguita dal Tesoriere in esecuzione del servizio di tesoreria;</w:t>
      </w:r>
    </w:p>
    <w:p>
      <w:pPr>
        <w:pStyle w:val="ListParagraph"/>
        <w:numPr>
          <w:ilvl w:val="0"/>
          <w:numId w:val="20"/>
        </w:numPr>
        <w:jc w:val="both"/>
        <w:rPr>
          <w:rFonts w:ascii="Arial" w:hAnsi="Arial"/>
          <w:sz w:val="24"/>
        </w:rPr>
      </w:pPr>
      <w:r>
        <w:rPr>
          <w:rFonts w:ascii="Arial" w:hAnsi="Arial"/>
          <w:sz w:val="24"/>
        </w:rPr>
        <w:t>Mandato: Ordinativo relativo a un Pagamento;</w:t>
      </w:r>
    </w:p>
    <w:p>
      <w:pPr>
        <w:pStyle w:val="ListParagraph"/>
        <w:numPr>
          <w:ilvl w:val="0"/>
          <w:numId w:val="20"/>
        </w:numPr>
        <w:jc w:val="both"/>
        <w:rPr>
          <w:rFonts w:ascii="Arial" w:hAnsi="Arial"/>
          <w:sz w:val="24"/>
        </w:rPr>
      </w:pPr>
      <w:r>
        <w:rPr>
          <w:rFonts w:ascii="Arial" w:hAnsi="Arial"/>
          <w:sz w:val="24"/>
        </w:rPr>
        <w:t>Quietanza: ricevuta emessa dal Tesoriere a fronte di un Pagamento;</w:t>
      </w:r>
    </w:p>
    <w:p>
      <w:pPr>
        <w:pStyle w:val="ListParagraph"/>
        <w:numPr>
          <w:ilvl w:val="0"/>
          <w:numId w:val="20"/>
        </w:numPr>
        <w:jc w:val="both"/>
        <w:rPr>
          <w:rFonts w:ascii="Arial" w:hAnsi="Arial"/>
          <w:sz w:val="24"/>
        </w:rPr>
      </w:pPr>
      <w:r>
        <w:rPr>
          <w:rFonts w:ascii="Arial" w:hAnsi="Arial"/>
          <w:sz w:val="24"/>
        </w:rPr>
        <w:t>Provvisorio di Uscita: Pagamento in attesa di regolarizzazione poiché effettuato in assenza del relativo Mandato;</w:t>
      </w:r>
    </w:p>
    <w:p>
      <w:pPr>
        <w:pStyle w:val="ListParagraph"/>
        <w:numPr>
          <w:ilvl w:val="0"/>
          <w:numId w:val="20"/>
        </w:numPr>
        <w:jc w:val="both"/>
        <w:rPr>
          <w:rFonts w:ascii="Arial" w:hAnsi="Arial"/>
          <w:sz w:val="24"/>
        </w:rPr>
      </w:pPr>
      <w:r>
        <w:rPr>
          <w:rFonts w:ascii="Arial" w:hAnsi="Arial"/>
          <w:sz w:val="24"/>
        </w:rPr>
        <w:t>Entrate: termine generico per individuare le somme utilizzate per Operazioni di Pagamento disposte da terzi in favore dell’Ente;</w:t>
      </w:r>
    </w:p>
    <w:p>
      <w:pPr>
        <w:pStyle w:val="ListParagraph"/>
        <w:numPr>
          <w:ilvl w:val="0"/>
          <w:numId w:val="20"/>
        </w:numPr>
        <w:jc w:val="both"/>
        <w:rPr>
          <w:rFonts w:ascii="Arial" w:hAnsi="Arial"/>
          <w:sz w:val="24"/>
        </w:rPr>
      </w:pPr>
      <w:r>
        <w:rPr>
          <w:rFonts w:ascii="Arial" w:hAnsi="Arial"/>
          <w:b/>
          <w:sz w:val="24"/>
        </w:rPr>
        <w:t>Riscossione</w:t>
      </w:r>
      <w:r>
        <w:rPr>
          <w:rFonts w:ascii="Arial" w:hAnsi="Arial"/>
          <w:sz w:val="24"/>
        </w:rPr>
        <w:t>: Operazione effettuata dal Tesoriere e comportante una Entrata in esecuzione del servizio di tesoreria;</w:t>
      </w:r>
    </w:p>
    <w:p>
      <w:pPr>
        <w:pStyle w:val="ListParagraph"/>
        <w:numPr>
          <w:ilvl w:val="0"/>
          <w:numId w:val="20"/>
        </w:numPr>
        <w:jc w:val="both"/>
        <w:rPr>
          <w:rFonts w:ascii="Arial" w:hAnsi="Arial"/>
          <w:sz w:val="24"/>
        </w:rPr>
      </w:pPr>
      <w:r>
        <w:rPr>
          <w:rFonts w:ascii="Arial" w:hAnsi="Arial"/>
          <w:sz w:val="24"/>
        </w:rPr>
        <w:t>Reversale: Ordinativo relativo a una Riscossione;</w:t>
      </w:r>
    </w:p>
    <w:p>
      <w:pPr>
        <w:pStyle w:val="ListParagraph"/>
        <w:numPr>
          <w:ilvl w:val="0"/>
          <w:numId w:val="20"/>
        </w:numPr>
        <w:jc w:val="both"/>
        <w:rPr>
          <w:rFonts w:ascii="Arial" w:hAnsi="Arial"/>
          <w:sz w:val="24"/>
        </w:rPr>
      </w:pPr>
      <w:r>
        <w:rPr>
          <w:rFonts w:ascii="Arial" w:hAnsi="Arial"/>
          <w:sz w:val="24"/>
        </w:rPr>
        <w:t>Ricevuta: documento emesso dal Tesoriere a fronte di una Riscossione;</w:t>
      </w:r>
    </w:p>
    <w:p>
      <w:pPr>
        <w:pStyle w:val="ListParagraph"/>
        <w:numPr>
          <w:ilvl w:val="0"/>
          <w:numId w:val="20"/>
        </w:numPr>
        <w:jc w:val="both"/>
        <w:rPr>
          <w:rFonts w:ascii="Arial" w:hAnsi="Arial"/>
          <w:sz w:val="24"/>
        </w:rPr>
      </w:pPr>
      <w:r>
        <w:rPr>
          <w:rFonts w:ascii="Arial" w:hAnsi="Arial"/>
          <w:sz w:val="24"/>
        </w:rPr>
        <w:t>Provvisorio di Entrata: Riscossione in attesa di regolarizzazione poiché effettuata in assenza della relativa Reversale;</w:t>
      </w:r>
    </w:p>
    <w:p>
      <w:pPr>
        <w:pStyle w:val="ListParagraph"/>
        <w:numPr>
          <w:ilvl w:val="0"/>
          <w:numId w:val="20"/>
        </w:numPr>
        <w:jc w:val="both"/>
        <w:rPr>
          <w:rFonts w:ascii="Arial" w:hAnsi="Arial"/>
          <w:sz w:val="24"/>
        </w:rPr>
      </w:pPr>
      <w:r>
        <w:rPr>
          <w:rFonts w:ascii="Arial" w:hAnsi="Arial"/>
          <w:sz w:val="24"/>
        </w:rPr>
        <w:t>RT: ricevuta telematica come definita nelle “Linee guida per l’effettuazione dei pagamenti elettronici a favore delle Pubbliche Amministrazioni e dei gestori di pubblici servizi” emanate dall’Agenzia per l’Italia Digitale.</w:t>
      </w:r>
    </w:p>
    <w:p>
      <w:pPr>
        <w:pStyle w:val="Normal"/>
        <w:jc w:val="center"/>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2</w:t>
      </w:r>
    </w:p>
    <w:p>
      <w:pPr>
        <w:pStyle w:val="Normal"/>
        <w:jc w:val="center"/>
        <w:rPr>
          <w:rFonts w:ascii="Arial" w:hAnsi="Arial"/>
          <w:sz w:val="24"/>
          <w:u w:val="single"/>
        </w:rPr>
      </w:pPr>
      <w:r>
        <w:rPr>
          <w:rFonts w:ascii="Arial" w:hAnsi="Arial"/>
          <w:sz w:val="24"/>
          <w:u w:val="single"/>
        </w:rPr>
        <w:t>Affidamento del servizio</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1. Il servizio di tesoreria viene svolto dal Tesoriere presso i propri locali, nei giorni e negli orari di apertura dei propri sportelli.</w:t>
      </w:r>
    </w:p>
    <w:p>
      <w:pPr>
        <w:pStyle w:val="Normal"/>
        <w:ind w:left="-11" w:hanging="0"/>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Il servizio di tesoreria, la cui durata è fissata dal successivo art. 21, viene svolto in conformità alla legge, agli statuti e ai regolamenti dell'Ente, nonché a quanto stabilito nella presente convenzione.</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 ovvero con l’utilizzo della PEC.</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3</w:t>
      </w:r>
    </w:p>
    <w:p>
      <w:pPr>
        <w:pStyle w:val="Normal"/>
        <w:jc w:val="center"/>
        <w:rPr>
          <w:rFonts w:ascii="Arial" w:hAnsi="Arial"/>
          <w:sz w:val="24"/>
          <w:u w:val="single"/>
        </w:rPr>
      </w:pPr>
      <w:r>
        <w:rPr>
          <w:rFonts w:ascii="Arial" w:hAnsi="Arial"/>
          <w:sz w:val="24"/>
          <w:u w:val="single"/>
        </w:rPr>
        <w:t>Oggetto e limiti della convenzione</w:t>
      </w:r>
    </w:p>
    <w:p>
      <w:pPr>
        <w:pStyle w:val="Normal"/>
        <w:rPr>
          <w:rFonts w:ascii="Arial" w:hAnsi="Arial"/>
          <w:sz w:val="24"/>
        </w:rPr>
      </w:pPr>
      <w:r>
        <w:rPr>
          <w:rFonts w:ascii="Arial" w:hAnsi="Arial"/>
          <w:sz w:val="24"/>
        </w:rPr>
      </w:r>
    </w:p>
    <w:p>
      <w:pPr>
        <w:pStyle w:val="BodyText2"/>
        <w:rPr/>
      </w:pPr>
      <w:r>
        <w:rPr/>
        <w:t>1. Il servizio di tesoreria di cui alla presente convenzione ha per oggetto il complesso delle operazioni inerenti alla gestione finanziaria dell'Ente e, in particolare, le Riscossioni e i Pagamenti ordinati dall'Ente, con l'osservanza delle norme contenute negli articoli che seguono; il servizio ha per oggetto, altresì, l'amministrazione dei titoli e dei valori di cui al successivo art. 17.</w:t>
      </w:r>
    </w:p>
    <w:p>
      <w:pPr>
        <w:pStyle w:val="Normal"/>
        <w:jc w:val="both"/>
        <w:rPr>
          <w:rFonts w:ascii="Arial" w:hAnsi="Arial"/>
          <w:sz w:val="24"/>
        </w:rPr>
      </w:pPr>
      <w:r>
        <w:rPr>
          <w:rFonts w:ascii="Arial" w:hAnsi="Arial"/>
          <w:sz w:val="24"/>
        </w:rPr>
      </w:r>
    </w:p>
    <w:p>
      <w:pPr>
        <w:pStyle w:val="BodyText2"/>
        <w:rPr/>
      </w:pPr>
      <w:r>
        <w:rPr/>
        <w:t>2. Esula dall’accordo l’esecuzione degli Incassi effettuati con modalità diverse da quelle contemplate nella presente convenzione, secondo la normativa di riferimento. In ogni caso, anche le Entrate di cui al presente comma devono essere accreditate sul conto di tesoreria con immediatezza, tenuto conto dei tempi tecnici necessari.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L’Ente costituisce in deposito presso il Tesoriere - ovvero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economali.</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4. Le Parti prendono atto dell’obbligo di operare in conformità alle norme ed ai principi dell’armonizzazione contabile prevista dal D.lgs. n. 118/2011 e successive modifiche ed integrazioni.</w:t>
      </w:r>
    </w:p>
    <w:p>
      <w:pPr>
        <w:pStyle w:val="Normal"/>
        <w:jc w:val="both"/>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4</w:t>
      </w:r>
    </w:p>
    <w:p>
      <w:pPr>
        <w:pStyle w:val="Normal"/>
        <w:jc w:val="center"/>
        <w:rPr>
          <w:rFonts w:ascii="Arial" w:hAnsi="Arial"/>
          <w:b/>
          <w:b/>
          <w:sz w:val="24"/>
          <w:u w:val="single"/>
        </w:rPr>
      </w:pPr>
      <w:r>
        <w:rPr>
          <w:rFonts w:ascii="Arial" w:hAnsi="Arial"/>
          <w:sz w:val="24"/>
          <w:u w:val="single"/>
        </w:rPr>
        <w:t>Caratteristiche del servizio</w:t>
      </w:r>
    </w:p>
    <w:p>
      <w:pPr>
        <w:pStyle w:val="Normal"/>
        <w:rPr>
          <w:rFonts w:ascii="Arial" w:hAnsi="Arial" w:cs="Arial"/>
          <w:sz w:val="24"/>
          <w:szCs w:val="24"/>
        </w:rPr>
      </w:pPr>
      <w:r>
        <w:rPr>
          <w:rFonts w:cs="Arial" w:ascii="Arial" w:hAnsi="Arial"/>
          <w:sz w:val="24"/>
          <w:szCs w:val="24"/>
        </w:rPr>
      </w:r>
    </w:p>
    <w:p>
      <w:pPr>
        <w:pStyle w:val="ListParagraph"/>
        <w:ind w:left="0" w:hanging="0"/>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 xml:space="preserve">1. Lo scambio degli Ordinativi, del giornale di cassa e di ogni altra eventuale documentazione inerente al servizio è effettuato tramite le regole, tempo per tempo vigenti, - del protocollo OPI con collegamento tra l’Ente e il Tesoriere per il tramite della piattaforma SIOPE+ gestita dalla Banca d’Italia. </w:t>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I flussi possono contenere un singolo Ordinativo ovvero più Ordinativi. Gli Ordinativi sono costituiti da: Mandati e Reversali che possono contenere una o più “disposizioni”. Per quanto concerne l’OPI, per il pagamento di fatture commerciali devono essere predisposti singoli ordinativi. Nelle operazioni di archiviazione, ricerca e correzione (variazione, annullo e sostituzione) si considera l’Ordinativo nella sua interezza.</w:t>
      </w:r>
    </w:p>
    <w:p>
      <w:pPr>
        <w:pStyle w:val="Normal"/>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2. L’ordinativo è sottoscritto - con firma digitale o firma elettronica qualificata o firma elettronica avanzata - dai soggetti individuati dall’Ente e da questi autorizzati alla firma degli Ordinativi inerenti alla gestione del servizio di tesoreria. L’Ente, nel rispetto delle norme e nell'ambito della propria autonomia, definisce i poteri di firma dei soggetti autorizzati a sottoscrivere i documenti informatici, previo invio al Tesoriere della documentazione di cui al successivo art. 9, comma 2, e dei relativi certificati di firma ovvero fornisce al Tesoriere gli estremi dei certificati stessi. L’Ente si impegna a comunicare tempestivamente al Tesoriere ogni variazione dei soggetti autorizzati alla firma. Il Tesoriere resta impegnato dal giorno lavorativo successivo al ricevimento della comunicazione.</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3. Ai fini del riconoscimento dell’Ente e per garantire e verificare l’integrità, la riservatezza, la legittimità e non ripudiabilità dei documenti trasmessi elettronicamente, ciascun firmatario, preventivamente autorizzato dall’Ente nelle forme prescritte, provvede a conservare le informazioni di sua competenza con la più scrupolosa cura e diligenza e a non divulgarli o comunicarli ad alcuno.</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Default"/>
        <w:jc w:val="both"/>
        <w:rPr/>
      </w:pPr>
      <w:r>
        <w:rPr>
          <w:rFonts w:cs="Arial" w:ascii="Arial" w:hAnsi="Arial"/>
        </w:rPr>
        <w:t xml:space="preserve">4. L’OPI si intende inviato e pervenuto al destinatario secondo le Regole tecniche e standard per l’emissione dei documenti informatici relativi alla gestione dei servizi di tesoreria e cassa degli enti del comparto pubblico attraverso il Sistema SIOPE+. </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5. La trasmissione e la conservazione degli Ordinativi compete ed è a carico dell’Ente il quale deve rispettare la normativa vigente e conformarsi alle indicazioni tecniche e procedurali emanate in materia dagli organismi competenti.</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6. Il Tesoriere, all’atto del ricevimento dei flussi contenenti gli OPI, provvede a rendere disponibile alla piattaforma SIOPE+ un messaggio attestante la ricezione del relativo flusso. Eseguita la verifica del contenuto del flusso ed acquisiti i dati nel proprio sistema informativo, il Tesoriere, direttamente o tramite il proprio polo informatico, predispone e trasmette a SIOPE), un messaggio di ritorno munito di riferimento temporale, contenente il risultato dell’acquisizione, segnalando gli Ordinativi presi in carico e quelli non acquisiti; per questi ultimi sarà evidenziata la causa che ne ha impedito l’acquisizione. Dalla trasmissione di detto messaggio decorrono i termini per l’eseguibilità dell’ordine conferito, previsti al successivo art. 7.</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7. I flussi inviati dall’Ente (direttamente o tramite la piattaforma SIOPE+) entro l’orario concordato con il Tesoriere saranno acquisiti lo stesso giorno lavorativo per il Tesoriere, mentre eventuali flussi che pervenissero al Tesoriere oltre l’orario concordato saranno presi in carico nel giorno lavorativo successivo.</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8. L’Ente potrà inviare variazioni o annullamenti di Ordinativi precedentemente trasmessi e non ancora eseguiti. Nel caso in cui gli annullamenti o le variazioni riguardino Ordinativi già eseguiti dal Tesoriere, non sarà possibile accettare l’annullamento o la variazione della disposizione e delle relative Quietanze o Ricevute, fatta eccezione per le variazioni di elementi non essenziali ai fini della validità e della regolarità dell’Operazione di Pagamento.</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9. A seguito dell’esecuzione dell’Operazione di Pagamento, il Tesoriere predispone ed invia giornalmente alla piattaforma SIOPE+) un messaggio di esito applicativo munito di riferimento temporale contenente, a comprova e discarico, la conferma dell’esecuzione degli Ordinativi; in caso di Pagamento per cassa, la Quietanza del creditore dell’Ente, raccolta su supporto separato, è trattenuta tra gli atti del Tesoriere.</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both"/>
        <w:rPr>
          <w:rFonts w:ascii="Arial" w:hAnsi="Arial" w:eastAsia="Calibri" w:cs="Arial" w:eastAsiaTheme="minorHAnsi"/>
          <w:sz w:val="24"/>
          <w:szCs w:val="24"/>
          <w:lang w:eastAsia="en-US"/>
          <w14:ligatures w14:val="standard"/>
        </w:rPr>
      </w:pPr>
      <w:r>
        <w:rPr>
          <w:rFonts w:eastAsia="Calibri" w:cs="Arial" w:ascii="Arial" w:hAnsi="Arial" w:eastAsiaTheme="minorHAnsi"/>
          <w:sz w:val="24"/>
          <w:szCs w:val="24"/>
          <w:lang w:eastAsia="en-US"/>
          <w14:ligatures w14:val="standard"/>
        </w:rPr>
        <w:t>10. Nelle ipotesi eccezionali in cui per cause oggettive inerenti i canali trasmissivi risulti impossibile l’invio degli Ordinativi, l’Ente, con comunicazione sottoscritta dagli stessi soggetti aventi poteri di firma sugli Ordinativi, evidenzierà al Tesoriere le sole Operazioni di Pagamento aventi carattere d’urgenza o quelle la cui mancata esecuzione possa comportare danni economici; il Tesoriere a seguito di tale comunicazione eseguirà i Pagamenti tramite Provvisori di Uscita. L’Ente è obbligato ad emettere gli Ordinativi con immediatezza non appena rimosse le cause di impedimento.</w:t>
      </w:r>
    </w:p>
    <w:p>
      <w:pPr>
        <w:pStyle w:val="Normal"/>
        <w:jc w:val="both"/>
        <w:rPr>
          <w:rFonts w:ascii="Arial" w:hAnsi="Arial" w:eastAsia="Calibri" w:cs="Arial" w:eastAsiaTheme="minorHAnsi"/>
          <w:sz w:val="24"/>
          <w:szCs w:val="24"/>
          <w:lang w:eastAsia="en-US"/>
          <w14:ligatures w14:val="standard"/>
        </w:rPr>
      </w:pPr>
      <w:r>
        <w:rPr>
          <w:rFonts w:eastAsia="Calibri" w:cs="Arial" w:eastAsiaTheme="minorHAnsi" w:ascii="Arial" w:hAnsi="Arial"/>
          <w:sz w:val="24"/>
          <w:szCs w:val="24"/>
          <w:lang w:eastAsia="en-US"/>
          <w14:ligatures w14:val="standard"/>
        </w:rPr>
      </w:r>
    </w:p>
    <w:p>
      <w:pPr>
        <w:pStyle w:val="Normal"/>
        <w:jc w:val="center"/>
        <w:rPr>
          <w:rFonts w:ascii="Arial" w:hAnsi="Arial"/>
          <w:sz w:val="24"/>
          <w:u w:val="single"/>
        </w:rPr>
      </w:pPr>
      <w:r>
        <w:rPr>
          <w:rFonts w:ascii="Arial" w:hAnsi="Arial"/>
          <w:sz w:val="24"/>
          <w:u w:val="single"/>
        </w:rPr>
        <w:t>Art. 5</w:t>
      </w:r>
    </w:p>
    <w:p>
      <w:pPr>
        <w:pStyle w:val="Normal"/>
        <w:jc w:val="center"/>
        <w:rPr>
          <w:rFonts w:ascii="Arial" w:hAnsi="Arial"/>
          <w:b/>
          <w:b/>
          <w:sz w:val="24"/>
          <w:u w:val="single"/>
        </w:rPr>
      </w:pPr>
      <w:r>
        <w:rPr>
          <w:rFonts w:ascii="Arial" w:hAnsi="Arial"/>
          <w:sz w:val="24"/>
          <w:u w:val="single"/>
        </w:rPr>
        <w:t>Esercizio finanziario</w:t>
      </w:r>
    </w:p>
    <w:p>
      <w:pPr>
        <w:pStyle w:val="Normal"/>
        <w:rPr>
          <w:rFonts w:ascii="Arial" w:hAnsi="Arial"/>
          <w:b/>
          <w:b/>
          <w:sz w:val="24"/>
          <w:u w:val="single"/>
        </w:rPr>
      </w:pPr>
      <w:r>
        <w:rPr>
          <w:rFonts w:ascii="Arial" w:hAnsi="Arial"/>
          <w:b/>
          <w:sz w:val="24"/>
          <w:u w:val="single"/>
        </w:rPr>
      </w:r>
    </w:p>
    <w:p>
      <w:pPr>
        <w:pStyle w:val="BodyText2"/>
        <w:rPr/>
      </w:pPr>
      <w:r>
        <w:rPr/>
        <w:t>1. L'esercizio finanziario dell'Ente ha durata annuale, con inizio il 1° gennaio e termine il 31 dicembre di ciascun anno; dopo tale termine non possono effettuarsi Operazioni di Pagamento a valere sul bilancio dell'anno precedente. Potranno essere eseguite, comunque, le operazioni di regolarizzazione dei Provvisori di Entrata e di Uscita, di variazione delle codifiche di bilancio e SIOPE.</w:t>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6</w:t>
      </w:r>
    </w:p>
    <w:p>
      <w:pPr>
        <w:pStyle w:val="Normal"/>
        <w:jc w:val="center"/>
        <w:rPr>
          <w:rFonts w:ascii="Arial" w:hAnsi="Arial"/>
          <w:sz w:val="24"/>
          <w:u w:val="single"/>
        </w:rPr>
      </w:pPr>
      <w:r>
        <w:rPr>
          <w:rFonts w:ascii="Arial" w:hAnsi="Arial"/>
          <w:sz w:val="24"/>
          <w:u w:val="single"/>
        </w:rPr>
        <w:t>Riscossioni</w:t>
      </w:r>
    </w:p>
    <w:p>
      <w:pPr>
        <w:pStyle w:val="Normal"/>
        <w:rPr>
          <w:rFonts w:ascii="Arial" w:hAnsi="Arial"/>
          <w:sz w:val="24"/>
          <w:u w:val="single"/>
        </w:rPr>
      </w:pPr>
      <w:r>
        <w:rPr>
          <w:rFonts w:ascii="Arial" w:hAnsi="Arial"/>
          <w:sz w:val="24"/>
          <w:u w:val="single"/>
        </w:rPr>
      </w:r>
    </w:p>
    <w:p>
      <w:pPr>
        <w:pStyle w:val="ListParagraph"/>
        <w:numPr>
          <w:ilvl w:val="0"/>
          <w:numId w:val="23"/>
        </w:numPr>
        <w:ind w:left="0" w:hanging="0"/>
        <w:jc w:val="both"/>
        <w:rPr>
          <w:rFonts w:ascii="Arial" w:hAnsi="Arial"/>
          <w:sz w:val="24"/>
        </w:rPr>
      </w:pPr>
      <w:r>
        <w:rPr>
          <w:rFonts w:ascii="Arial" w:hAnsi="Arial"/>
          <w:sz w:val="24"/>
        </w:rPr>
        <w:t xml:space="preserve">Il Tesoriere effettua le Riscossioni e le regolarizzazioni degli incassi, 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allo stesso regolamento. </w:t>
      </w:r>
    </w:p>
    <w:p>
      <w:pPr>
        <w:pStyle w:val="ListParagraph"/>
        <w:numPr>
          <w:ilvl w:val="0"/>
          <w:numId w:val="23"/>
        </w:numPr>
        <w:ind w:left="0" w:hanging="0"/>
        <w:jc w:val="both"/>
        <w:rPr>
          <w:rFonts w:ascii="Arial" w:hAnsi="Arial"/>
          <w:sz w:val="24"/>
        </w:rPr>
      </w:pPr>
      <w:r>
        <w:rPr>
          <w:rFonts w:ascii="Arial" w:hAnsi="Arial"/>
          <w:sz w:val="24"/>
        </w:rPr>
        <w:t>Il Tesoriere, tramite il giornale di cassa, rendiconta all’Ente gli accrediti effettuati il Nodo dei Pagamenti – SPC, riportando gli estremi identificativi evidenziati dai PSP nelle causali. L’ente Provvede a regolarizzare l’entrata tramite emissione della relativa reversale, nei termini previsti al comma 4 dell’art. 180 del TUEL.</w:t>
      </w:r>
    </w:p>
    <w:p>
      <w:pPr>
        <w:pStyle w:val="ListParagraph"/>
        <w:numPr>
          <w:ilvl w:val="0"/>
          <w:numId w:val="23"/>
        </w:numPr>
        <w:ind w:left="0" w:hanging="0"/>
        <w:jc w:val="both"/>
        <w:rPr>
          <w:rFonts w:ascii="Arial" w:hAnsi="Arial"/>
          <w:sz w:val="24"/>
        </w:rPr>
      </w:pPr>
      <w:r>
        <w:rPr>
          <w:rFonts w:ascii="Arial" w:hAnsi="Arial"/>
          <w:sz w:val="24"/>
        </w:rPr>
        <w:t xml:space="preserve"> </w:t>
      </w:r>
      <w:r>
        <w:rPr>
          <w:rFonts w:ascii="Arial" w:hAnsi="Arial"/>
          <w:sz w:val="24"/>
        </w:rPr>
        <w:t>Ai sensi dell’art. 180 del TUEL, le Reversali, ai fini dell’operatività del Tesoriere, devono contenere:</w:t>
      </w:r>
    </w:p>
    <w:p>
      <w:pPr>
        <w:pStyle w:val="Normal"/>
        <w:jc w:val="both"/>
        <w:rPr>
          <w:rFonts w:ascii="Arial" w:hAnsi="Arial"/>
          <w:sz w:val="24"/>
        </w:rPr>
      </w:pPr>
      <w:r>
        <w:rPr>
          <w:rFonts w:ascii="Arial" w:hAnsi="Arial"/>
          <w:sz w:val="24"/>
        </w:rPr>
      </w:r>
    </w:p>
    <w:p>
      <w:pPr>
        <w:pStyle w:val="Normal"/>
        <w:numPr>
          <w:ilvl w:val="0"/>
          <w:numId w:val="2"/>
        </w:numPr>
        <w:ind w:left="0" w:hanging="0"/>
        <w:jc w:val="both"/>
        <w:rPr>
          <w:rFonts w:ascii="Arial" w:hAnsi="Arial"/>
          <w:sz w:val="24"/>
        </w:rPr>
      </w:pPr>
      <w:r>
        <w:rPr>
          <w:rFonts w:ascii="Arial" w:hAnsi="Arial"/>
          <w:sz w:val="24"/>
        </w:rPr>
        <w:t>la denominazione dell'Ente;</w:t>
      </w:r>
    </w:p>
    <w:p>
      <w:pPr>
        <w:pStyle w:val="Normal"/>
        <w:numPr>
          <w:ilvl w:val="0"/>
          <w:numId w:val="3"/>
        </w:numPr>
        <w:ind w:left="0" w:hanging="0"/>
        <w:jc w:val="both"/>
        <w:rPr>
          <w:rFonts w:ascii="Arial" w:hAnsi="Arial"/>
          <w:sz w:val="24"/>
        </w:rPr>
      </w:pPr>
      <w:r>
        <w:rPr>
          <w:rFonts w:ascii="Arial" w:hAnsi="Arial"/>
          <w:sz w:val="24"/>
        </w:rPr>
        <w:t>l’importo da riscuotere;</w:t>
      </w:r>
    </w:p>
    <w:p>
      <w:pPr>
        <w:pStyle w:val="Normal"/>
        <w:numPr>
          <w:ilvl w:val="0"/>
          <w:numId w:val="4"/>
        </w:numPr>
        <w:ind w:left="0" w:hanging="0"/>
        <w:jc w:val="both"/>
        <w:rPr>
          <w:rFonts w:ascii="Arial" w:hAnsi="Arial"/>
          <w:sz w:val="24"/>
        </w:rPr>
      </w:pPr>
      <w:r>
        <w:rPr>
          <w:rFonts w:ascii="Arial" w:hAnsi="Arial"/>
          <w:sz w:val="24"/>
        </w:rPr>
        <w:t>l'indicazione del debitore;</w:t>
      </w:r>
    </w:p>
    <w:p>
      <w:pPr>
        <w:pStyle w:val="Normal"/>
        <w:numPr>
          <w:ilvl w:val="0"/>
          <w:numId w:val="5"/>
        </w:numPr>
        <w:ind w:left="0" w:hanging="0"/>
        <w:jc w:val="both"/>
        <w:rPr>
          <w:rFonts w:ascii="Arial" w:hAnsi="Arial"/>
          <w:sz w:val="24"/>
        </w:rPr>
      </w:pPr>
      <w:r>
        <w:rPr>
          <w:rFonts w:ascii="Arial" w:hAnsi="Arial"/>
          <w:sz w:val="24"/>
        </w:rPr>
        <w:t>la causale del versamento;</w:t>
      </w:r>
    </w:p>
    <w:p>
      <w:pPr>
        <w:pStyle w:val="Normal"/>
        <w:numPr>
          <w:ilvl w:val="0"/>
          <w:numId w:val="6"/>
        </w:numPr>
        <w:ind w:left="0" w:hanging="0"/>
        <w:jc w:val="both"/>
        <w:rPr>
          <w:rFonts w:ascii="Arial" w:hAnsi="Arial"/>
          <w:sz w:val="24"/>
        </w:rPr>
      </w:pPr>
      <w:r>
        <w:rPr>
          <w:rFonts w:ascii="Arial" w:hAnsi="Arial"/>
          <w:sz w:val="24"/>
        </w:rPr>
        <w:t>la codifica di bilancio (l’indicazione del titolo e della tipologia), distintamente per residui e competenza;</w:t>
      </w:r>
    </w:p>
    <w:p>
      <w:pPr>
        <w:pStyle w:val="Normal"/>
        <w:numPr>
          <w:ilvl w:val="0"/>
          <w:numId w:val="6"/>
        </w:numPr>
        <w:ind w:left="0" w:hanging="0"/>
        <w:jc w:val="both"/>
        <w:rPr>
          <w:rFonts w:ascii="Arial" w:hAnsi="Arial"/>
          <w:sz w:val="24"/>
        </w:rPr>
      </w:pPr>
      <w:r>
        <w:rPr>
          <w:rFonts w:ascii="Arial" w:hAnsi="Arial"/>
          <w:sz w:val="24"/>
        </w:rPr>
        <w:t>il numero progressivo della Reversale per esercizio finanziario, senza separazione tra conto competenza e conto residui;</w:t>
      </w:r>
    </w:p>
    <w:p>
      <w:pPr>
        <w:pStyle w:val="Normal"/>
        <w:numPr>
          <w:ilvl w:val="0"/>
          <w:numId w:val="7"/>
        </w:numPr>
        <w:ind w:left="0" w:hanging="0"/>
        <w:jc w:val="both"/>
        <w:rPr>
          <w:rFonts w:ascii="Arial" w:hAnsi="Arial"/>
          <w:sz w:val="24"/>
        </w:rPr>
      </w:pPr>
      <w:r>
        <w:rPr>
          <w:rFonts w:ascii="Arial" w:hAnsi="Arial"/>
          <w:sz w:val="24"/>
        </w:rPr>
        <w:t>l'esercizio finanziario e la data di emissione;</w:t>
      </w:r>
    </w:p>
    <w:p>
      <w:pPr>
        <w:pStyle w:val="Normal"/>
        <w:numPr>
          <w:ilvl w:val="0"/>
          <w:numId w:val="8"/>
        </w:numPr>
        <w:ind w:left="0" w:hanging="0"/>
        <w:jc w:val="both"/>
        <w:rPr>
          <w:rFonts w:ascii="Arial" w:hAnsi="Arial"/>
          <w:sz w:val="24"/>
        </w:rPr>
      </w:pPr>
      <w:r>
        <w:rPr>
          <w:rFonts w:ascii="Arial" w:hAnsi="Arial"/>
          <w:sz w:val="24"/>
        </w:rPr>
        <w:t>le indicazioni per l'assoggettamento o meno all'imposta di bollo di quietanza;</w:t>
      </w:r>
    </w:p>
    <w:p>
      <w:pPr>
        <w:pStyle w:val="Normal"/>
        <w:numPr>
          <w:ilvl w:val="0"/>
          <w:numId w:val="9"/>
        </w:numPr>
        <w:ind w:left="0" w:hanging="0"/>
        <w:jc w:val="both"/>
        <w:rPr>
          <w:rFonts w:ascii="Arial" w:hAnsi="Arial"/>
          <w:sz w:val="24"/>
        </w:rPr>
      </w:pPr>
      <w:r>
        <w:rPr>
          <w:rFonts w:ascii="Arial" w:hAnsi="Arial"/>
          <w:sz w:val="24"/>
        </w:rPr>
        <w:t>gli eventuali vincoli di destinazione delle entrate derivanti da legge, da trasferimenti o da prestiti. In caso di mancata indicazione, le somme introitate sono considerate libere da vincolo;</w:t>
      </w:r>
    </w:p>
    <w:p>
      <w:pPr>
        <w:pStyle w:val="Normal"/>
        <w:numPr>
          <w:ilvl w:val="0"/>
          <w:numId w:val="9"/>
        </w:numPr>
        <w:ind w:left="0" w:hanging="0"/>
        <w:jc w:val="both"/>
        <w:rPr>
          <w:rFonts w:ascii="Arial" w:hAnsi="Arial"/>
          <w:sz w:val="24"/>
        </w:rPr>
      </w:pPr>
      <w:r>
        <w:rPr>
          <w:rFonts w:ascii="Arial" w:hAnsi="Arial"/>
          <w:sz w:val="24"/>
        </w:rPr>
        <w:t>la codifica SIOPE di cui all’art. 14 della Legge n. 196/2009;</w:t>
      </w:r>
    </w:p>
    <w:p>
      <w:pPr>
        <w:pStyle w:val="Normal"/>
        <w:numPr>
          <w:ilvl w:val="0"/>
          <w:numId w:val="9"/>
        </w:numPr>
        <w:ind w:left="0" w:hanging="0"/>
        <w:jc w:val="both"/>
        <w:rPr>
          <w:rFonts w:ascii="Arial" w:hAnsi="Arial"/>
          <w:sz w:val="24"/>
        </w:rPr>
      </w:pPr>
      <w:r>
        <w:rPr>
          <w:rFonts w:ascii="Arial" w:hAnsi="Arial"/>
          <w:sz w:val="24"/>
        </w:rPr>
        <w:t xml:space="preserve">l’eventuale indicazione “contabilità fruttifera” ovvero “contabilità infruttifera” nel caso in cui le disponibilità dell’Ente siano depositate, in tutto o in parte, presso la competente Sezione della tesoreria provinciale dello Stato. </w:t>
      </w:r>
    </w:p>
    <w:p>
      <w:pPr>
        <w:pStyle w:val="Normal"/>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Il Tesoriere non è tenuto ad accettare Reversali che non risultino conformi a quanto previsto dalle specifiche tecniche OPI.</w:t>
      </w:r>
    </w:p>
    <w:p>
      <w:pPr>
        <w:pStyle w:val="Normal"/>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Per ogni Riscossione il Tesoriere rilascia, in nome e per conto dell'Ente, una Ricevuta numerata in ordine cronologico per esercizio finanziario, compilata con procedure informatiche.</w:t>
      </w:r>
    </w:p>
    <w:p>
      <w:pPr>
        <w:pStyle w:val="Normal"/>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Il Tesoriere accetta, anche senza autorizzazione dell'Ente, le somme che i terzi intendono versare, a qualsiasi titolo, a favore dell'Ente stesso, rilasciando Ricevuta contenente, oltre l'indicazione della causale dell’Operazione di Pagamento, la clausola espressa “salvi i diritti dell'ente”. Tali Riscossioni sono segnalate all'Ente, il quale procede alla regolarizzazione al più presto e comunque entro i successivi sessanta giorni e, in ogni caso, entro i termini previsti per la resa del conto del Tesoriere, imputando le relative Reversali all’esercizio in cui il Tesoriere stesso ha registrato l’operazione; dette Reversali devono recare l’indicazione del Provvisorio di Entrata rilevato dai dati comunicati dal Tesoriere.</w:t>
      </w:r>
    </w:p>
    <w:p>
      <w:pPr>
        <w:pStyle w:val="ListParagraph"/>
        <w:ind w:left="0" w:hanging="0"/>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 xml:space="preserve">Le Entrate riscosse dal Tesoriere senza Reversale e indicazioni dell’Ente, sono attribuite alla contabilità speciale fruttifera. </w:t>
      </w:r>
    </w:p>
    <w:p>
      <w:pPr>
        <w:pStyle w:val="ListParagraph"/>
        <w:ind w:left="0" w:hanging="0"/>
        <w:jc w:val="both"/>
        <w:rPr>
          <w:rFonts w:ascii="Arial" w:hAnsi="Arial"/>
          <w:sz w:val="24"/>
        </w:rPr>
      </w:pPr>
      <w:r>
        <w:rPr>
          <w:rFonts w:ascii="Arial" w:hAnsi="Arial"/>
          <w:sz w:val="24"/>
        </w:rPr>
        <w:t>Il Tesoriere considera libere da vincoli di destinazione le somme incassate senza reversale.</w:t>
      </w:r>
    </w:p>
    <w:p>
      <w:pPr>
        <w:pStyle w:val="ListParagraph"/>
        <w:ind w:left="0" w:hanging="0"/>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Con riguardo alle Entrate affluite direttamente in contabilità speciale, il Tesoriere, il giorno lavorativo successivo a quello di ricezione dell’informazione dalla Banca d’Italia, provvede a registrare la relativa Entrata. In relazione a ciò, l'Ente emette, nei termini di cui al precedente comma 5, le corrispondenti Reversali a regolarizzazione.</w:t>
      </w:r>
    </w:p>
    <w:p>
      <w:pPr>
        <w:pStyle w:val="ListParagraph"/>
        <w:ind w:left="0" w:hanging="0"/>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Il prelevamento delle Entrate affluite sui conti correnti postali intestati all'Ente e per i quali al Tesoriere è riservata la firma di traenza, è disposto dall'Ente, previa verifica di capienza, mediante emissione di Reversale e nel rigoroso rispetto della tempistica prevista dalla legge. Il Tesoriere esegue il prelievo mediante bonifico postale o emissione di assegno postale e accredita all’Ente l'importo corrispondente.</w:t>
      </w:r>
    </w:p>
    <w:p>
      <w:pPr>
        <w:pStyle w:val="ListParagraph"/>
        <w:numPr>
          <w:ilvl w:val="0"/>
          <w:numId w:val="23"/>
        </w:numPr>
        <w:ind w:left="0" w:hanging="0"/>
        <w:jc w:val="both"/>
        <w:rPr>
          <w:rFonts w:ascii="Arial" w:hAnsi="Arial"/>
          <w:sz w:val="24"/>
        </w:rPr>
      </w:pPr>
      <w:r>
        <w:rPr>
          <w:rFonts w:ascii="Arial" w:hAnsi="Arial"/>
          <w:sz w:val="24"/>
        </w:rPr>
        <w:t>Il Tesoriere non è tenuto ad accettare Riscossioni a mezzo di assegni di conto corrente bancario e postale. Possono, invece, essere accettati assegni circolari o vidimati intestati all’Ente o al Tesoriere.</w:t>
      </w:r>
    </w:p>
    <w:p>
      <w:pPr>
        <w:pStyle w:val="ListParagraph"/>
        <w:ind w:left="0" w:hanging="0"/>
        <w:jc w:val="both"/>
        <w:rPr>
          <w:rFonts w:ascii="Arial" w:hAnsi="Arial"/>
          <w:sz w:val="24"/>
        </w:rPr>
      </w:pPr>
      <w:r>
        <w:rPr>
          <w:rFonts w:ascii="Arial" w:hAnsi="Arial"/>
          <w:sz w:val="24"/>
        </w:rPr>
      </w:r>
    </w:p>
    <w:p>
      <w:pPr>
        <w:pStyle w:val="ListParagraph"/>
        <w:numPr>
          <w:ilvl w:val="0"/>
          <w:numId w:val="23"/>
        </w:numPr>
        <w:ind w:left="0" w:hanging="0"/>
        <w:jc w:val="both"/>
        <w:rPr>
          <w:rFonts w:ascii="Arial" w:hAnsi="Arial"/>
          <w:sz w:val="24"/>
        </w:rPr>
      </w:pPr>
      <w:r>
        <w:rPr>
          <w:rFonts w:ascii="Arial" w:hAnsi="Arial"/>
          <w:sz w:val="24"/>
        </w:rPr>
        <w:t>L’Ente provvede all’annullamento delle Reversali non riscosse entro il termine dell’esercizio e all’eventuale loro nuova emissione nell’esercizio successivo.</w:t>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7</w:t>
      </w:r>
    </w:p>
    <w:p>
      <w:pPr>
        <w:pStyle w:val="Normal"/>
        <w:jc w:val="center"/>
        <w:rPr>
          <w:rFonts w:ascii="Arial" w:hAnsi="Arial"/>
          <w:sz w:val="24"/>
          <w:u w:val="single"/>
        </w:rPr>
      </w:pPr>
      <w:r>
        <w:rPr>
          <w:rFonts w:ascii="Arial" w:hAnsi="Arial"/>
          <w:sz w:val="24"/>
          <w:u w:val="single"/>
        </w:rPr>
        <w:t>Pagamenti</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1. I Pagamenti sono eseguiti in base a Mandati individuali e firmati digitalmente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pPr>
        <w:pStyle w:val="Normal"/>
        <w:jc w:val="both"/>
        <w:rPr>
          <w:rFonts w:ascii="Arial" w:hAnsi="Arial"/>
          <w:sz w:val="24"/>
        </w:rPr>
      </w:pPr>
      <w:r>
        <w:rPr>
          <w:rFonts w:ascii="Arial" w:hAnsi="Arial"/>
          <w:sz w:val="24"/>
        </w:rPr>
      </w:r>
    </w:p>
    <w:p>
      <w:pPr>
        <w:pStyle w:val="BodyText2"/>
        <w:rPr/>
      </w:pPr>
      <w:r>
        <w:rPr/>
        <w:t xml:space="preserve">2. L'estinzione dei Mandati ha luogo nel rispetto della legge e delle indicazioni fornite dall'Ente. </w:t>
      </w:r>
    </w:p>
    <w:p>
      <w:pPr>
        <w:pStyle w:val="Stile1"/>
        <w:rPr/>
      </w:pPr>
      <w:r>
        <w:rPr/>
      </w:r>
    </w:p>
    <w:p>
      <w:pPr>
        <w:pStyle w:val="Normal"/>
        <w:jc w:val="both"/>
        <w:rPr>
          <w:rFonts w:ascii="Arial" w:hAnsi="Arial"/>
          <w:sz w:val="24"/>
        </w:rPr>
      </w:pPr>
      <w:r>
        <w:rPr>
          <w:rFonts w:ascii="Arial" w:hAnsi="Arial"/>
          <w:sz w:val="24"/>
        </w:rPr>
        <w:t>3. Ai sensi dell’art. 185 del TUEL, i Mandati, ai fini dell’operatività del Tesoriere, devono contenere:</w:t>
      </w:r>
    </w:p>
    <w:p>
      <w:pPr>
        <w:pStyle w:val="Normal"/>
        <w:numPr>
          <w:ilvl w:val="0"/>
          <w:numId w:val="11"/>
        </w:numPr>
        <w:jc w:val="both"/>
        <w:rPr>
          <w:rFonts w:ascii="Arial" w:hAnsi="Arial"/>
          <w:sz w:val="24"/>
        </w:rPr>
      </w:pPr>
      <w:r>
        <w:rPr>
          <w:rFonts w:ascii="Arial" w:hAnsi="Arial"/>
          <w:sz w:val="24"/>
        </w:rPr>
        <w:t>la denominazione dell'Ente;</w:t>
      </w:r>
    </w:p>
    <w:p>
      <w:pPr>
        <w:pStyle w:val="Normal"/>
        <w:numPr>
          <w:ilvl w:val="0"/>
          <w:numId w:val="11"/>
        </w:numPr>
        <w:jc w:val="both"/>
        <w:rPr>
          <w:rFonts w:ascii="Arial" w:hAnsi="Arial"/>
          <w:sz w:val="24"/>
        </w:rPr>
      </w:pPr>
      <w:r>
        <w:rPr>
          <w:rFonts w:ascii="Arial" w:hAnsi="Arial"/>
          <w:sz w:val="24"/>
        </w:rPr>
        <w:t>l'indicazione del creditore o dei creditori o di chi per loro è tenuto a rilasciare Quietanza, con eventuale precisazione degli estremi necessari per l’individuazione dei richiamati soggetti nonché del codice fiscale o partita IVA;</w:t>
      </w:r>
    </w:p>
    <w:p>
      <w:pPr>
        <w:pStyle w:val="Normal"/>
        <w:numPr>
          <w:ilvl w:val="0"/>
          <w:numId w:val="10"/>
        </w:numPr>
        <w:jc w:val="both"/>
        <w:rPr>
          <w:rFonts w:ascii="Arial" w:hAnsi="Arial"/>
          <w:sz w:val="24"/>
        </w:rPr>
      </w:pPr>
      <w:r>
        <w:rPr>
          <w:rFonts w:ascii="Arial" w:hAnsi="Arial"/>
          <w:sz w:val="24"/>
        </w:rPr>
        <w:t>l’ammontare dell’importo lordo e netto da pagare;</w:t>
      </w:r>
    </w:p>
    <w:p>
      <w:pPr>
        <w:pStyle w:val="Normal"/>
        <w:numPr>
          <w:ilvl w:val="0"/>
          <w:numId w:val="11"/>
        </w:numPr>
        <w:jc w:val="both"/>
        <w:rPr>
          <w:rFonts w:ascii="Arial" w:hAnsi="Arial"/>
          <w:sz w:val="24"/>
        </w:rPr>
      </w:pPr>
      <w:r>
        <w:rPr>
          <w:rFonts w:ascii="Arial" w:hAnsi="Arial"/>
          <w:sz w:val="24"/>
        </w:rPr>
        <w:t>la causale del pagamento;</w:t>
      </w:r>
    </w:p>
    <w:p>
      <w:pPr>
        <w:pStyle w:val="Normal"/>
        <w:numPr>
          <w:ilvl w:val="0"/>
          <w:numId w:val="12"/>
        </w:numPr>
        <w:jc w:val="both"/>
        <w:rPr>
          <w:rFonts w:ascii="Arial" w:hAnsi="Arial"/>
          <w:sz w:val="24"/>
        </w:rPr>
      </w:pPr>
      <w:r>
        <w:rPr>
          <w:rFonts w:ascii="Arial" w:hAnsi="Arial"/>
          <w:sz w:val="24"/>
        </w:rPr>
        <w:t>la codifica di bilancio (l'indicazione della missione, del programma e del titolo di bilancio cui è riferita la spesa) e la relativa disponibilità, distintamente per residui o competenza e cassa;</w:t>
      </w:r>
    </w:p>
    <w:p>
      <w:pPr>
        <w:pStyle w:val="Normal"/>
        <w:numPr>
          <w:ilvl w:val="0"/>
          <w:numId w:val="12"/>
        </w:numPr>
        <w:jc w:val="both"/>
        <w:rPr>
          <w:rFonts w:ascii="Arial" w:hAnsi="Arial"/>
          <w:sz w:val="24"/>
        </w:rPr>
      </w:pPr>
      <w:r>
        <w:rPr>
          <w:rFonts w:ascii="Arial" w:hAnsi="Arial"/>
          <w:sz w:val="24"/>
        </w:rPr>
        <w:t>la codifica SIOPE di cui all’art. 14 della Legge n. 196/2009;</w:t>
      </w:r>
      <w:r>
        <w:rPr>
          <w:rFonts w:ascii="Arial" w:hAnsi="Arial"/>
          <w:color w:val="FF0000"/>
          <w:sz w:val="24"/>
        </w:rPr>
        <w:t xml:space="preserve"> </w:t>
      </w:r>
    </w:p>
    <w:p>
      <w:pPr>
        <w:pStyle w:val="Normal"/>
        <w:numPr>
          <w:ilvl w:val="0"/>
          <w:numId w:val="13"/>
        </w:numPr>
        <w:jc w:val="both"/>
        <w:rPr>
          <w:rFonts w:ascii="Arial" w:hAnsi="Arial"/>
          <w:sz w:val="24"/>
        </w:rPr>
      </w:pPr>
      <w:r>
        <w:rPr>
          <w:rFonts w:ascii="Arial" w:hAnsi="Arial"/>
          <w:sz w:val="24"/>
        </w:rPr>
        <w:t>il numero progressivo del Mandato per esercizio finanziario;</w:t>
      </w:r>
    </w:p>
    <w:p>
      <w:pPr>
        <w:pStyle w:val="Normal"/>
        <w:numPr>
          <w:ilvl w:val="0"/>
          <w:numId w:val="14"/>
        </w:numPr>
        <w:jc w:val="both"/>
        <w:rPr>
          <w:rFonts w:ascii="Arial" w:hAnsi="Arial"/>
          <w:sz w:val="24"/>
        </w:rPr>
      </w:pPr>
      <w:r>
        <w:rPr>
          <w:rFonts w:ascii="Arial" w:hAnsi="Arial"/>
          <w:sz w:val="24"/>
        </w:rPr>
        <w:t>l'esercizio finanziario e la data di emissione;</w:t>
      </w:r>
    </w:p>
    <w:p>
      <w:pPr>
        <w:pStyle w:val="Normal"/>
        <w:numPr>
          <w:ilvl w:val="0"/>
          <w:numId w:val="15"/>
        </w:numPr>
        <w:jc w:val="both"/>
        <w:rPr>
          <w:rFonts w:ascii="Arial" w:hAnsi="Arial"/>
          <w:sz w:val="24"/>
        </w:rPr>
      </w:pPr>
      <w:r>
        <w:rPr>
          <w:rFonts w:ascii="Arial" w:hAnsi="Arial"/>
          <w:sz w:val="24"/>
        </w:rPr>
        <w:t>l'indicazione della modalità di pagamento prescelta dal beneficiario con i relativi estremi;</w:t>
      </w:r>
    </w:p>
    <w:p>
      <w:pPr>
        <w:pStyle w:val="Normal"/>
        <w:numPr>
          <w:ilvl w:val="0"/>
          <w:numId w:val="16"/>
        </w:numPr>
        <w:jc w:val="both"/>
        <w:rPr>
          <w:rFonts w:ascii="Arial" w:hAnsi="Arial"/>
          <w:sz w:val="24"/>
        </w:rPr>
      </w:pPr>
      <w:r>
        <w:rPr>
          <w:rFonts w:ascii="Arial" w:hAnsi="Arial"/>
          <w:sz w:val="24"/>
        </w:rPr>
        <w:t>le indicazioni per l'assoggettamento o meno all'imposta di bollo di quietanza;</w:t>
      </w:r>
    </w:p>
    <w:p>
      <w:pPr>
        <w:pStyle w:val="Normal"/>
        <w:numPr>
          <w:ilvl w:val="0"/>
          <w:numId w:val="17"/>
        </w:numPr>
        <w:jc w:val="both"/>
        <w:rPr>
          <w:rFonts w:ascii="Arial" w:hAnsi="Arial"/>
          <w:sz w:val="24"/>
        </w:rPr>
      </w:pPr>
      <w:r>
        <w:rPr>
          <w:rFonts w:ascii="Arial" w:hAnsi="Arial"/>
          <w:sz w:val="24"/>
        </w:rPr>
        <w:t>il rispetto degli eventuali vincoli di destinazione stabiliti per legge o relativi a trasferimenti o a prestiti. In caso di mancata indicazione, il Tesoriere non è responsabile ed è tenuto indenne dall'Ente in ordine alla somma utilizzata e alla mancata riduzione del vincolo medesimo;</w:t>
      </w:r>
    </w:p>
    <w:p>
      <w:pPr>
        <w:pStyle w:val="Normal"/>
        <w:numPr>
          <w:ilvl w:val="0"/>
          <w:numId w:val="18"/>
        </w:numPr>
        <w:jc w:val="both"/>
        <w:rPr/>
      </w:pPr>
      <w:r>
        <w:rPr>
          <w:rFonts w:ascii="Arial" w:hAnsi="Arial"/>
          <w:sz w:val="24"/>
        </w:rPr>
        <w:t>la data nella quale il Pagamento deve essere eseguito, nel caso di Pagamenti a scadenza fissa, ovvero la scadenza prevista dalla legge o concordata con il creditore, il cui mancato rispetto comporti penalità;</w:t>
      </w:r>
    </w:p>
    <w:p>
      <w:pPr>
        <w:pStyle w:val="Normal"/>
        <w:numPr>
          <w:ilvl w:val="0"/>
          <w:numId w:val="19"/>
        </w:numPr>
        <w:jc w:val="both"/>
        <w:rPr>
          <w:rFonts w:ascii="Arial" w:hAnsi="Arial"/>
          <w:sz w:val="24"/>
        </w:rPr>
      </w:pPr>
      <w:r>
        <w:rPr>
          <w:rFonts w:ascii="Arial" w:hAnsi="Arial"/>
          <w:sz w:val="24"/>
        </w:rPr>
        <w:t>l’eventuale identificazione delle spese non soggette al controllo dei dodicesimi di cui al comma 5 dell’art. 163 del TUEL, in caso di “esercizio provvisorio”;</w:t>
      </w:r>
    </w:p>
    <w:p>
      <w:pPr>
        <w:pStyle w:val="Normal"/>
        <w:numPr>
          <w:ilvl w:val="0"/>
          <w:numId w:val="19"/>
        </w:numPr>
        <w:jc w:val="both"/>
        <w:rPr>
          <w:rFonts w:ascii="Arial" w:hAnsi="Arial"/>
          <w:sz w:val="24"/>
        </w:rPr>
      </w:pPr>
      <w:r>
        <w:rPr>
          <w:rFonts w:ascii="Arial" w:hAnsi="Arial"/>
          <w:sz w:val="24"/>
        </w:rPr>
        <w:t>l'indicazione della “gestione provvisoria” nei casi di pagamenti rientranti fra quelli consentiti dal comma 2 dell’art. 163 del TUEL.</w:t>
      </w:r>
    </w:p>
    <w:p>
      <w:pPr>
        <w:pStyle w:val="Normal"/>
        <w:jc w:val="both"/>
        <w:rPr>
          <w:rFonts w:ascii="Arial" w:hAnsi="Arial"/>
          <w:b/>
          <w:b/>
          <w:sz w:val="24"/>
        </w:rPr>
      </w:pPr>
      <w:r>
        <w:rPr>
          <w:rFonts w:ascii="Arial" w:hAnsi="Arial"/>
          <w:b/>
          <w:sz w:val="24"/>
        </w:rPr>
      </w:r>
    </w:p>
    <w:p>
      <w:pPr>
        <w:pStyle w:val="Normal"/>
        <w:jc w:val="both"/>
        <w:rPr>
          <w:rFonts w:ascii="Arial" w:hAnsi="Arial"/>
          <w:sz w:val="24"/>
        </w:rPr>
      </w:pPr>
      <w:r>
        <w:rPr>
          <w:rFonts w:ascii="Arial" w:hAnsi="Arial"/>
          <w:sz w:val="24"/>
        </w:rPr>
        <w:t>4. Il Tesoriere, anche in assenza della preventiva emissione del Mandato, effettua i Pagamenti derivanti da delegazioni di pagamento, da obblighi tributari, da somme iscritte a ruolo, da ordinanze di assegnazione - ed eventuali oneri conseguenti - emesse a seguito delle procedure di esecuzione forzata di cui all’art. 159 del TUEL, nonché gli altri Pagamenti la cui effettuazione è imposta da specifiche disposizioni di legge; se previsto dalla legge o dal regolamento di contabilità dell’Ente e previa richiesta presentata di volta in volta e firmata dalle stesse persone autorizzate a sottoscrivere i Mandati, la medesima operatività è adottata anche per i Pagamenti relativi ad utenze e rate assicurative. Tali Pagamenti sono segnalati all'Ente, il quale procede alla regolarizzazione al più presto e comunque entro i successivi trenta giorni e, in ogni caso, entro i termini previsti per la resa del conto del Tesoriere, imputando i relativi Mandati all’esercizio in cui il Tesoriere stesso ha registrato l’operazione; detti Mandati devono recare l’indicazione del Provvisorio di Uscita rilevato dai dati comunicati dal Tesoriere.</w:t>
      </w:r>
    </w:p>
    <w:p>
      <w:pPr>
        <w:pStyle w:val="Normal"/>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5. I beneficiari dei Pagamenti sono avvisati direttamente dall'Ente dopo l'avvenuta conferma di ricezione dei Mandati da parte del Tesoriere.</w:t>
      </w:r>
    </w:p>
    <w:p>
      <w:pPr>
        <w:pStyle w:val="Normal"/>
        <w:jc w:val="both"/>
        <w:rPr>
          <w:rFonts w:ascii="Arial" w:hAnsi="Arial"/>
          <w:sz w:val="24"/>
        </w:rPr>
      </w:pPr>
      <w:r>
        <w:rPr>
          <w:rFonts w:ascii="Arial" w:hAnsi="Arial"/>
          <w:sz w:val="24"/>
        </w:rPr>
        <w:t>6 . I Pagamenti sono eseguiti utilizzando i fondi disponibili ovvero utilizzando, con le modalità indicate al successivo art. 12, l'eventuale anticipazione di tesoreria - deliberata e richiesta dall’Ente nelle forme di legge - per la parte libera da vincoli.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7. Il Tesoriere non è tenuto ad accettare Mandati che non risultino conformi a quanto previsto dalle specifiche tecniche OPI, tempo per tempo vigenti.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 xml:space="preserve">8. Il Tesoriere estingue i Mandati secondo le modalità indicate dall'Ente. Quest’ultimo è tenuto ad operare nel rispetto del comma 2 dell’art. 12 del D.L. n. 201/2011, convertito nella Legge n. 214/2011, inerente ai limiti di importo per i pagamenti eseguiti per cassa. </w:t>
      </w:r>
    </w:p>
    <w:p>
      <w:pPr>
        <w:pStyle w:val="Normal"/>
        <w:jc w:val="both"/>
        <w:rPr>
          <w:rFonts w:ascii="Arial" w:hAnsi="Arial"/>
          <w:b/>
          <w:b/>
          <w:sz w:val="24"/>
        </w:rPr>
      </w:pPr>
      <w:r>
        <w:rPr>
          <w:rFonts w:ascii="Arial" w:hAnsi="Arial"/>
          <w:b/>
          <w:sz w:val="24"/>
        </w:rPr>
      </w:r>
    </w:p>
    <w:p>
      <w:pPr>
        <w:pStyle w:val="Normal"/>
        <w:jc w:val="both"/>
        <w:rPr>
          <w:rFonts w:ascii="Arial" w:hAnsi="Arial"/>
          <w:sz w:val="24"/>
        </w:rPr>
      </w:pPr>
      <w:r>
        <w:rPr>
          <w:rFonts w:ascii="Arial" w:hAnsi="Arial"/>
          <w:sz w:val="24"/>
        </w:rPr>
        <w:t>9. I Mandati sono ammessi al Pagamento entro i termini concordati tra l’Ente e il Tesoriere. In caso di Pagamenti da eseguirsi in termine fisso indicato dall'Ente sul Mandato e per il Pagamento delle retribuzioni al personale dipendente, l'Ente medesimo deve trasmettere i Mandati entro i termini concordati tra l’Ente e il Tesoriere. Per quanto concerne i Mandati da estinguere tramite strumenti informatici, ai fini della ricezione dell’Ordine di pagamento si rimanda al paragrafo 2 della Circolare MEF/RGS n. 22 del 15 giugno 2018.</w:t>
      </w:r>
    </w:p>
    <w:p>
      <w:pPr>
        <w:pStyle w:val="Normal"/>
        <w:jc w:val="both"/>
        <w:rPr>
          <w:rFonts w:ascii="Arial" w:hAnsi="Arial"/>
          <w:b/>
          <w:b/>
          <w:sz w:val="24"/>
        </w:rPr>
      </w:pPr>
      <w:r>
        <w:rPr>
          <w:rFonts w:ascii="Arial" w:hAnsi="Arial"/>
          <w:b/>
          <w:sz w:val="24"/>
        </w:rPr>
      </w:r>
    </w:p>
    <w:p>
      <w:pPr>
        <w:pStyle w:val="Normal"/>
        <w:jc w:val="both"/>
        <w:rPr>
          <w:rFonts w:ascii="Arial" w:hAnsi="Arial"/>
          <w:sz w:val="24"/>
        </w:rPr>
      </w:pPr>
      <w:r>
        <w:rPr>
          <w:rFonts w:ascii="Arial" w:hAnsi="Arial"/>
          <w:sz w:val="24"/>
        </w:rPr>
        <w:t xml:space="preserve">10. 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In caso contrario, il Tesoriere non tiene conto dei predetti Mandati e l’Ente si impegna ad annullarli e riemetterli nel nuovo esercizio.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11. L'Ente si impegna a non inviare Mandati al Tesoriere oltre la data del 15 dicembre, ad eccezione di quelli relativi ai Pagamenti aventi scadenza perentoria successiva a tale data e che non sia stato possibile inviare entro la predetta scadenza del 15 dicembre.</w:t>
      </w:r>
    </w:p>
    <w:p>
      <w:pPr>
        <w:pStyle w:val="Normal"/>
        <w:jc w:val="both"/>
        <w:rPr>
          <w:rFonts w:ascii="Arial" w:hAnsi="Arial"/>
          <w:b/>
          <w:b/>
          <w:sz w:val="24"/>
        </w:rPr>
      </w:pPr>
      <w:r>
        <w:rPr>
          <w:rFonts w:ascii="Arial" w:hAnsi="Arial"/>
          <w:b/>
          <w:sz w:val="24"/>
        </w:rPr>
      </w:r>
    </w:p>
    <w:p>
      <w:pPr>
        <w:pStyle w:val="Normal"/>
        <w:jc w:val="both"/>
        <w:rPr>
          <w:rFonts w:ascii="Arial" w:hAnsi="Arial"/>
          <w:sz w:val="24"/>
        </w:rPr>
      </w:pPr>
      <w:r>
        <w:rPr>
          <w:rFonts w:ascii="Arial" w:hAnsi="Arial"/>
          <w:sz w:val="24"/>
        </w:rPr>
        <w:t>12. Su richiesta dell'Ente, il Tesoriere fornisce gli estremi di qualsiasi Pagamento eseguito, nonché la relativa prova documentale.</w:t>
      </w:r>
    </w:p>
    <w:p>
      <w:pPr>
        <w:pStyle w:val="Normal"/>
        <w:jc w:val="both"/>
        <w:rPr>
          <w:rFonts w:ascii="Arial" w:hAnsi="Arial"/>
          <w:b/>
          <w:b/>
          <w:sz w:val="24"/>
        </w:rPr>
      </w:pPr>
      <w:r>
        <w:rPr>
          <w:rFonts w:ascii="Arial" w:hAnsi="Arial"/>
          <w:b/>
          <w:sz w:val="24"/>
        </w:rPr>
      </w:r>
    </w:p>
    <w:p>
      <w:pPr>
        <w:pStyle w:val="Normal"/>
        <w:jc w:val="both"/>
        <w:rPr>
          <w:rFonts w:ascii="Arial" w:hAnsi="Arial"/>
          <w:sz w:val="24"/>
        </w:rPr>
      </w:pPr>
      <w:r>
        <w:rPr>
          <w:rFonts w:ascii="Arial" w:hAnsi="Arial"/>
          <w:sz w:val="24"/>
        </w:rPr>
        <w:t xml:space="preserve">13. Per quanto concerne il Pagamento delle rate di mutuo garantite da delegazioni di pagamento, il Tesoriere, a seguito della notifica ai sensi di legge delle delegazioni medesime, effettua gli accantonamenti necessari; in concreto e fatti salvi diversi accordi, provvede ad accantonare ogni mese una quota pari ad un sesto delle delegazioni di pagamento relative alle rate di mutuo in scadenza nel semestre. In mancanza di fondi necessari a garantire gli accantonamenti il Tesoriere provvede tramite apposizione di vincolo sull'anticipazione di tesoreria.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14, comma 2, quest’ultimo non risponde delle indennità di mora eventualmente previste nel contratto di mutuo. </w:t>
      </w:r>
    </w:p>
    <w:p>
      <w:pPr>
        <w:pStyle w:val="Normal"/>
        <w:jc w:val="both"/>
        <w:rPr>
          <w:rFonts w:ascii="Arial" w:hAnsi="Arial"/>
          <w:sz w:val="24"/>
        </w:rPr>
      </w:pPr>
      <w:r>
        <w:rPr>
          <w:rFonts w:ascii="Arial" w:hAnsi="Arial"/>
          <w:sz w:val="24"/>
        </w:rPr>
      </w:r>
    </w:p>
    <w:p>
      <w:pPr>
        <w:pStyle w:val="Normal"/>
        <w:jc w:val="both"/>
        <w:rPr>
          <w:rFonts w:ascii="Arial" w:hAnsi="Arial"/>
          <w:b/>
          <w:b/>
          <w:color w:val="FF0000"/>
          <w:sz w:val="24"/>
        </w:rPr>
      </w:pPr>
      <w:r>
        <w:rPr>
          <w:rFonts w:ascii="Arial" w:hAnsi="Arial"/>
          <w:sz w:val="24"/>
        </w:rPr>
        <w:t>14. Esula dalle incombenze del Tesoriere</w:t>
      </w:r>
      <w:r>
        <w:rPr>
          <w:rFonts w:ascii="Arial" w:hAnsi="Arial"/>
          <w:color w:val="000000" w:themeColor="text1"/>
          <w:sz w:val="24"/>
        </w:rPr>
        <w:t xml:space="preserve"> la verifica di coerenza tra l’intestatario </w:t>
      </w:r>
      <w:r>
        <w:rPr>
          <w:rFonts w:ascii="Arial" w:hAnsi="Arial"/>
          <w:sz w:val="24"/>
        </w:rPr>
        <w:t xml:space="preserve">del Mandato e l’intestazione del conto di accredito. </w:t>
      </w:r>
    </w:p>
    <w:p>
      <w:pPr>
        <w:pStyle w:val="Normal"/>
        <w:jc w:val="both"/>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8</w:t>
      </w:r>
    </w:p>
    <w:p>
      <w:pPr>
        <w:pStyle w:val="Normal"/>
        <w:jc w:val="center"/>
        <w:rPr>
          <w:rFonts w:ascii="Arial" w:hAnsi="Arial"/>
          <w:b/>
          <w:b/>
          <w:sz w:val="24"/>
          <w:u w:val="single"/>
        </w:rPr>
      </w:pPr>
      <w:r>
        <w:rPr>
          <w:rFonts w:ascii="Arial" w:hAnsi="Arial"/>
          <w:sz w:val="24"/>
          <w:u w:val="single"/>
        </w:rPr>
        <w:t>Criteri di utilizzo delle giacenze per l’effettuazione dei Pagamenti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1. Ai sensi di legge e fatte salve le disposizioni concernenti l’utilizzo di importi a specifica destinazione, le somme giacenti presso la contabilità speciale fruttifera sono prioritariamente utilizzate per l’effettuazione dei Pagamenti. L’anticipazione di cassa deve essere utilizzata solo nel caso in cui non vi siano somme disponibili o libere da vincoli nelle contabilità speciali e presso il Tesoriere, fermo restando quanto previsto al successivo art. 13.</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In caso di assenza totale o parziale di somme libere, l’esecuzione del pagamento ha luogo mediante l’utilizzo delle somme a specifica destinazione secondo i criteri e con le modalità di cui al successivo art. 13.</w:t>
      </w:r>
    </w:p>
    <w:p>
      <w:pPr>
        <w:pStyle w:val="Normal"/>
        <w:jc w:val="both"/>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9</w:t>
      </w:r>
    </w:p>
    <w:p>
      <w:pPr>
        <w:pStyle w:val="Normal"/>
        <w:jc w:val="center"/>
        <w:rPr>
          <w:rFonts w:ascii="Arial" w:hAnsi="Arial"/>
          <w:sz w:val="24"/>
          <w:u w:val="single"/>
        </w:rPr>
      </w:pPr>
      <w:r>
        <w:rPr>
          <w:rFonts w:ascii="Arial" w:hAnsi="Arial"/>
          <w:sz w:val="24"/>
          <w:u w:val="single"/>
        </w:rPr>
        <w:t>Trasmissione di atti e documenti</w:t>
      </w:r>
    </w:p>
    <w:p>
      <w:pPr>
        <w:pStyle w:val="Normal"/>
        <w:jc w:val="center"/>
        <w:rPr>
          <w:rFonts w:ascii="Arial" w:hAnsi="Arial"/>
          <w:sz w:val="24"/>
          <w:u w:val="single"/>
        </w:rPr>
      </w:pPr>
      <w:r>
        <w:rPr>
          <w:rFonts w:ascii="Arial" w:hAnsi="Arial"/>
          <w:sz w:val="24"/>
          <w:u w:val="single"/>
        </w:rPr>
      </w:r>
    </w:p>
    <w:p>
      <w:pPr>
        <w:pStyle w:val="Normal"/>
        <w:jc w:val="both"/>
        <w:rPr>
          <w:rFonts w:ascii="Arial" w:hAnsi="Arial"/>
          <w:sz w:val="24"/>
        </w:rPr>
      </w:pPr>
      <w:r>
        <w:rPr>
          <w:rFonts w:ascii="Arial" w:hAnsi="Arial"/>
          <w:sz w:val="24"/>
        </w:rPr>
        <w:t>1. Le Reversali e i Mandati sono inviati dall'Ente al Tesoriere con le modalità previste al precedente art. 4.</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 xml:space="preserve">2. L’Ente, al fine di consentire la corretta gestione dei Mandati e delle Reversali, comunica preventivamente le generalità e qualifiche delle persone autorizzate a sottoscrivere detti documenti, nonché ogni successiva variazione. L’Ente trasmette al Tesoriere i singoli atti di nomina delle persone facoltizzate ad operare sul conto di tesoreria con evidenza delle eventuali date di scadenza degli incarichi.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L’Ente trasmette al Tesoriere lo statuto, il regolamento di contabilità e il regolamento economale ovvero qualunque altro provvedimento di cui la gestione di tesoreria debba tener conto nonché le loro successive variazioni.</w:t>
      </w:r>
    </w:p>
    <w:p>
      <w:pPr>
        <w:pStyle w:val="Normal"/>
        <w:jc w:val="both"/>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10</w:t>
      </w:r>
    </w:p>
    <w:p>
      <w:pPr>
        <w:pStyle w:val="Normal"/>
        <w:jc w:val="center"/>
        <w:rPr>
          <w:rFonts w:ascii="Arial" w:hAnsi="Arial"/>
          <w:b/>
          <w:b/>
          <w:sz w:val="24"/>
          <w:u w:val="single"/>
        </w:rPr>
      </w:pPr>
      <w:r>
        <w:rPr>
          <w:rFonts w:ascii="Arial" w:hAnsi="Arial"/>
          <w:sz w:val="24"/>
          <w:u w:val="single"/>
        </w:rPr>
        <w:t>Obblighi gestionali assunti dal Tesoriere</w:t>
      </w:r>
    </w:p>
    <w:p>
      <w:pPr>
        <w:pStyle w:val="Normal"/>
        <w:jc w:val="center"/>
        <w:rPr>
          <w:rFonts w:ascii="Arial" w:hAnsi="Arial"/>
          <w:b/>
          <w:b/>
          <w:sz w:val="24"/>
          <w:u w:val="single"/>
        </w:rPr>
      </w:pPr>
      <w:r>
        <w:rPr>
          <w:rFonts w:ascii="Arial" w:hAnsi="Arial"/>
          <w:b/>
          <w:sz w:val="24"/>
          <w:u w:val="single"/>
        </w:rPr>
      </w:r>
    </w:p>
    <w:p>
      <w:pPr>
        <w:pStyle w:val="Normal"/>
        <w:jc w:val="both"/>
        <w:rPr>
          <w:rFonts w:ascii="Arial" w:hAnsi="Arial"/>
          <w:sz w:val="24"/>
        </w:rPr>
      </w:pPr>
      <w:r>
        <w:rPr>
          <w:rFonts w:ascii="Arial" w:hAnsi="Arial"/>
          <w:sz w:val="24"/>
        </w:rPr>
        <w:t>1. Il Tesoriere tiene aggiornato e conserva il giornale di cassa.</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 xml:space="preserve">2. Il Tesoriere mette a disposizione dell'Ente il giornale di cassa, secondo le modalità e periodicità previste nelle regole tecniche del protocollo OPI e, con la periodicità concordata, l’eventuale estratto conto. Inoltre, rende disponibili i dati necessari per le verifiche di cassa.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Nel rispetto delle relative norme di legge, il Tesoriere provvede alla trasmissione all’archivio SIOPE delle informazioni codificate relative ad ogni Entrata ed Uscita, nonché della situazione mensile delle disponibilità liquide, secondo le Regole di colloquio tra banche tesoriere e Banca d’Italia.</w:t>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11</w:t>
      </w:r>
    </w:p>
    <w:p>
      <w:pPr>
        <w:pStyle w:val="Normal"/>
        <w:jc w:val="center"/>
        <w:rPr>
          <w:rFonts w:ascii="Arial" w:hAnsi="Arial"/>
          <w:sz w:val="24"/>
          <w:u w:val="single"/>
        </w:rPr>
      </w:pPr>
      <w:r>
        <w:rPr>
          <w:rFonts w:ascii="Arial" w:hAnsi="Arial"/>
          <w:sz w:val="24"/>
          <w:u w:val="single"/>
        </w:rPr>
        <w:t>Verifiche ed ispezioni</w:t>
      </w:r>
    </w:p>
    <w:p>
      <w:pPr>
        <w:pStyle w:val="Normal"/>
        <w:rPr>
          <w:rFonts w:ascii="Arial" w:hAnsi="Arial"/>
          <w:sz w:val="24"/>
          <w:u w:val="single"/>
        </w:rPr>
      </w:pPr>
      <w:r>
        <w:rPr>
          <w:rFonts w:ascii="Arial" w:hAnsi="Arial"/>
          <w:sz w:val="24"/>
          <w:u w:val="single"/>
        </w:rPr>
      </w:r>
    </w:p>
    <w:p>
      <w:pPr>
        <w:pStyle w:val="BodyText2"/>
        <w:rPr/>
      </w:pPr>
      <w:r>
        <w:rPr/>
        <w:t>1. L'Ente e l’organo di revisione dell’Ente medesimo hanno diritto di procedere, con cadenza trimestrale, a verifiche ordinarie di cassa e a verifiche dei valori dati in custodia, come previsto dall’art. 223 del TUEL. Verifiche straordinarie di cassa, ai sensi dell’art. 224 TUEL, sono possibili se rese necessarie da eventi gestionali peculiari. Il Tesoriere mette a disposizione tutte le informazioni in proprio possesso sulle quali, trascorsi trenta giorni, si intende acquisito il benestare dell’Ente.</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Gli incaricati della funzione di revisione economico-finanziaria di cui all'art. 234 del TUEL hanno accesso ai dati e ai documenti relativi alla gestione del servizio di tesoreria: di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pPr>
        <w:pStyle w:val="Normal"/>
        <w:jc w:val="center"/>
        <w:rPr>
          <w:rFonts w:ascii="Arial" w:hAnsi="Arial"/>
          <w:sz w:val="24"/>
          <w:u w:val="single"/>
        </w:rPr>
      </w:pPr>
      <w:r>
        <w:rPr>
          <w:rFonts w:ascii="Arial" w:hAnsi="Arial"/>
          <w:sz w:val="24"/>
          <w:u w:val="single"/>
        </w:rPr>
        <w:t>Art. 12</w:t>
      </w:r>
    </w:p>
    <w:p>
      <w:pPr>
        <w:pStyle w:val="Normal"/>
        <w:jc w:val="center"/>
        <w:rPr>
          <w:rFonts w:ascii="Arial" w:hAnsi="Arial"/>
          <w:sz w:val="24"/>
          <w:u w:val="single"/>
        </w:rPr>
      </w:pPr>
      <w:r>
        <w:rPr>
          <w:rFonts w:ascii="Arial" w:hAnsi="Arial"/>
          <w:sz w:val="24"/>
          <w:u w:val="single"/>
        </w:rPr>
        <w:t>Anticipazioni di tesoreria</w:t>
      </w:r>
    </w:p>
    <w:p>
      <w:pPr>
        <w:pStyle w:val="Normal"/>
        <w:rPr>
          <w:rFonts w:ascii="Arial" w:hAnsi="Arial"/>
          <w:sz w:val="24"/>
        </w:rPr>
      </w:pPr>
      <w:r>
        <w:rPr>
          <w:rFonts w:ascii="Arial" w:hAnsi="Arial"/>
          <w:sz w:val="24"/>
        </w:rPr>
      </w:r>
    </w:p>
    <w:p>
      <w:pPr>
        <w:pStyle w:val="Normal"/>
        <w:jc w:val="both"/>
        <w:rPr>
          <w:rFonts w:ascii="Arial" w:hAnsi="Arial"/>
          <w:color w:val="FF0000"/>
          <w:sz w:val="24"/>
        </w:rPr>
      </w:pPr>
      <w:r>
        <w:rPr>
          <w:rFonts w:ascii="Arial" w:hAnsi="Arial"/>
          <w:sz w:val="24"/>
        </w:rPr>
        <w:t xml:space="preserve">1. Il Tesoriere, su richiesta dell'Ente - presentata di norma prima della chiusura dell’esercizio finanziario a valere sull'esercizio successivo e corredata dalla deliberazione dell'organo esecutivo - concede anticipazioni di tesoreria entro il limite massimo previsto dalla normativa tempo per tempo vigente. L'utilizzo dell'anticipazione ha luogo di volta in volta limitatamente alle somme strettamente necessarie per sopperire a momentanee esigenze di cassa. Più specificatamente, l’utilizzo della linea di credito viene attivato in assenza di fondi liberi disponibili. </w:t>
      </w:r>
    </w:p>
    <w:p>
      <w:pPr>
        <w:pStyle w:val="Normal"/>
        <w:jc w:val="both"/>
        <w:rPr>
          <w:rFonts w:ascii="Arial" w:hAnsi="Arial"/>
          <w:sz w:val="24"/>
          <w:highlight w:val="yellow"/>
        </w:rPr>
      </w:pPr>
      <w:r>
        <w:rPr>
          <w:rFonts w:ascii="Arial" w:hAnsi="Arial"/>
          <w:sz w:val="24"/>
          <w:highlight w:val="yellow"/>
        </w:rPr>
      </w:r>
    </w:p>
    <w:p>
      <w:pPr>
        <w:pStyle w:val="Normal"/>
        <w:jc w:val="both"/>
        <w:rPr>
          <w:rFonts w:ascii="Arial" w:hAnsi="Arial"/>
          <w:sz w:val="24"/>
        </w:rPr>
      </w:pPr>
      <w:r>
        <w:rPr>
          <w:rFonts w:ascii="Arial" w:hAnsi="Arial"/>
          <w:sz w:val="24"/>
        </w:rPr>
        <w:t xml:space="preserve">2. L'Ente prevede in bilancio gli stanziamenti necessari per l'utilizzo e il rimborso dell'anticipazione, nonché per il pagamento degli interessi nella misura di tasso contrattualmente stabilita, sulle somme che ritiene di utilizzare.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Il Tesoriere procede di iniziativa per l'immediato rientro delle anticipazioni utilizzate non appena si verifichino entrate libere da vincoli. In relazione alla movimentazione delle anticipazioni l'Ente, su indicazione del Tesoriere e nei termini di cui ai precedenti art. 6 comma 6 e art. 7 comma 4, provvede all'emissione delle Reversali e dei Mandati, procedendo se necessario alla preliminare variazione di bilancio.</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4. In caso di cessazione, per qualsiasi motivo, del servizio di tesoreria, l'Ente, all'atto del conferimento dell'incarico al tesoriere subentrante, estingue immediatamente il credito del tesoriere uscente connesso all’anticipazione utilizzata, ponendo in capo al tesoriere subentrante la relativa esposizione debitoria.</w:t>
      </w:r>
    </w:p>
    <w:p>
      <w:pPr>
        <w:pStyle w:val="Normal"/>
        <w:rPr>
          <w:rFonts w:ascii="Arial" w:hAnsi="Arial"/>
          <w:sz w:val="24"/>
          <w:highlight w:val="yellow"/>
        </w:rPr>
      </w:pPr>
      <w:r>
        <w:rPr>
          <w:rFonts w:ascii="Arial" w:hAnsi="Arial"/>
          <w:sz w:val="24"/>
          <w:highlight w:val="yellow"/>
        </w:rPr>
      </w:r>
    </w:p>
    <w:p>
      <w:pPr>
        <w:pStyle w:val="Normal"/>
        <w:jc w:val="both"/>
        <w:rPr>
          <w:rFonts w:ascii="Arial" w:hAnsi="Arial"/>
          <w:sz w:val="24"/>
        </w:rPr>
      </w:pPr>
      <w:r>
        <w:rPr>
          <w:rFonts w:ascii="Arial" w:hAnsi="Arial"/>
          <w:sz w:val="24"/>
        </w:rPr>
        <w:t xml:space="preserve">5. Il Tesoriere gestisce l’anticipazione di tesoreria uniformandosi ai criteri ed alle modalità prescritte dal Principio contabile applicato n. 3.26 e n. 11.3 concernente la contabilità finanziaria. </w:t>
      </w:r>
    </w:p>
    <w:p>
      <w:pPr>
        <w:pStyle w:val="Normal"/>
        <w:jc w:val="both"/>
        <w:rPr>
          <w:rFonts w:ascii="Arial" w:hAnsi="Arial"/>
          <w:sz w:val="24"/>
        </w:rPr>
      </w:pPr>
      <w:r>
        <w:rPr>
          <w:rFonts w:ascii="Arial" w:hAnsi="Arial"/>
          <w:sz w:val="24"/>
        </w:rPr>
      </w:r>
    </w:p>
    <w:p>
      <w:pPr>
        <w:pStyle w:val="Normal"/>
        <w:widowControl w:val="false"/>
        <w:tabs>
          <w:tab w:val="clear" w:pos="708"/>
          <w:tab w:val="left" w:pos="198" w:leader="none"/>
        </w:tabs>
        <w:ind w:left="1" w:right="1" w:firstLine="1"/>
        <w:jc w:val="both"/>
        <w:rPr>
          <w:rFonts w:ascii="Arial" w:hAnsi="Arial" w:cs="Arial"/>
          <w:sz w:val="24"/>
        </w:rPr>
      </w:pPr>
      <w:r>
        <w:rPr>
          <w:rFonts w:ascii="Arial" w:hAnsi="Arial"/>
          <w:sz w:val="24"/>
        </w:rPr>
        <w:t xml:space="preserve">6. </w:t>
      </w:r>
      <w:r>
        <w:rPr>
          <w:rFonts w:cs="Arial" w:ascii="Arial" w:hAnsi="Arial"/>
          <w:sz w:val="24"/>
        </w:rPr>
        <w:t>Nel caso in cui l’anticipazione di tesoreria utilizzata non venga estinta integralmente entro l’esercizio contabile di riferimento, l’utilizzo dell’anticipazione all’inizio dell’esercizio successivo resta limitato in misura pari alla differenza fra il saldo dell’anticipazione rimasto scoperto – comprensivo dell’importo per vincoli relativi ad utilizzo di fondi a specifica destinazione non ricostituiti - ed il limite massimo dell’anticipazione concedibile per l’esercizio di riferimento.</w:t>
      </w:r>
    </w:p>
    <w:p>
      <w:pPr>
        <w:pStyle w:val="Normal"/>
        <w:widowControl w:val="false"/>
        <w:tabs>
          <w:tab w:val="clear" w:pos="708"/>
          <w:tab w:val="left" w:pos="198" w:leader="none"/>
        </w:tabs>
        <w:ind w:left="1" w:right="1" w:firstLine="1"/>
        <w:jc w:val="both"/>
        <w:rPr>
          <w:rFonts w:ascii="Arial" w:hAnsi="Arial" w:cs="Arial"/>
          <w:sz w:val="24"/>
        </w:rPr>
      </w:pPr>
      <w:r>
        <w:rPr>
          <w:rFonts w:cs="Arial" w:ascii="Arial" w:hAnsi="Arial"/>
          <w:sz w:val="24"/>
        </w:rPr>
      </w:r>
    </w:p>
    <w:p>
      <w:pPr>
        <w:pStyle w:val="Normal"/>
        <w:ind w:left="1" w:right="1" w:firstLine="1"/>
        <w:jc w:val="both"/>
        <w:rPr>
          <w:rFonts w:ascii="Arial" w:hAnsi="Arial" w:cs="Arial"/>
          <w:sz w:val="24"/>
        </w:rPr>
      </w:pPr>
      <w:r>
        <w:rPr>
          <w:rFonts w:cs="Arial" w:ascii="Arial" w:hAnsi="Arial"/>
          <w:sz w:val="24"/>
        </w:rPr>
        <w:t xml:space="preserve">7. Ai sensi dell’art. 1, comma 878, della Legge n. 205/2017, che ha incluso le anticipazioni di tesoreria tra le fattispecie non incise dalla normativa inerente il dissesto e risanamento finanziario, la disciplina di cui ai precedenti commi si applica </w:t>
      </w:r>
      <w:r>
        <w:rPr>
          <w:rFonts w:cs="Arial" w:ascii="Arial" w:hAnsi="Arial"/>
          <w:i/>
          <w:sz w:val="24"/>
        </w:rPr>
        <w:t xml:space="preserve">in toto </w:t>
      </w:r>
      <w:r>
        <w:rPr>
          <w:rFonts w:cs="Arial" w:ascii="Arial" w:hAnsi="Arial"/>
          <w:sz w:val="24"/>
        </w:rPr>
        <w:t>agli Enti in stato di dissesto ex artt. 244 e seguenti del TUEL.</w:t>
      </w:r>
    </w:p>
    <w:p>
      <w:pPr>
        <w:pStyle w:val="Normal"/>
        <w:widowControl w:val="false"/>
        <w:tabs>
          <w:tab w:val="clear" w:pos="708"/>
          <w:tab w:val="left" w:pos="198" w:leader="none"/>
        </w:tabs>
        <w:ind w:left="1" w:right="1" w:firstLine="1"/>
        <w:jc w:val="both"/>
        <w:rPr>
          <w:rFonts w:ascii="Arial" w:hAnsi="Arial" w:cs="Arial"/>
          <w:sz w:val="24"/>
        </w:rPr>
      </w:pPr>
      <w:r>
        <w:rPr>
          <w:rFonts w:cs="Arial" w:ascii="Arial" w:hAnsi="Arial"/>
          <w:sz w:val="24"/>
        </w:rPr>
      </w:r>
    </w:p>
    <w:p>
      <w:pPr>
        <w:pStyle w:val="Normal"/>
        <w:jc w:val="center"/>
        <w:rPr>
          <w:rFonts w:ascii="Arial" w:hAnsi="Arial"/>
          <w:sz w:val="24"/>
          <w:u w:val="single"/>
        </w:rPr>
      </w:pPr>
      <w:r>
        <w:rPr>
          <w:rFonts w:ascii="Arial" w:hAnsi="Arial"/>
          <w:sz w:val="24"/>
          <w:u w:val="single"/>
        </w:rPr>
        <w:t>Art. 13</w:t>
      </w:r>
    </w:p>
    <w:p>
      <w:pPr>
        <w:pStyle w:val="Normal"/>
        <w:jc w:val="center"/>
        <w:rPr>
          <w:rFonts w:ascii="Arial" w:hAnsi="Arial"/>
          <w:color w:val="FF0000"/>
          <w:sz w:val="24"/>
          <w:u w:val="single"/>
        </w:rPr>
      </w:pPr>
      <w:r>
        <w:rPr>
          <w:rFonts w:ascii="Arial" w:hAnsi="Arial"/>
          <w:sz w:val="24"/>
          <w:u w:val="single"/>
        </w:rPr>
        <w:t>Utilizzo di somme a specifica destinazione</w:t>
      </w:r>
    </w:p>
    <w:p>
      <w:pPr>
        <w:pStyle w:val="Normal"/>
        <w:rPr>
          <w:rFonts w:ascii="Arial" w:hAnsi="Arial"/>
          <w:sz w:val="24"/>
          <w:u w:val="single"/>
        </w:rPr>
      </w:pPr>
      <w:r>
        <w:rPr>
          <w:rFonts w:ascii="Arial" w:hAnsi="Arial"/>
          <w:sz w:val="24"/>
          <w:u w:val="single"/>
        </w:rPr>
      </w:r>
    </w:p>
    <w:p>
      <w:pPr>
        <w:pStyle w:val="Normal"/>
        <w:jc w:val="both"/>
        <w:rPr>
          <w:rFonts w:ascii="Arial" w:hAnsi="Arial"/>
          <w:sz w:val="24"/>
        </w:rPr>
      </w:pPr>
      <w:r>
        <w:rPr>
          <w:rFonts w:ascii="Arial" w:hAnsi="Arial"/>
          <w:sz w:val="24"/>
        </w:rPr>
        <w:t xml:space="preserve">1. L'Ente, previa apposita deliberazione dell'organo esecutivo da adottarsi ad inizio dell’esercizio finanziario e subordinatamente all’assunzione della delibera di cui al precedente art. 12, comma 1, utilizza le somme aventi specifica destinazione anche per il pagamento di spese correnti, nel rispetto delle indicazioni di cui all’art. 195 del TUEL.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L’Ente per il quale sia stato dichiarato lo stato di dissesto non può esercitare la facoltà di cui al comma 1 fino all’emanazione del decreto di cui al comma 3 dell’art. 261 del TUEL.</w:t>
      </w:r>
    </w:p>
    <w:p>
      <w:pPr>
        <w:pStyle w:val="NormalWeb"/>
        <w:spacing w:before="280" w:after="280"/>
        <w:jc w:val="both"/>
        <w:rPr>
          <w:rFonts w:ascii="Gudea" w:hAnsi="Gudea" w:cs="Arial"/>
          <w:color w:val="5E5E5E"/>
        </w:rPr>
      </w:pPr>
      <w:r>
        <w:rPr>
          <w:rFonts w:ascii="Arial" w:hAnsi="Arial"/>
        </w:rPr>
        <w:t>3.</w:t>
      </w:r>
      <w:r>
        <w:rPr>
          <w:rFonts w:ascii="Arial" w:hAnsi="Arial"/>
          <w:b/>
        </w:rPr>
        <w:t xml:space="preserve"> </w:t>
      </w:r>
      <w:r>
        <w:rPr>
          <w:rFonts w:ascii="Arial" w:hAnsi="Arial"/>
        </w:rPr>
        <w:t>Il Tesoriere, in conformità al Principio applicato n. 10 della contabilità finanziaria, è tenuto ad una gestione unitaria delle risorse vincolate; conseguentemente le somme con vincolo sono gestite attraverso un’unica “scheda di evidenza.</w:t>
      </w:r>
    </w:p>
    <w:p>
      <w:pPr>
        <w:pStyle w:val="Normal"/>
        <w:jc w:val="both"/>
        <w:rPr>
          <w:rFonts w:ascii="Arial" w:hAnsi="Arial"/>
          <w:sz w:val="24"/>
        </w:rPr>
      </w:pPr>
      <w:r>
        <w:rPr>
          <w:rFonts w:ascii="Arial" w:hAnsi="Arial"/>
          <w:sz w:val="24"/>
        </w:rPr>
        <w:t>4.</w:t>
      </w:r>
      <w:r>
        <w:rPr>
          <w:rFonts w:ascii="Arial" w:hAnsi="Arial"/>
          <w:b/>
          <w:sz w:val="24"/>
        </w:rPr>
        <w:t xml:space="preserve"> </w:t>
      </w:r>
      <w:r>
        <w:rPr>
          <w:rFonts w:ascii="Arial" w:hAnsi="Arial"/>
          <w:sz w:val="24"/>
        </w:rPr>
        <w:t>Il Tesoriere, verificandosi i presupposti di cui al comma 1, attiva le somme a specifica destinazione, procedendo prioritariamente all’utilizzo di quelle giacenti sul conto di tesoreria.</w:t>
      </w:r>
    </w:p>
    <w:p>
      <w:pPr>
        <w:pStyle w:val="Normal"/>
        <w:jc w:val="both"/>
        <w:rPr>
          <w:rFonts w:ascii="Arial" w:hAnsi="Arial"/>
          <w:sz w:val="24"/>
        </w:rPr>
      </w:pPr>
      <w:r>
        <w:rPr>
          <w:rFonts w:ascii="Arial" w:hAnsi="Arial"/>
          <w:sz w:val="24"/>
        </w:rPr>
        <w:t xml:space="preserve">Il ripristino degli importi vincolati utilizzati per spese correnti ha luogo con priorità per quelli da ricostituire in contabilità speciale.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5. Il Tesoriere gestisce l’utilizzo delle somme a specifica destinazione uniformandosi ai criteri ed alle modalità prescritte dal Principio contabile applicato n. 10.2 e n. 10.3 concernente la contabilità finanziaria. L’Ente emette Mandati e Reversali a regolarizzazione delle carte contabili riguardanti l’utilizzo e la ricostituzione dei vincoli nei termini previsti dai predetti principi.</w:t>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14</w:t>
      </w:r>
    </w:p>
    <w:p>
      <w:pPr>
        <w:pStyle w:val="Normal"/>
        <w:jc w:val="center"/>
        <w:rPr>
          <w:rFonts w:ascii="Arial" w:hAnsi="Arial"/>
          <w:sz w:val="24"/>
          <w:u w:val="single"/>
        </w:rPr>
      </w:pPr>
      <w:r>
        <w:rPr>
          <w:rFonts w:ascii="Arial" w:hAnsi="Arial"/>
          <w:sz w:val="24"/>
          <w:u w:val="single"/>
        </w:rPr>
        <w:t>Gestione del servizio in pendenza di procedure di pignoramento</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1. Ai sensi dell'art. 159 del TUEL, non sono soggette ad esecuzione forzata, a pena di nullità rilevabile anche dal giudice, le somme di competenza degli Enti destinate al Pagamento delle spese ivi individuate.</w:t>
      </w:r>
    </w:p>
    <w:p>
      <w:pPr>
        <w:pStyle w:val="Normal"/>
        <w:jc w:val="both"/>
        <w:rPr>
          <w:rFonts w:ascii="Arial" w:hAnsi="Arial"/>
          <w:sz w:val="24"/>
        </w:rPr>
      </w:pPr>
      <w:r>
        <w:rPr>
          <w:rFonts w:ascii="Arial" w:hAnsi="Arial"/>
          <w:sz w:val="24"/>
        </w:rPr>
      </w:r>
    </w:p>
    <w:p>
      <w:pPr>
        <w:pStyle w:val="Normal"/>
        <w:widowControl w:val="false"/>
        <w:tabs>
          <w:tab w:val="clear" w:pos="708"/>
          <w:tab w:val="left" w:pos="198" w:leader="none"/>
        </w:tabs>
        <w:jc w:val="both"/>
        <w:rPr>
          <w:rFonts w:ascii="Arial" w:hAnsi="Arial" w:cs="Arial"/>
          <w:sz w:val="24"/>
        </w:rPr>
      </w:pPr>
      <w:r>
        <w:rPr>
          <w:rFonts w:ascii="Arial" w:hAnsi="Arial"/>
          <w:sz w:val="24"/>
        </w:rPr>
        <w:t xml:space="preserve">2. Per effetto della predetta normativa, l'Ente quantifica preventivamente gli importi delle somme destinate al Pagamento delle spese ivi previste, adottando apposita delibera semestrale, da notificarsi con immediatezza al Tesoriere. </w:t>
      </w:r>
      <w:r>
        <w:rPr>
          <w:rFonts w:cs="Arial" w:ascii="Arial" w:hAnsi="Arial"/>
          <w:sz w:val="24"/>
        </w:rPr>
        <w:t>La notifica di detta deliberazione non esime il Tesoriere dall’apporre blocco sulle eventuali somme disponibili, fermo rimanendo l’obbligo di precisare, nella dichiarazione resa quale soggetto terzo pignorato, sia la sussistenza della deliberazione di impignorabilità, sia la sussistenza di eventuali somme a specifica destinazione.</w:t>
      </w:r>
    </w:p>
    <w:p>
      <w:pPr>
        <w:pStyle w:val="Normal"/>
        <w:jc w:val="both"/>
        <w:rPr>
          <w:rFonts w:ascii="Arial" w:hAnsi="Arial"/>
          <w:sz w:val="24"/>
        </w:rPr>
      </w:pPr>
      <w:r>
        <w:rPr>
          <w:rFonts w:cs="Arial" w:ascii="Arial" w:hAnsi="Arial"/>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 e disponibile, o comunque a valere sulle prime entrate disponibili.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 xml:space="preserve">3. A fronte della suddetta delibera semestrale, per i Pagamenti di spese non comprese nella delibera stessa, l’Ente si fa carico di emettere i Mandati seguendo l’ordine cronologico delle fatture pervenute per il pagamento ovvero delle delibere di impegno. </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4. L'ordinanza di assegnazione ai creditori procedenti costituisce - ai fini del rendiconto della gestione - titolo di discarico dei Pagamenti effettuati dal Tesoriere a favore dei creditori stessi e ciò anche per eventuali altri oneri accessori conseguenti.</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15</w:t>
      </w:r>
    </w:p>
    <w:p>
      <w:pPr>
        <w:pStyle w:val="Normal"/>
        <w:jc w:val="center"/>
        <w:rPr>
          <w:rFonts w:ascii="Arial" w:hAnsi="Arial"/>
          <w:sz w:val="24"/>
          <w:u w:val="single"/>
        </w:rPr>
      </w:pPr>
      <w:r>
        <w:rPr>
          <w:rFonts w:ascii="Arial" w:hAnsi="Arial"/>
          <w:sz w:val="24"/>
          <w:u w:val="single"/>
        </w:rPr>
        <w:t>Tasso debitore e creditore</w:t>
      </w:r>
    </w:p>
    <w:p>
      <w:pPr>
        <w:pStyle w:val="Normal"/>
        <w:jc w:val="center"/>
        <w:rPr>
          <w:rFonts w:ascii="Arial" w:hAnsi="Arial"/>
          <w:b/>
          <w:b/>
          <w:sz w:val="24"/>
          <w:u w:val="single"/>
        </w:rPr>
      </w:pPr>
      <w:r>
        <w:rPr>
          <w:rFonts w:ascii="Arial" w:hAnsi="Arial"/>
          <w:b/>
          <w:sz w:val="24"/>
          <w:u w:val="single"/>
        </w:rPr>
      </w:r>
    </w:p>
    <w:p>
      <w:pPr>
        <w:pStyle w:val="Normal"/>
        <w:jc w:val="both"/>
        <w:rPr>
          <w:rFonts w:ascii="Arial" w:hAnsi="Arial"/>
          <w:sz w:val="24"/>
        </w:rPr>
      </w:pPr>
      <w:r>
        <w:rPr>
          <w:rFonts w:ascii="Arial" w:hAnsi="Arial"/>
          <w:sz w:val="24"/>
        </w:rPr>
        <w:t>1. Sulle anticipazioni ordinarie di tesoreria di cui al precedente art. 12, viene applicato:</w:t>
      </w:r>
    </w:p>
    <w:p>
      <w:pPr>
        <w:pStyle w:val="Normal"/>
        <w:jc w:val="both"/>
        <w:rPr>
          <w:rFonts w:ascii="Arial" w:hAnsi="Arial"/>
          <w:sz w:val="24"/>
        </w:rPr>
      </w:pPr>
      <w:r>
        <w:rPr>
          <w:rFonts w:ascii="Arial" w:hAnsi="Arial"/>
          <w:sz w:val="24"/>
        </w:rPr>
        <w:t>a - un tasso di interesse nella seguente misura ………., con  liquidazione annuale. L’Ente autorizza fin d’ora il Tesoriere ad addebitare gli interessi sul conto corrente ai sensi di quanto previsto dal DM n. 343 del 3 agosto 2016 (fermo restando che l’Ente potrà revocare detta autorizzazione in ogni momento, purché prima che il predetto addebito abbia avuto luogo), mettendo a disposizione dell’Ente l'apposito riassunto scalare. L'Ente emette al più presto i relativi Mandati. Nei periodi in cui il parametro dovesse assumere valori negativi, verrà valorizzato “0”;</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pPr>
        <w:pStyle w:val="Normal"/>
        <w:jc w:val="both"/>
        <w:rPr>
          <w:rFonts w:ascii="Arial" w:hAnsi="Arial"/>
          <w:sz w:val="24"/>
        </w:rPr>
      </w:pPr>
      <w:r>
        <w:rPr>
          <w:rFonts w:ascii="Arial" w:hAnsi="Arial"/>
          <w:sz w:val="24"/>
        </w:rPr>
      </w:r>
    </w:p>
    <w:p>
      <w:pPr>
        <w:pStyle w:val="Normal"/>
        <w:jc w:val="both"/>
        <w:rPr>
          <w:rFonts w:ascii="Arial" w:hAnsi="Arial" w:cs="Arial"/>
          <w:sz w:val="24"/>
          <w:szCs w:val="24"/>
        </w:rPr>
      </w:pPr>
      <w:r>
        <w:rPr>
          <w:rFonts w:ascii="Arial" w:hAnsi="Arial"/>
          <w:sz w:val="24"/>
        </w:rPr>
        <w:t>3. Sulle giacenze di cassa dell’Ente viene applicato un tasso di interesse nella seguente misura………………………, con liquidazione annuale. Il Tesoriere procede pertanto, di iniziativa, alla contabilizzazione degli interessi a credito, mettendo a disposizione dell’Ente l’apposito riassunto scalare. L’Ente emette al più presto le relative Reversali. Nei periodi in cui il parametro dovesse assumere valori negativi, verrà valorizzato “0”.</w:t>
      </w:r>
    </w:p>
    <w:p>
      <w:pPr>
        <w:pStyle w:val="Notaapidipagina"/>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16</w:t>
      </w:r>
    </w:p>
    <w:p>
      <w:pPr>
        <w:pStyle w:val="Normal"/>
        <w:jc w:val="center"/>
        <w:rPr>
          <w:rFonts w:ascii="Arial" w:hAnsi="Arial"/>
          <w:b/>
          <w:b/>
          <w:sz w:val="24"/>
          <w:u w:val="single"/>
        </w:rPr>
      </w:pPr>
      <w:r>
        <w:rPr>
          <w:rFonts w:ascii="Arial" w:hAnsi="Arial"/>
          <w:sz w:val="24"/>
          <w:u w:val="single"/>
        </w:rPr>
        <w:t>Resa del conto finanziario</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1. Il Tesoriere, entro i termini di legge di cui all’art. 226 del TUEL, rende all'Ente il “conto del tesoriere”, redatto su modello conforme a quello approvato con il D.lgs. n. 118/2011, corredato, solo per l’eventuale fase preventiva all’adozione dell’OPI, dalle Reversali e dai Mandati.</w:t>
      </w:r>
      <w:r>
        <w:rPr>
          <w:rFonts w:cs="Arial" w:ascii="Arial" w:hAnsi="Arial"/>
          <w:sz w:val="24"/>
        </w:rPr>
        <w:t xml:space="preserve"> La consegna di detta documentazione deve essere accompagnata da apposita lettera di trasmissione in duplice copia, una delle quali, datata e firmata, deve essere restituita dall’Ente al Tesoriere; in alternativa, la consegna può essere disposta in modalità elettronica.</w:t>
      </w:r>
    </w:p>
    <w:p>
      <w:pPr>
        <w:pStyle w:val="Normal"/>
        <w:jc w:val="both"/>
        <w:rPr>
          <w:rFonts w:ascii="Arial" w:hAnsi="Arial"/>
          <w:sz w:val="24"/>
        </w:rPr>
      </w:pPr>
      <w:r>
        <w:rPr>
          <w:rFonts w:ascii="Arial" w:hAnsi="Arial"/>
          <w:sz w:val="24"/>
        </w:rPr>
      </w:r>
    </w:p>
    <w:p>
      <w:pPr>
        <w:pStyle w:val="Normal"/>
        <w:widowControl w:val="false"/>
        <w:tabs>
          <w:tab w:val="clear" w:pos="708"/>
          <w:tab w:val="left" w:pos="198" w:leader="none"/>
        </w:tabs>
        <w:jc w:val="both"/>
        <w:rPr>
          <w:rFonts w:ascii="Arial" w:hAnsi="Arial"/>
          <w:sz w:val="24"/>
        </w:rPr>
      </w:pPr>
      <w:r>
        <w:rPr>
          <w:rFonts w:ascii="Arial" w:hAnsi="Arial"/>
          <w:sz w:val="24"/>
        </w:rPr>
        <w:t xml:space="preserve">2. L’Ente, entro i termini previsti dalla legge, invia il conto del Tesoriere alla competente Sezione giurisdizionale della Corte dei Conti e fornisce al Tesoriere copia della documentazione comprovante la trasmissione. </w:t>
      </w:r>
    </w:p>
    <w:p>
      <w:pPr>
        <w:pStyle w:val="Normal"/>
        <w:widowControl w:val="false"/>
        <w:tabs>
          <w:tab w:val="clear" w:pos="708"/>
          <w:tab w:val="left" w:pos="198" w:leader="none"/>
        </w:tabs>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Legge n. 20/1994.</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17</w:t>
      </w:r>
    </w:p>
    <w:p>
      <w:pPr>
        <w:pStyle w:val="Normal"/>
        <w:jc w:val="center"/>
        <w:rPr>
          <w:rFonts w:ascii="Arial" w:hAnsi="Arial"/>
          <w:sz w:val="24"/>
          <w:u w:val="single"/>
        </w:rPr>
      </w:pPr>
      <w:r>
        <w:rPr>
          <w:rFonts w:ascii="Arial" w:hAnsi="Arial"/>
          <w:sz w:val="24"/>
          <w:u w:val="single"/>
        </w:rPr>
        <w:t>Amministrazione titoli e valori in deposito – Gestione della liquidità</w:t>
      </w:r>
    </w:p>
    <w:p>
      <w:pPr>
        <w:pStyle w:val="Normal"/>
        <w:rPr>
          <w:rFonts w:ascii="Arial" w:hAnsi="Arial"/>
          <w:sz w:val="24"/>
          <w:u w:val="single"/>
        </w:rPr>
      </w:pPr>
      <w:r>
        <w:rPr>
          <w:rFonts w:ascii="Arial" w:hAnsi="Arial"/>
          <w:sz w:val="24"/>
          <w:u w:val="single"/>
        </w:rPr>
      </w:r>
    </w:p>
    <w:p>
      <w:pPr>
        <w:pStyle w:val="Normal"/>
        <w:jc w:val="both"/>
        <w:rPr>
          <w:rFonts w:ascii="Arial" w:hAnsi="Arial"/>
          <w:sz w:val="24"/>
        </w:rPr>
      </w:pPr>
      <w:r>
        <w:rPr>
          <w:rFonts w:ascii="Arial" w:hAnsi="Arial"/>
          <w:sz w:val="24"/>
        </w:rPr>
        <w:t>1. Il Tesoriere assume in custodia ed amministrazione, alle condizioni indicate in offerta, i titoli ed i valori di proprietà dell'Ente.</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Il Tesoriere custodisce ed amministra, altresì, i titoli ed i valori depositati da terzi per cauzione a favore dell'Ente.</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Per i prelievi e le restituzioni dei titoli si seguono le procedure indicate nel regolamento di contabilità dell'Ente o in altra normativa.</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4. Il Tesoriere, su richiesta dell’Ente, propone forme di miglioramento della redditività e/o investimenti che ottimizzino la gestione delle liquidità non sottoposte al regime di tesoreria unica, che garantiscano all’occorrenza la possibilità di disinvestimento e che, pur considerati gli oneri di estinzione anticipata, assicurino le migliori condizioni di mercato.</w:t>
      </w:r>
    </w:p>
    <w:p>
      <w:pPr>
        <w:pStyle w:val="Normal"/>
        <w:jc w:val="both"/>
        <w:rPr>
          <w:rFonts w:ascii="Arial" w:hAnsi="Arial"/>
          <w:sz w:val="24"/>
        </w:rPr>
      </w:pPr>
      <w:r>
        <w:rPr>
          <w:rFonts w:ascii="Arial" w:hAnsi="Arial"/>
          <w:sz w:val="24"/>
        </w:rPr>
        <w:t>La durata dei vincoli o degli investimenti deve, comunque, essere compresa nel periodo di vigenza della presente convenzione.</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18</w:t>
      </w:r>
    </w:p>
    <w:p>
      <w:pPr>
        <w:pStyle w:val="Normal"/>
        <w:jc w:val="center"/>
        <w:rPr>
          <w:rFonts w:ascii="Arial" w:hAnsi="Arial"/>
          <w:sz w:val="24"/>
          <w:u w:val="single"/>
        </w:rPr>
      </w:pPr>
      <w:r>
        <w:rPr>
          <w:rFonts w:ascii="Arial" w:hAnsi="Arial"/>
          <w:sz w:val="24"/>
          <w:u w:val="single"/>
        </w:rPr>
        <w:t>Corrispettivo e spese di gestione</w:t>
      </w:r>
    </w:p>
    <w:p>
      <w:pPr>
        <w:pStyle w:val="Normal"/>
        <w:jc w:val="center"/>
        <w:rPr>
          <w:rFonts w:ascii="Arial" w:hAnsi="Arial"/>
          <w:sz w:val="24"/>
          <w:u w:val="single"/>
        </w:rPr>
      </w:pPr>
      <w:r>
        <w:rPr>
          <w:rFonts w:ascii="Arial" w:hAnsi="Arial"/>
          <w:sz w:val="24"/>
          <w:u w:val="single"/>
        </w:rPr>
      </w:r>
    </w:p>
    <w:p>
      <w:pPr>
        <w:pStyle w:val="ListParagraph"/>
        <w:numPr>
          <w:ilvl w:val="0"/>
          <w:numId w:val="22"/>
        </w:numPr>
        <w:jc w:val="both"/>
        <w:rPr>
          <w:rFonts w:ascii="Arial" w:hAnsi="Arial"/>
          <w:sz w:val="24"/>
        </w:rPr>
      </w:pPr>
      <w:r>
        <w:rPr>
          <w:rFonts w:ascii="Arial" w:hAnsi="Arial"/>
          <w:sz w:val="24"/>
        </w:rPr>
        <w:t xml:space="preserve">Per il servizio di cui alla presente convenzione spetta al Tesoriere il seguente compenso annuo di €……., oltre IVA se dovuta. </w:t>
      </w:r>
    </w:p>
    <w:p>
      <w:pPr>
        <w:pStyle w:val="Normal"/>
        <w:jc w:val="both"/>
        <w:rPr>
          <w:rFonts w:ascii="Arial" w:hAnsi="Arial"/>
          <w:sz w:val="24"/>
        </w:rPr>
      </w:pPr>
      <w:r>
        <w:rPr>
          <w:rFonts w:ascii="Arial" w:hAnsi="Arial"/>
          <w:sz w:val="24"/>
        </w:rPr>
        <w:t>Il Tesoriere procede, pertanto, di iniziativa:</w:t>
      </w:r>
    </w:p>
    <w:p>
      <w:pPr>
        <w:pStyle w:val="Normal"/>
        <w:numPr>
          <w:ilvl w:val="0"/>
          <w:numId w:val="21"/>
        </w:numPr>
        <w:jc w:val="both"/>
        <w:rPr>
          <w:rFonts w:ascii="Arial" w:hAnsi="Arial"/>
          <w:sz w:val="24"/>
        </w:rPr>
      </w:pPr>
      <w:r>
        <w:rPr>
          <w:rFonts w:ascii="Arial" w:hAnsi="Arial"/>
          <w:sz w:val="24"/>
        </w:rPr>
        <w:t>all’emissione della fattura elettronica relativa al compenso pattuito e alla contestuale contabilizzazione. L'Ente emette il relativo Mandato entro trenta giorni dal ricevimento della fattura;</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2. Il compenso è comprensivo di ogni onere relativo a bonifici disposti sia su conti correnti intrattenuti presso l’istituto bancario di tesoreria, sia su conti correnti intrattenuti presso altri istituti di credito. Il compenso è altresì comprensivo di eventuali spese postali, spese per stampati, diritti e commissioni.</w:t>
      </w:r>
    </w:p>
    <w:p>
      <w:pPr>
        <w:pStyle w:val="Normal"/>
        <w:jc w:val="both"/>
        <w:rPr>
          <w:rFonts w:ascii="Arial" w:hAnsi="Arial"/>
          <w:sz w:val="24"/>
        </w:rPr>
      </w:pPr>
      <w:r>
        <w:rPr>
          <w:rFonts w:ascii="Arial" w:hAnsi="Arial"/>
          <w:sz w:val="24"/>
        </w:rPr>
      </w:r>
    </w:p>
    <w:p>
      <w:pPr>
        <w:pStyle w:val="Normal"/>
        <w:jc w:val="both"/>
        <w:rPr>
          <w:rFonts w:ascii="Arial" w:hAnsi="Arial"/>
          <w:sz w:val="24"/>
        </w:rPr>
      </w:pPr>
      <w:r>
        <w:rPr>
          <w:rFonts w:ascii="Arial" w:hAnsi="Arial"/>
          <w:sz w:val="24"/>
        </w:rPr>
        <w:t>3. Per le operazioni ed i servizi accessori non espressamente previsti nella presente convenzione l’Ente corrisponde al Tesoriere i diritti e le commissioni riportate nei fogli informativi di riferimento che verranno approvati con specifico atto del Comune.</w:t>
      </w:r>
    </w:p>
    <w:p>
      <w:pPr>
        <w:pStyle w:val="Normal"/>
        <w:rPr>
          <w:rFonts w:ascii="Arial" w:hAnsi="Arial"/>
          <w:sz w:val="24"/>
        </w:rPr>
      </w:pPr>
      <w:r>
        <w:rPr>
          <w:rFonts w:ascii="Arial" w:hAnsi="Arial"/>
          <w:sz w:val="24"/>
        </w:rPr>
      </w:r>
    </w:p>
    <w:p>
      <w:pPr>
        <w:pStyle w:val="Normal"/>
        <w:jc w:val="both"/>
        <w:rPr>
          <w:rFonts w:ascii="Arial" w:hAnsi="Arial"/>
          <w:sz w:val="24"/>
        </w:rPr>
      </w:pPr>
      <w:r>
        <w:rPr>
          <w:rFonts w:ascii="Arial" w:hAnsi="Arial"/>
          <w:sz w:val="24"/>
        </w:rPr>
        <w:t>4. Le Parti si danno reciprocamente atto che, a fronte di interventi legislativi che incidano sugli equilibri della presente convenzione, i corrispettivi ivi indicati saranno oggetto di rinegoziazione. In caso di mancato accordo tra le Parti, la convenzione si intende automaticamente risolta, ferma restando l’applicazione dell’art. 21, comma 3.</w:t>
      </w:r>
    </w:p>
    <w:p>
      <w:pPr>
        <w:pStyle w:val="Normal"/>
        <w:jc w:val="both"/>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19</w:t>
      </w:r>
    </w:p>
    <w:p>
      <w:pPr>
        <w:pStyle w:val="Normal"/>
        <w:jc w:val="center"/>
        <w:rPr>
          <w:rFonts w:ascii="Arial" w:hAnsi="Arial"/>
          <w:b/>
          <w:b/>
          <w:sz w:val="24"/>
          <w:u w:val="single"/>
        </w:rPr>
      </w:pPr>
      <w:r>
        <w:rPr>
          <w:rFonts w:ascii="Arial" w:hAnsi="Arial"/>
          <w:sz w:val="24"/>
          <w:u w:val="single"/>
        </w:rPr>
        <w:t>Garanzie per la regolare gestione del servizio</w:t>
      </w:r>
    </w:p>
    <w:p>
      <w:pPr>
        <w:pStyle w:val="Normal"/>
        <w:rPr>
          <w:rFonts w:ascii="Arial" w:hAnsi="Arial"/>
          <w:b/>
          <w:b/>
          <w:sz w:val="24"/>
          <w:u w:val="single"/>
        </w:rPr>
      </w:pPr>
      <w:r>
        <w:rPr>
          <w:rFonts w:ascii="Arial" w:hAnsi="Arial"/>
          <w:b/>
          <w:sz w:val="24"/>
          <w:u w:val="single"/>
        </w:rPr>
      </w:r>
    </w:p>
    <w:p>
      <w:pPr>
        <w:pStyle w:val="BodyText2"/>
        <w:rPr/>
      </w:pPr>
      <w:r>
        <w:rPr/>
        <w:t>1. Il Tesoriere, a norma dell'art. 211 del TUEL, risponde con tutte le proprie attività e con il proprio patrimonio di ogni somma e valore dallo stesso trattenuti in deposito per conto dell'Ente, nonché di tutte le operazioni comunque attinenti al servizio di tesoreria.</w:t>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20</w:t>
      </w:r>
    </w:p>
    <w:p>
      <w:pPr>
        <w:pStyle w:val="Normal"/>
        <w:jc w:val="center"/>
        <w:rPr>
          <w:rFonts w:ascii="Arial" w:hAnsi="Arial"/>
          <w:sz w:val="24"/>
          <w:u w:val="single"/>
        </w:rPr>
      </w:pPr>
      <w:r>
        <w:rPr>
          <w:rFonts w:ascii="Arial" w:hAnsi="Arial"/>
          <w:sz w:val="24"/>
          <w:u w:val="single"/>
        </w:rPr>
        <w:t>Imposta di bollo</w:t>
      </w:r>
    </w:p>
    <w:p>
      <w:pPr>
        <w:pStyle w:val="Normal"/>
        <w:rPr>
          <w:rFonts w:ascii="Arial" w:hAnsi="Arial"/>
          <w:sz w:val="24"/>
        </w:rPr>
      </w:pPr>
      <w:r>
        <w:rPr>
          <w:rFonts w:ascii="Arial" w:hAnsi="Arial"/>
          <w:sz w:val="24"/>
        </w:rPr>
      </w:r>
    </w:p>
    <w:p>
      <w:pPr>
        <w:pStyle w:val="BodyText2"/>
        <w:rPr/>
      </w:pPr>
      <w:r>
        <w:rPr/>
        <w:t>1. L'Ente, con osservanza delle leggi sul bollo, deve indicare su tutte le Operazioni di Pagamento l’assoggettamento o meno all’imposta di bollo di quietanza. Pertanto, sia le Reversali che i Mandati devono recare la predetta indicazione, così come indicato ai precedenti artt. 6 e 7.</w:t>
      </w:r>
    </w:p>
    <w:p>
      <w:pPr>
        <w:pStyle w:val="BodyText2"/>
        <w:rPr/>
      </w:pPr>
      <w:r>
        <w:rPr/>
      </w:r>
    </w:p>
    <w:p>
      <w:pPr>
        <w:pStyle w:val="Normal"/>
        <w:jc w:val="both"/>
        <w:rPr>
          <w:rFonts w:ascii="Arial" w:hAnsi="Arial" w:cs="Arial"/>
          <w:sz w:val="24"/>
          <w:szCs w:val="24"/>
        </w:rPr>
      </w:pPr>
      <w:r>
        <w:rPr>
          <w:rFonts w:cs="Arial" w:ascii="Arial" w:hAnsi="Arial"/>
          <w:sz w:val="24"/>
          <w:szCs w:val="24"/>
        </w:rPr>
        <w:t>2. Le Parti si danno reciprocamente atto che, poiché le procedure informatiche inerenti all’OPI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21</w:t>
      </w:r>
    </w:p>
    <w:p>
      <w:pPr>
        <w:pStyle w:val="Normal"/>
        <w:jc w:val="center"/>
        <w:rPr>
          <w:rFonts w:ascii="Arial" w:hAnsi="Arial"/>
          <w:b/>
          <w:b/>
          <w:sz w:val="24"/>
          <w:u w:val="single"/>
        </w:rPr>
      </w:pPr>
      <w:r>
        <w:rPr>
          <w:rFonts w:ascii="Arial" w:hAnsi="Arial"/>
          <w:sz w:val="24"/>
          <w:u w:val="single"/>
        </w:rPr>
        <w:t>Durata della convenzione</w:t>
      </w:r>
    </w:p>
    <w:p>
      <w:pPr>
        <w:pStyle w:val="Normal"/>
        <w:rPr>
          <w:rFonts w:ascii="Arial" w:hAnsi="Arial"/>
          <w:b/>
          <w:b/>
          <w:sz w:val="24"/>
          <w:u w:val="single"/>
        </w:rPr>
      </w:pPr>
      <w:r>
        <w:rPr>
          <w:rFonts w:ascii="Arial" w:hAnsi="Arial"/>
          <w:b/>
          <w:sz w:val="24"/>
          <w:u w:val="single"/>
        </w:rPr>
      </w:r>
    </w:p>
    <w:p>
      <w:pPr>
        <w:pStyle w:val="BodyText2"/>
        <w:numPr>
          <w:ilvl w:val="0"/>
          <w:numId w:val="0"/>
        </w:numPr>
        <w:shd w:val="clear" w:color="auto" w:fill="FFFFFF"/>
        <w:ind w:left="0" w:hanging="0"/>
        <w:rPr/>
      </w:pPr>
      <w:r>
        <w:rPr/>
        <w:t>1. La presente convenzione ha durata dal ……al …… con possibilità di eventuale rinnovo, alle medesime condizioni, ricorrendone i presupposti amministrativi e normativi.</w:t>
      </w:r>
    </w:p>
    <w:p>
      <w:pPr>
        <w:pStyle w:val="BodyText2"/>
        <w:rPr/>
      </w:pPr>
      <w:r>
        <w:rPr/>
      </w:r>
    </w:p>
    <w:p>
      <w:pPr>
        <w:pStyle w:val="BodyText2"/>
        <w:rPr>
          <w:highlight w:val="lightGray"/>
        </w:rPr>
      </w:pPr>
      <w:r>
        <w:rPr/>
        <w:t>2. Nelle ipotesi in cui alla scadenza della convenzione (ovvero scaduti i termini della proroga di cui al precedente comma) non sia stato individuato dall’Ente, per qualsiasi ragione, un nuovo soggetto cui affidare il servizio di tesoreria, il tesoriere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tesoriere subentrante siano applicate le condizioni economiche indicate nei fogli informativi di detti servizi/prodotti, come nel tempo aggiornati.</w:t>
      </w:r>
    </w:p>
    <w:p>
      <w:pPr>
        <w:pStyle w:val="BodyText2"/>
        <w:rPr>
          <w:highlight w:val="lightGray"/>
        </w:rPr>
      </w:pPr>
      <w:r>
        <w:rPr>
          <w:highlight w:val="lightGray"/>
        </w:rPr>
      </w:r>
    </w:p>
    <w:p>
      <w:pPr>
        <w:pStyle w:val="BodyText2"/>
        <w:rPr>
          <w:highlight w:val="lightGray"/>
        </w:rPr>
      </w:pPr>
      <w:r>
        <w:rPr>
          <w:highlight w:val="lightGray"/>
        </w:rPr>
      </w:r>
    </w:p>
    <w:p>
      <w:pPr>
        <w:pStyle w:val="BodyText2"/>
        <w:rPr>
          <w:highlight w:val="lightGray"/>
        </w:rPr>
      </w:pPr>
      <w:r>
        <w:rPr>
          <w:highlight w:val="lightGray"/>
        </w:rPr>
      </w:r>
    </w:p>
    <w:p>
      <w:pPr>
        <w:pStyle w:val="BodyText2"/>
        <w:rPr>
          <w:highlight w:val="lightGray"/>
        </w:rPr>
      </w:pPr>
      <w:r>
        <w:rPr>
          <w:highlight w:val="lightGray"/>
        </w:rPr>
      </w:r>
    </w:p>
    <w:p>
      <w:pPr>
        <w:pStyle w:val="Normal"/>
        <w:jc w:val="center"/>
        <w:rPr>
          <w:rFonts w:ascii="Arial" w:hAnsi="Arial"/>
          <w:sz w:val="24"/>
          <w:u w:val="single"/>
        </w:rPr>
      </w:pPr>
      <w:r>
        <w:rPr>
          <w:rFonts w:ascii="Arial" w:hAnsi="Arial"/>
          <w:sz w:val="24"/>
          <w:u w:val="single"/>
        </w:rPr>
        <w:t>Art. 22</w:t>
      </w:r>
    </w:p>
    <w:p>
      <w:pPr>
        <w:pStyle w:val="Normal"/>
        <w:jc w:val="center"/>
        <w:rPr>
          <w:rFonts w:ascii="Arial" w:hAnsi="Arial"/>
          <w:b/>
          <w:b/>
          <w:sz w:val="24"/>
          <w:u w:val="single"/>
        </w:rPr>
      </w:pPr>
      <w:r>
        <w:rPr>
          <w:rFonts w:ascii="Arial" w:hAnsi="Arial"/>
          <w:sz w:val="24"/>
          <w:u w:val="single"/>
        </w:rPr>
        <w:t>Spese di stipula e di registrazione della convenzione</w:t>
      </w:r>
    </w:p>
    <w:p>
      <w:pPr>
        <w:pStyle w:val="Normal"/>
        <w:rPr>
          <w:rFonts w:ascii="Arial" w:hAnsi="Arial"/>
          <w:b/>
          <w:b/>
          <w:sz w:val="24"/>
          <w:u w:val="single"/>
        </w:rPr>
      </w:pPr>
      <w:r>
        <w:rPr>
          <w:rFonts w:ascii="Arial" w:hAnsi="Arial"/>
          <w:b/>
          <w:sz w:val="24"/>
          <w:u w:val="single"/>
        </w:rPr>
      </w:r>
    </w:p>
    <w:p>
      <w:pPr>
        <w:pStyle w:val="Normal"/>
        <w:jc w:val="both"/>
        <w:rPr>
          <w:rFonts w:ascii="Arial" w:hAnsi="Arial"/>
          <w:sz w:val="24"/>
        </w:rPr>
      </w:pPr>
      <w:r>
        <w:rPr>
          <w:rFonts w:ascii="Arial" w:hAnsi="Arial"/>
          <w:sz w:val="24"/>
        </w:rPr>
        <w:t>1. Le spese di stipulazione della presente convenzione ed ogni altra conseguente sono a carico del tesoriere affidatario. Agli effetti della registrazione, si applica il combinato disposto di cui agli artt. 5 e 40 del D.P.R. n. 131/1986.</w:t>
      </w:r>
    </w:p>
    <w:p>
      <w:pPr>
        <w:pStyle w:val="Normal"/>
        <w:jc w:val="both"/>
        <w:rPr>
          <w:rFonts w:ascii="Arial" w:hAnsi="Arial"/>
          <w:sz w:val="24"/>
        </w:rPr>
      </w:pPr>
      <w:r>
        <w:rPr>
          <w:rFonts w:ascii="Arial" w:hAnsi="Arial"/>
          <w:sz w:val="24"/>
        </w:rPr>
      </w:r>
    </w:p>
    <w:p>
      <w:pPr>
        <w:pStyle w:val="ListParagraph"/>
        <w:numPr>
          <w:ilvl w:val="0"/>
          <w:numId w:val="22"/>
        </w:numPr>
        <w:tabs>
          <w:tab w:val="clear" w:pos="708"/>
          <w:tab w:val="left" w:pos="284" w:leader="none"/>
        </w:tabs>
        <w:ind w:left="0" w:hanging="0"/>
        <w:jc w:val="both"/>
        <w:rPr>
          <w:rFonts w:ascii="Arial" w:hAnsi="Arial"/>
          <w:sz w:val="24"/>
        </w:rPr>
      </w:pPr>
      <w:r>
        <w:rPr>
          <w:rFonts w:ascii="Arial" w:hAnsi="Arial"/>
          <w:sz w:val="24"/>
        </w:rPr>
        <w:t>Pertanto, trattandosi di scrittura privata non autenticata nelle firme e relativa  a prestazione di servizi soggetti ad IVA, la registrazione verrà effettuata solo in caso d’uso a cura e spese della parte interessata.</w:t>
      </w:r>
    </w:p>
    <w:p>
      <w:pPr>
        <w:pStyle w:val="Normal"/>
        <w:rPr>
          <w:rFonts w:ascii="Arial" w:hAnsi="Arial"/>
          <w:sz w:val="24"/>
        </w:rPr>
      </w:pPr>
      <w:r>
        <w:rPr>
          <w:rFonts w:ascii="Arial" w:hAnsi="Arial"/>
          <w:sz w:val="24"/>
        </w:rPr>
      </w:r>
    </w:p>
    <w:p>
      <w:pPr>
        <w:pStyle w:val="ListParagraph"/>
        <w:numPr>
          <w:ilvl w:val="0"/>
          <w:numId w:val="22"/>
        </w:numPr>
        <w:tabs>
          <w:tab w:val="clear" w:pos="708"/>
          <w:tab w:val="left" w:pos="284" w:leader="none"/>
        </w:tabs>
        <w:ind w:left="0" w:hanging="0"/>
        <w:jc w:val="both"/>
        <w:rPr>
          <w:rFonts w:ascii="Arial" w:hAnsi="Arial"/>
          <w:sz w:val="24"/>
        </w:rPr>
      </w:pPr>
      <w:r>
        <w:rPr>
          <w:rFonts w:ascii="Arial" w:hAnsi="Arial"/>
          <w:sz w:val="24"/>
        </w:rPr>
        <w:t>La stipula della convenzione può aver luogo anche tramite modalità informatiche, con apposizione della firma digitale da remoto e inoltro tramite PEC.</w:t>
      </w:r>
    </w:p>
    <w:p>
      <w:pPr>
        <w:pStyle w:val="ListParagraph"/>
        <w:ind w:left="0" w:hanging="0"/>
        <w:rPr>
          <w:rFonts w:ascii="Arial" w:hAnsi="Arial"/>
          <w:sz w:val="24"/>
        </w:rPr>
      </w:pPr>
      <w:r>
        <w:rPr>
          <w:rFonts w:ascii="Arial" w:hAnsi="Arial"/>
          <w:sz w:val="24"/>
        </w:rPr>
      </w:r>
    </w:p>
    <w:p>
      <w:pPr>
        <w:pStyle w:val="ListParagraph"/>
        <w:numPr>
          <w:ilvl w:val="0"/>
          <w:numId w:val="22"/>
        </w:numPr>
        <w:tabs>
          <w:tab w:val="clear" w:pos="708"/>
          <w:tab w:val="left" w:pos="284" w:leader="none"/>
        </w:tabs>
        <w:ind w:left="0" w:hanging="0"/>
        <w:jc w:val="both"/>
        <w:rPr>
          <w:rFonts w:ascii="Arial" w:hAnsi="Arial"/>
          <w:sz w:val="24"/>
        </w:rPr>
      </w:pPr>
      <w:r>
        <w:rPr>
          <w:rFonts w:ascii="Arial" w:hAnsi="Arial"/>
          <w:sz w:val="24"/>
        </w:rPr>
        <w:t xml:space="preserve">L’imposta di bollo viene versata, nell’importo di € …………….., dal tesorerie mediante contrassegni che vengono applicati sulla copia analogica depositata presso l’Ente.  </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rPr>
      </w:pPr>
      <w:r>
        <w:rPr>
          <w:rFonts w:ascii="Arial" w:hAnsi="Arial"/>
          <w:sz w:val="24"/>
          <w:u w:val="single"/>
        </w:rPr>
        <w:t xml:space="preserve">Art. 23 </w:t>
      </w:r>
    </w:p>
    <w:p>
      <w:pPr>
        <w:pStyle w:val="Normal"/>
        <w:jc w:val="center"/>
        <w:rPr>
          <w:rFonts w:ascii="Arial" w:hAnsi="Arial"/>
          <w:sz w:val="24"/>
          <w:u w:val="single"/>
        </w:rPr>
      </w:pPr>
      <w:r>
        <w:rPr>
          <w:rFonts w:ascii="Arial" w:hAnsi="Arial"/>
          <w:sz w:val="24"/>
          <w:u w:val="single"/>
        </w:rPr>
        <w:t>Trattamento dei dati personali</w:t>
      </w:r>
    </w:p>
    <w:p>
      <w:pPr>
        <w:pStyle w:val="Normal"/>
        <w:jc w:val="center"/>
        <w:rPr>
          <w:rFonts w:ascii="Arial" w:hAnsi="Arial"/>
          <w:sz w:val="24"/>
          <w:u w:val="single"/>
        </w:rPr>
      </w:pPr>
      <w:r>
        <w:rPr>
          <w:rFonts w:ascii="Arial" w:hAnsi="Arial"/>
          <w:sz w:val="24"/>
          <w:u w:val="single"/>
        </w:rPr>
      </w:r>
    </w:p>
    <w:p>
      <w:pPr>
        <w:pStyle w:val="Normal"/>
        <w:jc w:val="both"/>
        <w:rPr>
          <w:rFonts w:ascii="Arial" w:hAnsi="Arial"/>
          <w:sz w:val="24"/>
        </w:rPr>
      </w:pPr>
      <w:r>
        <w:rPr>
          <w:rFonts w:ascii="Arial" w:hAnsi="Arial"/>
          <w:sz w:val="24"/>
        </w:rPr>
        <w:t>1. 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pPr>
        <w:pStyle w:val="Normal"/>
        <w:jc w:val="both"/>
        <w:rPr>
          <w:rFonts w:ascii="Arial" w:hAnsi="Arial"/>
          <w:sz w:val="24"/>
        </w:rPr>
      </w:pPr>
      <w:r>
        <w:rPr>
          <w:rFonts w:ascii="Arial" w:hAnsi="Arial"/>
          <w:sz w:val="24"/>
        </w:rPr>
        <w:t> </w:t>
      </w:r>
    </w:p>
    <w:p>
      <w:pPr>
        <w:pStyle w:val="Normal"/>
        <w:widowControl w:val="false"/>
        <w:jc w:val="both"/>
        <w:rPr>
          <w:rFonts w:ascii="Arial" w:hAnsi="Arial"/>
          <w:sz w:val="24"/>
        </w:rPr>
      </w:pPr>
      <w:r>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 I dati personali dei dipendenti e degli amministratori acquisiti nell’ambito della sottoscrizione o esecuzione del presente contratto saranno trattati dalle Parti in formato elettronico e/o cartaceo, esclusivamente per le finalità e con le modalità previste dal UE 679/2016 GDPR e dalle normative applicabili in materia privacy e, in ogni caso, in modo tale da garantirne la riservatezza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rPr>
      </w:pPr>
      <w:r>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pPr>
        <w:pStyle w:val="Normal"/>
        <w:jc w:val="both"/>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t>Art 24</w:t>
      </w:r>
    </w:p>
    <w:p>
      <w:pPr>
        <w:pStyle w:val="Normal"/>
        <w:jc w:val="center"/>
        <w:rPr>
          <w:rFonts w:ascii="Arial" w:hAnsi="Arial"/>
          <w:sz w:val="24"/>
          <w:u w:val="single"/>
        </w:rPr>
      </w:pPr>
      <w:r>
        <w:rPr>
          <w:rFonts w:ascii="Arial" w:hAnsi="Arial"/>
          <w:sz w:val="24"/>
          <w:u w:val="single"/>
        </w:rPr>
        <w:t>Tracciabilità dei flussi finanziari</w:t>
      </w:r>
    </w:p>
    <w:p>
      <w:pPr>
        <w:pStyle w:val="BodyText2"/>
        <w:rPr/>
      </w:pPr>
      <w:r>
        <w:rPr/>
      </w:r>
    </w:p>
    <w:p>
      <w:pPr>
        <w:pStyle w:val="BodyText2"/>
        <w:rPr/>
      </w:pPr>
      <w:r>
        <w:rPr/>
        <w:t>1. L’Ente e il Tesoriere si conformano alla disciplina di cui all’art. 3 della Legge n. 136/2010, tenuto conto della Determinazione n. 4 del 7 luglio 2011 dell’ANAC – Autorità Nazionale Anti Corruzione (già AVCP - Autorità della Vigilanza sui Contratti Pubblici) paragrafo 4.2, avente ad oggetto le Linee Guida sulla tracciabilità dei flussi finanziari. Ne consegue che gli obblighi di tracciabilità sono assolti con l’acquisizione del CIG al momento dell’avvio della procedura di affidamento.</w:t>
      </w:r>
    </w:p>
    <w:p>
      <w:pPr>
        <w:pStyle w:val="Normal"/>
        <w:jc w:val="center"/>
        <w:rPr>
          <w:rFonts w:ascii="Arial" w:hAnsi="Arial"/>
          <w:sz w:val="24"/>
          <w:u w:val="single"/>
        </w:rPr>
      </w:pPr>
      <w:r>
        <w:rPr>
          <w:rFonts w:ascii="Arial" w:hAnsi="Arial"/>
          <w:sz w:val="24"/>
          <w:u w:val="single"/>
        </w:rPr>
        <w:t>Art. 25</w:t>
      </w:r>
    </w:p>
    <w:p>
      <w:pPr>
        <w:pStyle w:val="Normal"/>
        <w:jc w:val="center"/>
        <w:rPr>
          <w:rFonts w:ascii="Arial" w:hAnsi="Arial"/>
          <w:sz w:val="24"/>
          <w:u w:val="single"/>
        </w:rPr>
      </w:pPr>
      <w:r>
        <w:rPr>
          <w:rFonts w:ascii="Arial" w:hAnsi="Arial"/>
          <w:sz w:val="24"/>
          <w:u w:val="single"/>
        </w:rPr>
        <w:t>Rinvio</w:t>
      </w:r>
    </w:p>
    <w:p>
      <w:pPr>
        <w:pStyle w:val="Normal"/>
        <w:rPr>
          <w:rFonts w:ascii="Arial" w:hAnsi="Arial"/>
          <w:b/>
          <w:b/>
          <w:sz w:val="24"/>
          <w:u w:val="single"/>
        </w:rPr>
      </w:pPr>
      <w:r>
        <w:rPr>
          <w:rFonts w:ascii="Arial" w:hAnsi="Arial"/>
          <w:b/>
          <w:sz w:val="24"/>
          <w:u w:val="single"/>
        </w:rPr>
      </w:r>
    </w:p>
    <w:p>
      <w:pPr>
        <w:pStyle w:val="BodyText2"/>
        <w:rPr/>
      </w:pPr>
      <w:r>
        <w:rPr/>
        <w:t>1. Per quanto non previsto dalla presente convenzione, si fa rinvio alla legge ed ai regolamenti che disciplinano la materia.</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jc w:val="center"/>
        <w:rPr>
          <w:rFonts w:ascii="Arial" w:hAnsi="Arial"/>
          <w:sz w:val="24"/>
          <w:u w:val="single"/>
        </w:rPr>
      </w:pPr>
      <w:r>
        <w:rPr>
          <w:rFonts w:ascii="Arial" w:hAnsi="Arial"/>
          <w:sz w:val="24"/>
          <w:u w:val="single"/>
        </w:rPr>
      </w:r>
    </w:p>
    <w:p>
      <w:pPr>
        <w:pStyle w:val="Normal"/>
        <w:jc w:val="center"/>
        <w:rPr>
          <w:rFonts w:ascii="Arial" w:hAnsi="Arial"/>
          <w:sz w:val="24"/>
          <w:u w:val="single"/>
        </w:rPr>
      </w:pPr>
      <w:r>
        <w:rPr>
          <w:rFonts w:ascii="Arial" w:hAnsi="Arial"/>
          <w:sz w:val="24"/>
          <w:u w:val="single"/>
        </w:rPr>
        <w:t>Art. 26</w:t>
      </w:r>
    </w:p>
    <w:p>
      <w:pPr>
        <w:pStyle w:val="Normal"/>
        <w:jc w:val="center"/>
        <w:rPr>
          <w:rFonts w:ascii="Arial" w:hAnsi="Arial"/>
          <w:sz w:val="24"/>
          <w:u w:val="single"/>
        </w:rPr>
      </w:pPr>
      <w:r>
        <w:rPr>
          <w:rFonts w:ascii="Arial" w:hAnsi="Arial"/>
          <w:sz w:val="24"/>
          <w:u w:val="single"/>
        </w:rPr>
        <w:t>Domicilio delle parti e controversie</w:t>
      </w:r>
    </w:p>
    <w:p>
      <w:pPr>
        <w:pStyle w:val="Normal"/>
        <w:rPr>
          <w:rFonts w:ascii="Arial" w:hAnsi="Arial"/>
          <w:sz w:val="24"/>
          <w:u w:val="single"/>
        </w:rPr>
      </w:pPr>
      <w:r>
        <w:rPr>
          <w:rFonts w:ascii="Arial" w:hAnsi="Arial"/>
          <w:sz w:val="24"/>
          <w:u w:val="single"/>
        </w:rPr>
      </w:r>
    </w:p>
    <w:p>
      <w:pPr>
        <w:pStyle w:val="BodyText2"/>
        <w:rPr/>
      </w:pPr>
      <w:r>
        <w:rPr/>
        <w:t>1. Per gli effetti della presente convenzione e per tutte le conseguenze dalla stessa derivanti, l'Ente e il Tesoriere eleggono il proprio domicilio presso le rispettive sedi indicate nel preambolo della presente convenzione. Le comunicazioni tra le Parti hanno luogo con l’utilizzo della PEC.</w:t>
      </w:r>
    </w:p>
    <w:p>
      <w:pPr>
        <w:pStyle w:val="BodyText2"/>
        <w:rPr/>
      </w:pPr>
      <w:r>
        <w:rPr/>
        <w:t>2. Per ogni controversia che dovesse insorgere nell’applicazione della presente convenzione, il Foro competente deve intendersi quello di Macerata.</w:t>
      </w:r>
      <w:bookmarkStart w:id="0" w:name="_GoBack"/>
      <w:bookmarkEnd w:id="0"/>
    </w:p>
    <w:p>
      <w:pPr>
        <w:pStyle w:val="BodyText2"/>
        <w:rPr/>
      </w:pPr>
      <w:r>
        <w:rPr/>
      </w:r>
    </w:p>
    <w:p>
      <w:pPr>
        <w:pStyle w:val="Normal"/>
        <w:rPr>
          <w:rFonts w:ascii="Arial" w:hAnsi="Arial"/>
          <w:sz w:val="24"/>
        </w:rPr>
      </w:pPr>
      <w:r>
        <w:rPr>
          <w:rFonts w:ascii="Arial" w:hAnsi="Arial"/>
          <w:sz w:val="24"/>
        </w:rPr>
        <w:t xml:space="preserve">Letto, approvato e sottoscritto. </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t>……</w:t>
      </w:r>
      <w:r>
        <w:rPr>
          <w:rFonts w:ascii="Arial" w:hAnsi="Arial"/>
          <w:sz w:val="24"/>
        </w:rPr>
        <w:t>.. lì……..…..</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t xml:space="preserve">           </w:t>
      </w:r>
      <w:r>
        <w:rPr>
          <w:rFonts w:ascii="Arial" w:hAnsi="Arial"/>
          <w:sz w:val="24"/>
        </w:rPr>
        <w:t>p. Il Tesoriere</w:t>
        <w:tab/>
        <w:tab/>
        <w:tab/>
        <w:tab/>
        <w:tab/>
        <w:tab/>
        <w:t xml:space="preserve">    p. Il Comune di </w:t>
      </w:r>
    </w:p>
    <w:p>
      <w:pPr>
        <w:pStyle w:val="Normal"/>
        <w:rPr>
          <w:rFonts w:ascii="Arial" w:hAnsi="Arial"/>
          <w:sz w:val="24"/>
        </w:rPr>
      </w:pPr>
      <w:r>
        <w:rPr>
          <w:rFonts w:ascii="Arial" w:hAnsi="Arial"/>
          <w:sz w:val="24"/>
        </w:rPr>
        <w:t xml:space="preserve">                                                                                                </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t xml:space="preserve">        </w:t>
      </w:r>
      <w:r>
        <w:rPr>
          <w:rFonts w:ascii="Arial" w:hAnsi="Arial"/>
          <w:sz w:val="24"/>
        </w:rPr>
        <w:t>firmato digitalmente                                                          firmato digitalmente</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sz w:val="24"/>
        </w:rPr>
      </w:r>
    </w:p>
    <w:p>
      <w:pPr>
        <w:pStyle w:val="Normal"/>
        <w:rPr>
          <w:rFonts w:ascii="Arial" w:hAnsi="Arial"/>
          <w:sz w:val="24"/>
        </w:rPr>
      </w:pPr>
      <w:r>
        <w:rPr/>
      </w:r>
    </w:p>
    <w:sectPr>
      <w:footerReference w:type="default" r:id="rId2"/>
      <w:type w:val="nextPage"/>
      <w:pgSz w:w="11906" w:h="16838"/>
      <w:pgMar w:left="851" w:right="849" w:header="0" w:top="568" w:footer="8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NewRoman">
    <w:charset w:val="00"/>
    <w:family w:val="roman"/>
    <w:pitch w:val="variable"/>
  </w:font>
  <w:font w:name="Gudea">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2133435"/>
    </w:sdtPr>
    <w:sdtContent>
      <w:p>
        <w:pPr>
          <w:pStyle w:val="Pidipagina"/>
          <w:jc w:val="right"/>
          <w:rPr/>
        </w:pPr>
        <w:r>
          <w:rPr/>
          <w:fldChar w:fldCharType="begin"/>
        </w:r>
        <w:r>
          <w:rPr/>
          <w:instrText> PAGE </w:instrText>
        </w:r>
        <w:r>
          <w:rPr/>
          <w:fldChar w:fldCharType="separate"/>
        </w:r>
        <w:r>
          <w:rPr/>
          <w:t>13</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Block Text"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4f3e"/>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14:ligatures w14:val="none"/>
    </w:rPr>
  </w:style>
  <w:style w:type="paragraph" w:styleId="Titolo1">
    <w:name w:val="Heading 1"/>
    <w:basedOn w:val="Normal"/>
    <w:next w:val="Normal"/>
    <w:link w:val="Titolo1Carattere"/>
    <w:qFormat/>
    <w:rsid w:val="000e60f3"/>
    <w:pPr>
      <w:keepNext w:val="true"/>
      <w:ind w:firstLine="708"/>
      <w:outlineLvl w:val="0"/>
    </w:pPr>
    <w:rPr>
      <w:b/>
    </w:rPr>
  </w:style>
  <w:style w:type="character" w:styleId="DefaultParagraphFont" w:default="1">
    <w:name w:val="Default Paragraph Font"/>
    <w:uiPriority w:val="1"/>
    <w:semiHidden/>
    <w:unhideWhenUsed/>
    <w:qFormat/>
    <w:rPr/>
  </w:style>
  <w:style w:type="character" w:styleId="Corpodeltesto2Carattere" w:customStyle="1">
    <w:name w:val="Corpo del testo 2 Carattere"/>
    <w:basedOn w:val="DefaultParagraphFont"/>
    <w:link w:val="Corpodeltesto2"/>
    <w:semiHidden/>
    <w:qFormat/>
    <w:rsid w:val="003c4f3e"/>
    <w:rPr>
      <w:rFonts w:ascii="Arial" w:hAnsi="Arial" w:eastAsia="Times New Roman" w:cs="Times New Roman"/>
      <w:kern w:val="0"/>
      <w:sz w:val="24"/>
      <w:szCs w:val="20"/>
      <w:lang w:eastAsia="it-IT"/>
      <w14:ligatures w14:val="none"/>
    </w:rPr>
  </w:style>
  <w:style w:type="character" w:styleId="TestonotaapidipaginaCarattere" w:customStyle="1">
    <w:name w:val="Testo nota a piè di pagina Carattere"/>
    <w:basedOn w:val="DefaultParagraphFont"/>
    <w:link w:val="Testonotaapidipagina"/>
    <w:semiHidden/>
    <w:qFormat/>
    <w:rsid w:val="003c4f3e"/>
    <w:rPr>
      <w:rFonts w:ascii="Times New Roman" w:hAnsi="Times New Roman" w:eastAsia="Times New Roman" w:cs="Times New Roman"/>
      <w:kern w:val="0"/>
      <w:sz w:val="20"/>
      <w:szCs w:val="20"/>
      <w:lang w:eastAsia="it-IT"/>
      <w14:ligatures w14:val="none"/>
    </w:rPr>
  </w:style>
  <w:style w:type="character" w:styleId="Richiamoallanotaapidipagina">
    <w:name w:val="Richiamo alla nota a piè di pagina"/>
    <w:rPr>
      <w:vertAlign w:val="superscript"/>
    </w:rPr>
  </w:style>
  <w:style w:type="character" w:styleId="FootnoteCharacters">
    <w:name w:val="Footnote Characters"/>
    <w:basedOn w:val="DefaultParagraphFont"/>
    <w:semiHidden/>
    <w:qFormat/>
    <w:rsid w:val="003c4f3e"/>
    <w:rPr>
      <w:vertAlign w:val="superscript"/>
    </w:rPr>
  </w:style>
  <w:style w:type="character" w:styleId="Corpodeltesto3Carattere" w:customStyle="1">
    <w:name w:val="Corpo del testo 3 Carattere"/>
    <w:basedOn w:val="DefaultParagraphFont"/>
    <w:link w:val="Corpodeltesto3"/>
    <w:semiHidden/>
    <w:qFormat/>
    <w:rsid w:val="003c4f3e"/>
    <w:rPr>
      <w:rFonts w:ascii="Times New Roman" w:hAnsi="Times New Roman" w:eastAsia="Times New Roman" w:cs="Times New Roman"/>
      <w:kern w:val="0"/>
      <w:sz w:val="48"/>
      <w:szCs w:val="20"/>
      <w:lang w:eastAsia="it-IT"/>
      <w14:ligatures w14:val="none"/>
    </w:rPr>
  </w:style>
  <w:style w:type="character" w:styleId="TitoloCarattere" w:customStyle="1">
    <w:name w:val="Titolo Carattere"/>
    <w:basedOn w:val="DefaultParagraphFont"/>
    <w:link w:val="Titolo"/>
    <w:qFormat/>
    <w:rsid w:val="003c4f3e"/>
    <w:rPr>
      <w:rFonts w:ascii="Arial" w:hAnsi="Arial" w:eastAsia="Times New Roman" w:cs="Times New Roman"/>
      <w:kern w:val="0"/>
      <w:sz w:val="24"/>
      <w:szCs w:val="20"/>
      <w:lang w:eastAsia="it-IT"/>
      <w14:ligatures w14:val="none"/>
    </w:rPr>
  </w:style>
  <w:style w:type="character" w:styleId="TestofumettoCarattere" w:customStyle="1">
    <w:name w:val="Testo fumetto Carattere"/>
    <w:basedOn w:val="DefaultParagraphFont"/>
    <w:link w:val="Testofumetto"/>
    <w:uiPriority w:val="99"/>
    <w:semiHidden/>
    <w:qFormat/>
    <w:rsid w:val="003c4f3e"/>
    <w:rPr>
      <w:rFonts w:ascii="Tahoma" w:hAnsi="Tahoma" w:eastAsia="Times New Roman" w:cs="Tahoma"/>
      <w:kern w:val="0"/>
      <w:sz w:val="16"/>
      <w:szCs w:val="16"/>
      <w:lang w:eastAsia="it-IT"/>
      <w14:ligatures w14:val="none"/>
    </w:rPr>
  </w:style>
  <w:style w:type="character" w:styleId="Blackunder" w:customStyle="1">
    <w:name w:val="blackunder"/>
    <w:basedOn w:val="DefaultParagraphFont"/>
    <w:qFormat/>
    <w:rsid w:val="00c143ca"/>
    <w:rPr/>
  </w:style>
  <w:style w:type="character" w:styleId="Titolo1Carattere" w:customStyle="1">
    <w:name w:val="Titolo 1 Carattere"/>
    <w:basedOn w:val="DefaultParagraphFont"/>
    <w:link w:val="Titolo1"/>
    <w:qFormat/>
    <w:rsid w:val="000e60f3"/>
    <w:rPr>
      <w:rFonts w:ascii="Times New Roman" w:hAnsi="Times New Roman" w:eastAsia="Times New Roman" w:cs="Times New Roman"/>
      <w:b/>
      <w:kern w:val="0"/>
      <w:sz w:val="20"/>
      <w:szCs w:val="20"/>
      <w:lang w:eastAsia="it-IT"/>
      <w14:ligatures w14:val="none"/>
    </w:rPr>
  </w:style>
  <w:style w:type="character" w:styleId="RientrocorpodeltestoCarattere" w:customStyle="1">
    <w:name w:val="Rientro corpo del testo Carattere"/>
    <w:basedOn w:val="DefaultParagraphFont"/>
    <w:link w:val="Rientrocorpodeltesto"/>
    <w:uiPriority w:val="99"/>
    <w:semiHidden/>
    <w:qFormat/>
    <w:rsid w:val="008b6feb"/>
    <w:rPr>
      <w:rFonts w:ascii="Times New Roman" w:hAnsi="Times New Roman" w:eastAsia="Times New Roman" w:cs="Times New Roman"/>
      <w:kern w:val="0"/>
      <w:sz w:val="20"/>
      <w:szCs w:val="20"/>
      <w:lang w:eastAsia="it-IT"/>
      <w14:ligatures w14:val="none"/>
    </w:rPr>
  </w:style>
  <w:style w:type="character" w:styleId="Annotationreference">
    <w:name w:val="annotation reference"/>
    <w:basedOn w:val="DefaultParagraphFont"/>
    <w:uiPriority w:val="99"/>
    <w:semiHidden/>
    <w:unhideWhenUsed/>
    <w:qFormat/>
    <w:rsid w:val="0011191f"/>
    <w:rPr>
      <w:sz w:val="16"/>
      <w:szCs w:val="16"/>
    </w:rPr>
  </w:style>
  <w:style w:type="character" w:styleId="TestocommentoCarattere" w:customStyle="1">
    <w:name w:val="Testo commento Carattere"/>
    <w:basedOn w:val="DefaultParagraphFont"/>
    <w:link w:val="Testocommento"/>
    <w:uiPriority w:val="99"/>
    <w:qFormat/>
    <w:rsid w:val="0011191f"/>
    <w:rPr>
      <w:rFonts w:ascii="Times New Roman" w:hAnsi="Times New Roman" w:eastAsia="Times New Roman" w:cs="Times New Roman"/>
      <w:kern w:val="0"/>
      <w:sz w:val="20"/>
      <w:szCs w:val="20"/>
      <w:lang w:eastAsia="it-IT"/>
      <w14:ligatures w14:val="none"/>
    </w:rPr>
  </w:style>
  <w:style w:type="character" w:styleId="SoggettocommentoCarattere" w:customStyle="1">
    <w:name w:val="Soggetto commento Carattere"/>
    <w:basedOn w:val="TestocommentoCarattere"/>
    <w:link w:val="Soggettocommento"/>
    <w:uiPriority w:val="99"/>
    <w:semiHidden/>
    <w:qFormat/>
    <w:rsid w:val="0011191f"/>
    <w:rPr>
      <w:rFonts w:ascii="Times New Roman" w:hAnsi="Times New Roman" w:eastAsia="Times New Roman" w:cs="Times New Roman"/>
      <w:b/>
      <w:bCs/>
      <w:kern w:val="0"/>
      <w:sz w:val="20"/>
      <w:szCs w:val="20"/>
      <w:lang w:eastAsia="it-IT"/>
      <w14:ligatures w14:val="none"/>
    </w:rPr>
  </w:style>
  <w:style w:type="character" w:styleId="Rientrocorpodeltesto3Carattere" w:customStyle="1">
    <w:name w:val="Rientro corpo del testo 3 Carattere"/>
    <w:basedOn w:val="DefaultParagraphFont"/>
    <w:link w:val="Rientrocorpodeltesto3"/>
    <w:uiPriority w:val="99"/>
    <w:semiHidden/>
    <w:qFormat/>
    <w:rsid w:val="00a21181"/>
    <w:rPr>
      <w:rFonts w:ascii="Times New Roman" w:hAnsi="Times New Roman" w:eastAsia="Times New Roman" w:cs="Times New Roman"/>
      <w:kern w:val="0"/>
      <w:sz w:val="16"/>
      <w:szCs w:val="16"/>
      <w:lang w:eastAsia="it-IT"/>
      <w14:ligatures w14:val="none"/>
    </w:rPr>
  </w:style>
  <w:style w:type="character" w:styleId="Rientrocorpodeltesto2Carattere" w:customStyle="1">
    <w:name w:val="Rientro corpo del testo 2 Carattere"/>
    <w:basedOn w:val="DefaultParagraphFont"/>
    <w:link w:val="Rientrocorpodeltesto2"/>
    <w:uiPriority w:val="99"/>
    <w:semiHidden/>
    <w:qFormat/>
    <w:rsid w:val="00bb2508"/>
    <w:rPr>
      <w:rFonts w:ascii="Times New Roman" w:hAnsi="Times New Roman" w:eastAsia="Times New Roman" w:cs="Times New Roman"/>
      <w:kern w:val="0"/>
      <w:sz w:val="20"/>
      <w:szCs w:val="20"/>
      <w:lang w:eastAsia="it-IT"/>
      <w14:ligatures w14:val="none"/>
    </w:rPr>
  </w:style>
  <w:style w:type="character" w:styleId="St" w:customStyle="1">
    <w:name w:val="st"/>
    <w:qFormat/>
    <w:rsid w:val="002662a0"/>
    <w:rPr/>
  </w:style>
  <w:style w:type="character" w:styleId="IntestazioneCarattere" w:customStyle="1">
    <w:name w:val="Intestazione Carattere"/>
    <w:basedOn w:val="DefaultParagraphFont"/>
    <w:link w:val="Intestazione"/>
    <w:uiPriority w:val="99"/>
    <w:qFormat/>
    <w:rsid w:val="00b750c5"/>
    <w:rPr>
      <w:rFonts w:ascii="Times New Roman" w:hAnsi="Times New Roman" w:eastAsia="Times New Roman" w:cs="Times New Roman"/>
      <w:kern w:val="0"/>
      <w:sz w:val="20"/>
      <w:szCs w:val="20"/>
      <w:lang w:eastAsia="it-IT"/>
      <w14:ligatures w14:val="none"/>
    </w:rPr>
  </w:style>
  <w:style w:type="character" w:styleId="PidipaginaCarattere" w:customStyle="1">
    <w:name w:val="Piè di pagina Carattere"/>
    <w:basedOn w:val="DefaultParagraphFont"/>
    <w:link w:val="Pidipagina"/>
    <w:uiPriority w:val="99"/>
    <w:qFormat/>
    <w:rsid w:val="00b750c5"/>
    <w:rPr>
      <w:rFonts w:ascii="Times New Roman" w:hAnsi="Times New Roman" w:eastAsia="Times New Roman" w:cs="Times New Roman"/>
      <w:kern w:val="0"/>
      <w:sz w:val="20"/>
      <w:szCs w:val="20"/>
      <w:lang w:eastAsia="it-IT"/>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ile1" w:customStyle="1">
    <w:name w:val="Stile1"/>
    <w:basedOn w:val="Normal"/>
    <w:qFormat/>
    <w:rsid w:val="003c4f3e"/>
    <w:pPr/>
    <w:rPr>
      <w:rFonts w:ascii="Arial" w:hAnsi="Arial"/>
      <w:b/>
      <w:sz w:val="24"/>
    </w:rPr>
  </w:style>
  <w:style w:type="paragraph" w:styleId="BodyText2">
    <w:name w:val="Body Text 2"/>
    <w:basedOn w:val="Normal"/>
    <w:link w:val="Corpodeltesto2Carattere"/>
    <w:semiHidden/>
    <w:qFormat/>
    <w:rsid w:val="003c4f3e"/>
    <w:pPr>
      <w:jc w:val="both"/>
    </w:pPr>
    <w:rPr>
      <w:rFonts w:ascii="Arial" w:hAnsi="Arial"/>
      <w:sz w:val="24"/>
    </w:rPr>
  </w:style>
  <w:style w:type="paragraph" w:styleId="Notaapidipagina">
    <w:name w:val="Footnote Text"/>
    <w:basedOn w:val="Normal"/>
    <w:link w:val="TestonotaapidipaginaCarattere"/>
    <w:semiHidden/>
    <w:rsid w:val="003c4f3e"/>
    <w:pPr>
      <w:widowControl w:val="false"/>
      <w:jc w:val="both"/>
    </w:pPr>
    <w:rPr/>
  </w:style>
  <w:style w:type="paragraph" w:styleId="BodyText3">
    <w:name w:val="Body Text 3"/>
    <w:basedOn w:val="Normal"/>
    <w:link w:val="Corpodeltesto3Carattere"/>
    <w:semiHidden/>
    <w:qFormat/>
    <w:rsid w:val="003c4f3e"/>
    <w:pPr>
      <w:jc w:val="both"/>
    </w:pPr>
    <w:rPr>
      <w:sz w:val="48"/>
    </w:rPr>
  </w:style>
  <w:style w:type="paragraph" w:styleId="Titoloprincipale">
    <w:name w:val="Title"/>
    <w:basedOn w:val="Normal"/>
    <w:link w:val="TitoloCarattere"/>
    <w:qFormat/>
    <w:rsid w:val="003c4f3e"/>
    <w:pPr>
      <w:jc w:val="center"/>
    </w:pPr>
    <w:rPr>
      <w:rFonts w:ascii="Arial" w:hAnsi="Arial"/>
      <w:sz w:val="24"/>
    </w:rPr>
  </w:style>
  <w:style w:type="paragraph" w:styleId="BlockText">
    <w:name w:val="Block Text"/>
    <w:basedOn w:val="Normal"/>
    <w:semiHidden/>
    <w:qFormat/>
    <w:rsid w:val="003c4f3e"/>
    <w:pPr>
      <w:tabs>
        <w:tab w:val="clear" w:pos="708"/>
        <w:tab w:val="left" w:pos="426" w:leader="none"/>
      </w:tabs>
      <w:ind w:left="426" w:right="-1" w:hanging="0"/>
    </w:pPr>
    <w:rPr>
      <w:rFonts w:ascii="Arial" w:hAnsi="Arial"/>
      <w:sz w:val="24"/>
    </w:rPr>
  </w:style>
  <w:style w:type="paragraph" w:styleId="BalloonText">
    <w:name w:val="Balloon Text"/>
    <w:basedOn w:val="Normal"/>
    <w:link w:val="TestofumettoCarattere"/>
    <w:uiPriority w:val="99"/>
    <w:semiHidden/>
    <w:unhideWhenUsed/>
    <w:qFormat/>
    <w:rsid w:val="003c4f3e"/>
    <w:pPr/>
    <w:rPr>
      <w:rFonts w:ascii="Tahoma" w:hAnsi="Tahoma" w:cs="Tahoma"/>
      <w:sz w:val="16"/>
      <w:szCs w:val="16"/>
    </w:rPr>
  </w:style>
  <w:style w:type="paragraph" w:styleId="ListParagraph">
    <w:name w:val="List Paragraph"/>
    <w:basedOn w:val="Normal"/>
    <w:uiPriority w:val="34"/>
    <w:qFormat/>
    <w:rsid w:val="001c3386"/>
    <w:pPr>
      <w:spacing w:before="0" w:after="0"/>
      <w:ind w:left="720" w:hanging="0"/>
      <w:contextualSpacing/>
    </w:pPr>
    <w:rPr/>
  </w:style>
  <w:style w:type="paragraph" w:styleId="Parar2" w:customStyle="1">
    <w:name w:val="parar2"/>
    <w:basedOn w:val="Normal"/>
    <w:qFormat/>
    <w:rsid w:val="00c143ca"/>
    <w:pPr/>
    <w:rPr>
      <w:sz w:val="24"/>
      <w:szCs w:val="24"/>
    </w:rPr>
  </w:style>
  <w:style w:type="paragraph" w:styleId="NormalWeb">
    <w:name w:val="Normal (Web)"/>
    <w:basedOn w:val="Normal"/>
    <w:uiPriority w:val="99"/>
    <w:unhideWhenUsed/>
    <w:qFormat/>
    <w:rsid w:val="00b600a8"/>
    <w:pPr>
      <w:spacing w:beforeAutospacing="1" w:afterAutospacing="1"/>
    </w:pPr>
    <w:rPr>
      <w:sz w:val="24"/>
      <w:szCs w:val="24"/>
    </w:rPr>
  </w:style>
  <w:style w:type="paragraph" w:styleId="Corpodeltesto21" w:customStyle="1">
    <w:name w:val="Corpo del testo 21"/>
    <w:basedOn w:val="Normal"/>
    <w:qFormat/>
    <w:rsid w:val="000e60f3"/>
    <w:pPr/>
    <w:rPr>
      <w:sz w:val="24"/>
    </w:rPr>
  </w:style>
  <w:style w:type="paragraph" w:styleId="Rientrocorpodeltesto">
    <w:name w:val="Body Text Indent"/>
    <w:basedOn w:val="Normal"/>
    <w:link w:val="RientrocorpodeltestoCarattere"/>
    <w:uiPriority w:val="99"/>
    <w:semiHidden/>
    <w:unhideWhenUsed/>
    <w:rsid w:val="008b6feb"/>
    <w:pPr>
      <w:spacing w:before="0" w:after="120"/>
      <w:ind w:left="283" w:hanging="0"/>
    </w:pPr>
    <w:rPr/>
  </w:style>
  <w:style w:type="paragraph" w:styleId="Default" w:customStyle="1">
    <w:name w:val="Default"/>
    <w:qFormat/>
    <w:rsid w:val="00ac721c"/>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Parar1" w:customStyle="1">
    <w:name w:val="parar1"/>
    <w:basedOn w:val="Normal"/>
    <w:qFormat/>
    <w:rsid w:val="00843f1e"/>
    <w:pPr/>
    <w:rPr>
      <w:sz w:val="24"/>
      <w:szCs w:val="24"/>
    </w:rPr>
  </w:style>
  <w:style w:type="paragraph" w:styleId="Annotationtext">
    <w:name w:val="annotation text"/>
    <w:basedOn w:val="Normal"/>
    <w:link w:val="TestocommentoCarattere"/>
    <w:uiPriority w:val="99"/>
    <w:unhideWhenUsed/>
    <w:qFormat/>
    <w:rsid w:val="0011191f"/>
    <w:pPr/>
    <w:rPr/>
  </w:style>
  <w:style w:type="paragraph" w:styleId="Annotationsubject">
    <w:name w:val="annotation subject"/>
    <w:basedOn w:val="Annotationtext"/>
    <w:next w:val="Annotationtext"/>
    <w:link w:val="SoggettocommentoCarattere"/>
    <w:uiPriority w:val="99"/>
    <w:semiHidden/>
    <w:unhideWhenUsed/>
    <w:qFormat/>
    <w:rsid w:val="0011191f"/>
    <w:pPr/>
    <w:rPr>
      <w:b/>
      <w:bCs/>
    </w:rPr>
  </w:style>
  <w:style w:type="paragraph" w:styleId="BodyTextIndent3">
    <w:name w:val="Body Text Indent 3"/>
    <w:basedOn w:val="Normal"/>
    <w:link w:val="Rientrocorpodeltesto3Carattere"/>
    <w:uiPriority w:val="99"/>
    <w:semiHidden/>
    <w:unhideWhenUsed/>
    <w:qFormat/>
    <w:rsid w:val="00a21181"/>
    <w:pPr>
      <w:spacing w:before="0" w:after="120"/>
      <w:ind w:left="283" w:hanging="0"/>
    </w:pPr>
    <w:rPr>
      <w:sz w:val="16"/>
      <w:szCs w:val="16"/>
    </w:rPr>
  </w:style>
  <w:style w:type="paragraph" w:styleId="BodyTextIndent2">
    <w:name w:val="Body Text Indent 2"/>
    <w:basedOn w:val="Normal"/>
    <w:link w:val="Rientrocorpodeltesto2Carattere"/>
    <w:uiPriority w:val="99"/>
    <w:semiHidden/>
    <w:unhideWhenUsed/>
    <w:qFormat/>
    <w:rsid w:val="00bb2508"/>
    <w:pPr>
      <w:spacing w:lineRule="auto" w:line="480" w:before="0" w:after="120"/>
      <w:ind w:left="283" w:hanging="0"/>
    </w:pPr>
    <w:rPr/>
  </w:style>
  <w:style w:type="paragraph" w:styleId="Revision">
    <w:name w:val="Revision"/>
    <w:uiPriority w:val="99"/>
    <w:semiHidden/>
    <w:qFormat/>
    <w:rsid w:val="00835f3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14:ligatures w14:val="none"/>
    </w:rPr>
  </w:style>
  <w:style w:type="paragraph" w:styleId="CarattereCarattereCarattere" w:customStyle="1">
    <w:name w:val="Carattere Carattere Carattere"/>
    <w:basedOn w:val="Normal"/>
    <w:qFormat/>
    <w:rsid w:val="0085701c"/>
    <w:pPr>
      <w:spacing w:lineRule="exact" w:line="240" w:before="0" w:after="160"/>
      <w:jc w:val="both"/>
    </w:pPr>
    <w:rPr>
      <w:rFonts w:ascii="Tahoma" w:hAnsi="Tahoma" w:cs="Tahoma"/>
      <w:lang w:val="en-US" w:eastAsia="en-U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750c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b750c5"/>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35AAB-792B-419B-A885-689275F1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Application>LibreOffice/7.0.0.3$Windows_X86_64 LibreOffice_project/8061b3e9204bef6b321a21033174034a5e2ea88e</Application>
  <Pages>19</Pages>
  <Words>6294</Words>
  <Characters>37066</Characters>
  <CharactersWithSpaces>43295</CharactersWithSpaces>
  <Paragraphs>232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2020-10-15T11:50:00Z</dcterms:created>
  <dc:creator>appo</dc:creator>
  <dc:description/>
  <dc:language>it-IT</dc:language>
  <cp:lastModifiedBy>rag</cp:lastModifiedBy>
  <cp:lastPrinted>2020-11-16T15:51:00Z</cp:lastPrinted>
  <dcterms:modified xsi:type="dcterms:W3CDTF">2020-11-16T17:35:00Z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