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6F" w:rsidRDefault="0002196F" w:rsidP="0002196F">
      <w:pPr>
        <w:tabs>
          <w:tab w:val="left" w:pos="7710"/>
        </w:tabs>
        <w:jc w:val="right"/>
        <w:rPr>
          <w:rFonts w:ascii="Cambria" w:hAnsi="Cambria"/>
        </w:rPr>
      </w:pPr>
      <w:r>
        <w:rPr>
          <w:rFonts w:ascii="Cambria" w:hAnsi="Cambria"/>
        </w:rPr>
        <w:t xml:space="preserve">                                                                                                                         ALLEGATO “F ”</w:t>
      </w:r>
      <w:r>
        <w:rPr>
          <w:rFonts w:ascii="Cambria" w:hAnsi="Cambria"/>
        </w:rPr>
        <w:tab/>
      </w:r>
    </w:p>
    <w:p w:rsidR="0002196F" w:rsidRDefault="0002196F" w:rsidP="0002196F">
      <w:pPr>
        <w:jc w:val="right"/>
        <w:rPr>
          <w:rFonts w:ascii="Cambria" w:hAnsi="Cambria"/>
        </w:rPr>
      </w:pPr>
    </w:p>
    <w:p w:rsidR="0002196F" w:rsidRDefault="0002196F">
      <w:pPr>
        <w:jc w:val="center"/>
        <w:rPr>
          <w:rFonts w:ascii="Cambria" w:hAnsi="Cambria"/>
        </w:rPr>
      </w:pPr>
    </w:p>
    <w:p w:rsidR="0002196F" w:rsidRDefault="0002196F">
      <w:pPr>
        <w:jc w:val="center"/>
        <w:rPr>
          <w:rFonts w:ascii="Cambria" w:hAnsi="Cambria"/>
        </w:rPr>
      </w:pPr>
    </w:p>
    <w:p w:rsidR="0002196F" w:rsidRDefault="0002196F">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3A1B5D" w:rsidRDefault="00065F45">
      <w:pPr>
        <w:tabs>
          <w:tab w:val="left" w:pos="2835"/>
          <w:tab w:val="left" w:pos="5670"/>
        </w:tabs>
        <w:spacing w:after="113"/>
        <w:jc w:val="center"/>
        <w:rPr>
          <w:rFonts w:ascii="Cambria" w:hAnsi="Cambria" w:cs="Times New Roman"/>
          <w:b/>
          <w:sz w:val="48"/>
          <w:szCs w:val="48"/>
        </w:rPr>
      </w:pPr>
      <w:r>
        <w:rPr>
          <w:rFonts w:ascii="Cambria" w:hAnsi="Cambria" w:cs="Times New Roman"/>
          <w:b/>
          <w:sz w:val="48"/>
          <w:szCs w:val="48"/>
        </w:rPr>
        <w:t xml:space="preserve">Comune di </w:t>
      </w:r>
      <w:r w:rsidR="003A1B5D">
        <w:rPr>
          <w:rFonts w:ascii="Cambria" w:hAnsi="Cambria" w:cs="Times New Roman"/>
          <w:b/>
          <w:sz w:val="48"/>
          <w:szCs w:val="48"/>
        </w:rPr>
        <w:t>Castel Sant’Angelo</w:t>
      </w:r>
    </w:p>
    <w:p w:rsidR="00796117" w:rsidRDefault="00065F45">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796117">
      <w:pPr>
        <w:jc w:val="center"/>
        <w:rPr>
          <w:rFonts w:ascii="Cambria" w:hAnsi="Cambria"/>
        </w:rPr>
      </w:pPr>
    </w:p>
    <w:p w:rsidR="00796117" w:rsidRDefault="00065F45">
      <w:pPr>
        <w:jc w:val="center"/>
        <w:rPr>
          <w:rFonts w:ascii="Cambria" w:hAnsi="Cambria"/>
          <w:b/>
          <w:bCs/>
          <w:sz w:val="32"/>
          <w:szCs w:val="32"/>
        </w:rPr>
      </w:pPr>
      <w:r>
        <w:rPr>
          <w:rFonts w:ascii="Cambria" w:hAnsi="Cambria"/>
          <w:b/>
          <w:bCs/>
          <w:sz w:val="32"/>
          <w:szCs w:val="32"/>
        </w:rPr>
        <w:t>Strumenti di valutazione di cui agli allegati B), C), D) ed E) del regolamento sul s</w:t>
      </w:r>
      <w:r>
        <w:rPr>
          <w:rFonts w:ascii="Cambria" w:hAnsi="Cambria" w:cs="Times New Roman"/>
          <w:b/>
          <w:bCs/>
          <w:sz w:val="32"/>
          <w:szCs w:val="32"/>
        </w:rPr>
        <w:t>istema</w:t>
      </w:r>
    </w:p>
    <w:p w:rsidR="00796117" w:rsidRDefault="00065F45">
      <w:pPr>
        <w:jc w:val="center"/>
        <w:rPr>
          <w:rFonts w:ascii="Cambria" w:hAnsi="Cambria"/>
          <w:b/>
          <w:bCs/>
          <w:sz w:val="32"/>
          <w:szCs w:val="32"/>
        </w:rPr>
      </w:pPr>
      <w:r>
        <w:rPr>
          <w:rFonts w:ascii="Cambria" w:hAnsi="Cambria" w:cs="Times New Roman"/>
          <w:b/>
          <w:bCs/>
          <w:sz w:val="32"/>
          <w:szCs w:val="32"/>
        </w:rPr>
        <w:t xml:space="preserve">di misurazione e di valutazione della </w:t>
      </w:r>
      <w:r>
        <w:rPr>
          <w:rFonts w:ascii="Cambria" w:hAnsi="Cambria" w:cs="Times New Roman"/>
          <w:b/>
          <w:bCs/>
          <w:i/>
          <w:iCs/>
          <w:sz w:val="32"/>
          <w:szCs w:val="32"/>
        </w:rPr>
        <w:t>performance</w:t>
      </w:r>
      <w:r>
        <w:rPr>
          <w:rFonts w:ascii="Cambria" w:hAnsi="Cambria" w:cs="Times New Roman"/>
          <w:b/>
          <w:bCs/>
          <w:sz w:val="32"/>
          <w:szCs w:val="32"/>
        </w:rPr>
        <w:t>: descrizione.</w:t>
      </w:r>
    </w:p>
    <w:p w:rsidR="00796117" w:rsidRDefault="00796117">
      <w:pPr>
        <w:jc w:val="both"/>
        <w:rPr>
          <w:rFonts w:cs="Times New Roman" w:hint="eastAsia"/>
          <w:sz w:val="32"/>
          <w:szCs w:val="32"/>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796117">
      <w:pPr>
        <w:spacing w:line="276" w:lineRule="auto"/>
        <w:jc w:val="center"/>
        <w:rPr>
          <w:rFonts w:ascii="Cambria" w:hAnsi="Cambria"/>
        </w:rPr>
      </w:pPr>
    </w:p>
    <w:p w:rsidR="003A1B5D" w:rsidRDefault="003A1B5D">
      <w:pPr>
        <w:spacing w:line="276" w:lineRule="auto"/>
        <w:jc w:val="center"/>
        <w:rPr>
          <w:rFonts w:ascii="Cambria" w:hAnsi="Cambria"/>
        </w:rPr>
      </w:pPr>
    </w:p>
    <w:p w:rsidR="003A1B5D" w:rsidRDefault="003A1B5D">
      <w:pPr>
        <w:spacing w:line="276" w:lineRule="auto"/>
        <w:jc w:val="center"/>
        <w:rPr>
          <w:rFonts w:ascii="Cambria" w:hAnsi="Cambria"/>
        </w:rPr>
      </w:pPr>
    </w:p>
    <w:p w:rsidR="003A1B5D" w:rsidRDefault="003A1B5D">
      <w:pPr>
        <w:spacing w:line="276" w:lineRule="auto"/>
        <w:jc w:val="center"/>
        <w:rPr>
          <w:rFonts w:ascii="Cambria" w:hAnsi="Cambria"/>
        </w:rPr>
      </w:pPr>
    </w:p>
    <w:p w:rsidR="003A1B5D" w:rsidRDefault="003A1B5D">
      <w:pPr>
        <w:spacing w:line="276" w:lineRule="auto"/>
        <w:jc w:val="center"/>
        <w:rPr>
          <w:rFonts w:ascii="Cambria" w:hAnsi="Cambria"/>
        </w:rPr>
      </w:pPr>
    </w:p>
    <w:p w:rsidR="003A1B5D" w:rsidRDefault="003A1B5D">
      <w:pPr>
        <w:spacing w:line="276" w:lineRule="auto"/>
        <w:jc w:val="center"/>
        <w:rPr>
          <w:rFonts w:ascii="Cambria" w:hAnsi="Cambria"/>
        </w:rPr>
      </w:pPr>
    </w:p>
    <w:p w:rsidR="00796117" w:rsidRDefault="00796117">
      <w:pPr>
        <w:spacing w:line="276" w:lineRule="auto"/>
        <w:jc w:val="center"/>
        <w:rPr>
          <w:rFonts w:ascii="Cambria" w:hAnsi="Cambria"/>
        </w:rPr>
      </w:pPr>
    </w:p>
    <w:p w:rsidR="00796117" w:rsidRDefault="00065F45" w:rsidP="00D12AB3">
      <w:pPr>
        <w:spacing w:line="276" w:lineRule="auto"/>
        <w:jc w:val="right"/>
        <w:rPr>
          <w:rFonts w:ascii="Cambria" w:hAnsi="Cambria"/>
        </w:rPr>
      </w:pPr>
      <w:r>
        <w:rPr>
          <w:rFonts w:ascii="Cambria" w:hAnsi="Cambria"/>
        </w:rPr>
        <w:t>Allegato B)</w:t>
      </w:r>
    </w:p>
    <w:p w:rsidR="00796117" w:rsidRDefault="00796117">
      <w:pPr>
        <w:spacing w:line="276" w:lineRule="auto"/>
        <w:jc w:val="center"/>
        <w:rPr>
          <w:rFonts w:ascii="Cambria" w:hAnsi="Cambria"/>
        </w:rPr>
      </w:pPr>
    </w:p>
    <w:p w:rsidR="00796117" w:rsidRDefault="00065F45">
      <w:pPr>
        <w:spacing w:after="57" w:line="276" w:lineRule="auto"/>
        <w:jc w:val="center"/>
        <w:rPr>
          <w:rFonts w:ascii="Cambria" w:hAnsi="Cambria"/>
          <w:b/>
          <w:bCs/>
        </w:rPr>
      </w:pPr>
      <w:r>
        <w:rPr>
          <w:rFonts w:ascii="Cambria" w:hAnsi="Cambria"/>
          <w:b/>
          <w:bCs/>
        </w:rPr>
        <w:t xml:space="preserve">Scheda di valutazione della </w:t>
      </w:r>
      <w:r>
        <w:rPr>
          <w:rFonts w:ascii="Cambria" w:hAnsi="Cambria"/>
          <w:b/>
          <w:bCs/>
          <w:i/>
        </w:rPr>
        <w:t>performance</w:t>
      </w:r>
    </w:p>
    <w:p w:rsidR="00796117" w:rsidRDefault="00065F45">
      <w:pPr>
        <w:spacing w:after="57" w:line="276" w:lineRule="auto"/>
        <w:jc w:val="center"/>
        <w:rPr>
          <w:rFonts w:ascii="Cambria" w:hAnsi="Cambria"/>
          <w:b/>
          <w:bCs/>
        </w:rPr>
      </w:pPr>
      <w:r>
        <w:rPr>
          <w:rFonts w:ascii="Cambria" w:hAnsi="Cambria"/>
          <w:b/>
          <w:bCs/>
        </w:rPr>
        <w:t>dei responsabili apicali</w:t>
      </w:r>
    </w:p>
    <w:p w:rsidR="00796117" w:rsidRDefault="00796117">
      <w:pPr>
        <w:spacing w:after="57" w:line="276" w:lineRule="auto"/>
        <w:jc w:val="both"/>
        <w:rPr>
          <w:rFonts w:hint="eastAsia"/>
        </w:rPr>
      </w:pPr>
    </w:p>
    <w:p w:rsidR="00796117" w:rsidRDefault="00065F45">
      <w:pPr>
        <w:spacing w:after="57" w:line="276" w:lineRule="auto"/>
        <w:jc w:val="both"/>
        <w:rPr>
          <w:rFonts w:ascii="Cambria" w:hAnsi="Cambria"/>
        </w:rPr>
      </w:pPr>
      <w:r>
        <w:rPr>
          <w:rFonts w:ascii="Cambria" w:hAnsi="Cambria"/>
        </w:rPr>
        <w:t>Gli elementi di valutazione sono ripartiti nei due seguenti ambiti di valutazione:</w:t>
      </w:r>
    </w:p>
    <w:p w:rsidR="00796117" w:rsidRDefault="00065F45">
      <w:pPr>
        <w:spacing w:after="57" w:line="276" w:lineRule="auto"/>
        <w:jc w:val="both"/>
        <w:rPr>
          <w:rFonts w:ascii="Cambria" w:hAnsi="Cambria"/>
        </w:rPr>
      </w:pPr>
      <w:r>
        <w:rPr>
          <w:rFonts w:ascii="Cambria" w:hAnsi="Cambria"/>
        </w:rPr>
        <w:t>A) Capacità direzionali;</w:t>
      </w:r>
    </w:p>
    <w:p w:rsidR="00796117" w:rsidRDefault="00065F45">
      <w:pPr>
        <w:spacing w:after="57" w:line="276" w:lineRule="auto"/>
        <w:jc w:val="both"/>
        <w:rPr>
          <w:rFonts w:ascii="Cambria" w:hAnsi="Cambria"/>
        </w:rPr>
      </w:pPr>
      <w:r>
        <w:rPr>
          <w:rFonts w:ascii="Cambria" w:hAnsi="Cambria"/>
        </w:rPr>
        <w:t>B) Grado di raggiungimento degli obiettivi strategici.</w:t>
      </w:r>
    </w:p>
    <w:p w:rsidR="00796117" w:rsidRDefault="00065F45">
      <w:pPr>
        <w:spacing w:after="57" w:line="276" w:lineRule="auto"/>
        <w:jc w:val="both"/>
        <w:rPr>
          <w:rFonts w:ascii="Cambria" w:hAnsi="Cambria"/>
          <w:u w:val="single"/>
        </w:rPr>
      </w:pPr>
      <w:r>
        <w:rPr>
          <w:rFonts w:ascii="Cambria" w:hAnsi="Cambria"/>
          <w:u w:val="single"/>
        </w:rPr>
        <w:t>Quanto ad A)</w:t>
      </w:r>
    </w:p>
    <w:p w:rsidR="00796117" w:rsidRDefault="00065F45">
      <w:pPr>
        <w:spacing w:after="57" w:line="276" w:lineRule="auto"/>
        <w:jc w:val="both"/>
        <w:rPr>
          <w:rFonts w:ascii="Cambria" w:hAnsi="Cambria"/>
          <w:strike/>
        </w:rPr>
      </w:pPr>
      <w:r>
        <w:rPr>
          <w:rFonts w:ascii="Cambria" w:hAnsi="Cambria"/>
        </w:rPr>
        <w:t>L’ambito di valutazione è a sua volta ripartito in quattro sub-ambiti di valutazione, ciascuno composto da più elementi di valutazione. A questi ultimi, il valutatore assegna, riga per riga, un unico punteggio, privo di decimali, da 5 a 10.</w:t>
      </w:r>
    </w:p>
    <w:p w:rsidR="00796117" w:rsidRDefault="00065F45">
      <w:pPr>
        <w:spacing w:after="57" w:line="276" w:lineRule="auto"/>
        <w:jc w:val="both"/>
        <w:rPr>
          <w:rFonts w:ascii="Cambria" w:hAnsi="Cambria"/>
        </w:rPr>
      </w:pPr>
      <w:r>
        <w:rPr>
          <w:rFonts w:ascii="Cambria" w:hAnsi="Cambria"/>
        </w:rPr>
        <w:t>Il file in excel produce automaticamente la valutazione media per ciascun sub-ambito di valutazione (caselle con sfondo giallo).</w:t>
      </w:r>
    </w:p>
    <w:p w:rsidR="00796117" w:rsidRDefault="00065F45">
      <w:pPr>
        <w:spacing w:after="57" w:line="276" w:lineRule="auto"/>
        <w:jc w:val="both"/>
        <w:rPr>
          <w:rFonts w:ascii="Cambria" w:hAnsi="Cambria"/>
        </w:rPr>
      </w:pPr>
      <w:r>
        <w:rPr>
          <w:rFonts w:ascii="Cambria" w:hAnsi="Cambria"/>
        </w:rPr>
        <w:t>Il punteggio finale dell’intero ambito “A) Capacità direzionali”, per ciascun valutato, è pari alla media delle quattro valutazioni medie assegnate per ciascun sub-ambito ed è rappresentato nella casella finale, pure con sfondo giallo, denominata “TOTALE VALUTAZIONE A)”.</w:t>
      </w:r>
    </w:p>
    <w:tbl>
      <w:tblPr>
        <w:tblW w:w="9983" w:type="dxa"/>
        <w:tblInd w:w="-30" w:type="dxa"/>
        <w:tblLayout w:type="fixed"/>
        <w:tblCellMar>
          <w:left w:w="30" w:type="dxa"/>
          <w:right w:w="30" w:type="dxa"/>
        </w:tblCellMar>
        <w:tblLook w:val="0000"/>
      </w:tblPr>
      <w:tblGrid>
        <w:gridCol w:w="4108"/>
        <w:gridCol w:w="5875"/>
      </w:tblGrid>
      <w:tr w:rsidR="00796117">
        <w:trPr>
          <w:trHeight w:val="293"/>
        </w:trPr>
        <w:tc>
          <w:tcPr>
            <w:tcW w:w="9982" w:type="dxa"/>
            <w:gridSpan w:val="2"/>
            <w:vAlign w:val="center"/>
          </w:tcPr>
          <w:p w:rsidR="00796117" w:rsidRDefault="00065F45">
            <w:pPr>
              <w:widowControl w:val="0"/>
              <w:jc w:val="center"/>
              <w:rPr>
                <w:rFonts w:ascii="Cambria" w:hAnsi="Cambria"/>
              </w:rPr>
            </w:pPr>
            <w:r>
              <w:rPr>
                <w:rFonts w:ascii="Cambria" w:hAnsi="Cambria"/>
              </w:rPr>
              <w:t>RIEPILOGO CAPACITA' DIREZIONALI</w:t>
            </w:r>
          </w:p>
        </w:tc>
      </w:tr>
      <w:tr w:rsidR="00796117">
        <w:trPr>
          <w:trHeight w:val="293"/>
        </w:trPr>
        <w:tc>
          <w:tcPr>
            <w:tcW w:w="4108" w:type="dxa"/>
            <w:vAlign w:val="center"/>
          </w:tcPr>
          <w:p w:rsidR="00796117" w:rsidRDefault="00065F45">
            <w:pPr>
              <w:widowControl w:val="0"/>
              <w:jc w:val="center"/>
              <w:rPr>
                <w:rFonts w:ascii="Cambria" w:hAnsi="Cambria"/>
              </w:rPr>
            </w:pPr>
            <w:r>
              <w:rPr>
                <w:rFonts w:ascii="Cambria" w:hAnsi="Cambria"/>
              </w:rPr>
              <w:t>sub-ambiti di valutazione</w:t>
            </w:r>
          </w:p>
        </w:tc>
        <w:tc>
          <w:tcPr>
            <w:tcW w:w="5874" w:type="dxa"/>
            <w:vAlign w:val="center"/>
          </w:tcPr>
          <w:p w:rsidR="00796117" w:rsidRDefault="00065F45">
            <w:pPr>
              <w:widowControl w:val="0"/>
              <w:jc w:val="center"/>
              <w:rPr>
                <w:rFonts w:ascii="Cambria" w:hAnsi="Cambria"/>
              </w:rPr>
            </w:pPr>
            <w:r>
              <w:rPr>
                <w:rFonts w:ascii="Cambria" w:hAnsi="Cambria"/>
              </w:rPr>
              <w:t>valutazioni</w:t>
            </w:r>
          </w:p>
        </w:tc>
      </w:tr>
      <w:tr w:rsidR="00796117">
        <w:trPr>
          <w:trHeight w:val="293"/>
        </w:trPr>
        <w:tc>
          <w:tcPr>
            <w:tcW w:w="4108" w:type="dxa"/>
            <w:vAlign w:val="center"/>
          </w:tcPr>
          <w:p w:rsidR="00796117" w:rsidRDefault="00065F45">
            <w:pPr>
              <w:widowControl w:val="0"/>
              <w:jc w:val="right"/>
              <w:rPr>
                <w:rFonts w:ascii="Cambria" w:hAnsi="Cambria"/>
              </w:rPr>
            </w:pPr>
            <w:r>
              <w:rPr>
                <w:rFonts w:ascii="Cambria" w:hAnsi="Cambria"/>
                <w:i/>
              </w:rPr>
              <w:t>performance</w:t>
            </w:r>
            <w:r>
              <w:rPr>
                <w:rFonts w:ascii="Cambria" w:hAnsi="Cambria"/>
              </w:rPr>
              <w:t xml:space="preserve"> gestionale</w:t>
            </w:r>
          </w:p>
        </w:tc>
        <w:tc>
          <w:tcPr>
            <w:tcW w:w="5874" w:type="dxa"/>
            <w:vAlign w:val="center"/>
          </w:tcPr>
          <w:p w:rsidR="00796117" w:rsidRDefault="00065F45">
            <w:pPr>
              <w:widowControl w:val="0"/>
              <w:jc w:val="center"/>
              <w:rPr>
                <w:rFonts w:ascii="Cambria" w:hAnsi="Cambria"/>
              </w:rPr>
            </w:pPr>
            <w:r>
              <w:rPr>
                <w:rFonts w:ascii="Cambria" w:hAnsi="Cambria"/>
              </w:rPr>
              <w:t>fino a 10</w:t>
            </w:r>
          </w:p>
        </w:tc>
      </w:tr>
      <w:tr w:rsidR="00796117">
        <w:trPr>
          <w:trHeight w:val="255"/>
        </w:trPr>
        <w:tc>
          <w:tcPr>
            <w:tcW w:w="4108" w:type="dxa"/>
            <w:vAlign w:val="center"/>
          </w:tcPr>
          <w:p w:rsidR="00796117" w:rsidRDefault="00065F45">
            <w:pPr>
              <w:widowControl w:val="0"/>
              <w:jc w:val="right"/>
              <w:rPr>
                <w:rFonts w:ascii="Cambria" w:hAnsi="Cambria"/>
              </w:rPr>
            </w:pPr>
            <w:r>
              <w:rPr>
                <w:rFonts w:ascii="Cambria" w:hAnsi="Cambria"/>
                <w:i/>
              </w:rPr>
              <w:t>performance</w:t>
            </w:r>
            <w:r>
              <w:rPr>
                <w:rFonts w:ascii="Cambria" w:hAnsi="Cambria"/>
              </w:rPr>
              <w:t xml:space="preserve"> relazionale</w:t>
            </w:r>
          </w:p>
        </w:tc>
        <w:tc>
          <w:tcPr>
            <w:tcW w:w="5874" w:type="dxa"/>
            <w:vAlign w:val="center"/>
          </w:tcPr>
          <w:p w:rsidR="00796117" w:rsidRDefault="00065F45">
            <w:pPr>
              <w:widowControl w:val="0"/>
              <w:jc w:val="center"/>
              <w:rPr>
                <w:rFonts w:ascii="Cambria" w:hAnsi="Cambria"/>
              </w:rPr>
            </w:pPr>
            <w:r>
              <w:rPr>
                <w:rFonts w:ascii="Cambria" w:hAnsi="Cambria"/>
              </w:rPr>
              <w:t>fino a 10</w:t>
            </w:r>
          </w:p>
        </w:tc>
      </w:tr>
      <w:tr w:rsidR="00796117">
        <w:trPr>
          <w:trHeight w:val="255"/>
        </w:trPr>
        <w:tc>
          <w:tcPr>
            <w:tcW w:w="4108" w:type="dxa"/>
            <w:vAlign w:val="center"/>
          </w:tcPr>
          <w:p w:rsidR="00796117" w:rsidRDefault="00065F45">
            <w:pPr>
              <w:widowControl w:val="0"/>
              <w:jc w:val="right"/>
              <w:rPr>
                <w:rFonts w:ascii="Cambria" w:hAnsi="Cambria"/>
              </w:rPr>
            </w:pPr>
            <w:r>
              <w:rPr>
                <w:rFonts w:ascii="Cambria" w:hAnsi="Cambria"/>
                <w:i/>
              </w:rPr>
              <w:t>performance</w:t>
            </w:r>
            <w:r>
              <w:rPr>
                <w:rFonts w:ascii="Cambria" w:hAnsi="Cambria"/>
              </w:rPr>
              <w:t xml:space="preserve"> sul miglioramento</w:t>
            </w:r>
          </w:p>
        </w:tc>
        <w:tc>
          <w:tcPr>
            <w:tcW w:w="5874" w:type="dxa"/>
            <w:vAlign w:val="center"/>
          </w:tcPr>
          <w:p w:rsidR="00796117" w:rsidRDefault="00065F45">
            <w:pPr>
              <w:widowControl w:val="0"/>
              <w:jc w:val="center"/>
              <w:rPr>
                <w:rFonts w:ascii="Cambria" w:hAnsi="Cambria"/>
              </w:rPr>
            </w:pPr>
            <w:r>
              <w:rPr>
                <w:rFonts w:ascii="Cambria" w:hAnsi="Cambria"/>
              </w:rPr>
              <w:t>fino a 10</w:t>
            </w:r>
          </w:p>
        </w:tc>
      </w:tr>
      <w:tr w:rsidR="00796117">
        <w:trPr>
          <w:trHeight w:val="255"/>
        </w:trPr>
        <w:tc>
          <w:tcPr>
            <w:tcW w:w="4108" w:type="dxa"/>
            <w:vAlign w:val="center"/>
          </w:tcPr>
          <w:p w:rsidR="00796117" w:rsidRDefault="00065F45">
            <w:pPr>
              <w:widowControl w:val="0"/>
              <w:jc w:val="right"/>
              <w:rPr>
                <w:rFonts w:ascii="Cambria" w:hAnsi="Cambria"/>
              </w:rPr>
            </w:pPr>
            <w:r>
              <w:rPr>
                <w:rFonts w:ascii="Cambria" w:hAnsi="Cambria"/>
                <w:i/>
              </w:rPr>
              <w:t>performance</w:t>
            </w:r>
            <w:r>
              <w:rPr>
                <w:rFonts w:ascii="Cambria" w:hAnsi="Cambria"/>
              </w:rPr>
              <w:t xml:space="preserve"> sulle valutazioni</w:t>
            </w:r>
          </w:p>
        </w:tc>
        <w:tc>
          <w:tcPr>
            <w:tcW w:w="5874" w:type="dxa"/>
            <w:vAlign w:val="center"/>
          </w:tcPr>
          <w:p w:rsidR="00796117" w:rsidRDefault="00065F45">
            <w:pPr>
              <w:widowControl w:val="0"/>
              <w:jc w:val="center"/>
              <w:rPr>
                <w:rFonts w:ascii="Cambria" w:hAnsi="Cambria"/>
              </w:rPr>
            </w:pPr>
            <w:r>
              <w:rPr>
                <w:rFonts w:ascii="Cambria" w:hAnsi="Cambria"/>
              </w:rPr>
              <w:t>fino a 10</w:t>
            </w:r>
          </w:p>
        </w:tc>
      </w:tr>
      <w:tr w:rsidR="00796117">
        <w:trPr>
          <w:trHeight w:val="255"/>
        </w:trPr>
        <w:tc>
          <w:tcPr>
            <w:tcW w:w="4108" w:type="dxa"/>
            <w:vAlign w:val="center"/>
          </w:tcPr>
          <w:p w:rsidR="00796117" w:rsidRDefault="00065F45">
            <w:pPr>
              <w:widowControl w:val="0"/>
              <w:jc w:val="right"/>
              <w:rPr>
                <w:rFonts w:ascii="Cambria" w:hAnsi="Cambria"/>
              </w:rPr>
            </w:pPr>
            <w:r>
              <w:rPr>
                <w:rFonts w:ascii="Cambria" w:hAnsi="Cambria"/>
              </w:rPr>
              <w:t>TOTALE</w:t>
            </w:r>
          </w:p>
        </w:tc>
        <w:tc>
          <w:tcPr>
            <w:tcW w:w="5874" w:type="dxa"/>
            <w:vAlign w:val="center"/>
          </w:tcPr>
          <w:p w:rsidR="00796117" w:rsidRDefault="00065F45">
            <w:pPr>
              <w:widowControl w:val="0"/>
              <w:jc w:val="center"/>
              <w:rPr>
                <w:rFonts w:ascii="Cambria" w:hAnsi="Cambria"/>
              </w:rPr>
            </w:pPr>
            <w:r>
              <w:rPr>
                <w:rFonts w:ascii="Cambria" w:hAnsi="Cambria"/>
              </w:rPr>
              <w:t>max 40</w:t>
            </w:r>
          </w:p>
        </w:tc>
      </w:tr>
      <w:tr w:rsidR="00796117">
        <w:trPr>
          <w:trHeight w:val="255"/>
        </w:trPr>
        <w:tc>
          <w:tcPr>
            <w:tcW w:w="9982" w:type="dxa"/>
            <w:gridSpan w:val="2"/>
            <w:vAlign w:val="center"/>
          </w:tcPr>
          <w:p w:rsidR="00796117" w:rsidRDefault="00065F45">
            <w:pPr>
              <w:widowControl w:val="0"/>
              <w:jc w:val="center"/>
              <w:rPr>
                <w:rFonts w:ascii="Cambria" w:hAnsi="Cambria"/>
              </w:rPr>
            </w:pPr>
            <w:r>
              <w:rPr>
                <w:rFonts w:ascii="Cambria" w:hAnsi="Cambria"/>
              </w:rPr>
              <w:t>TOTALE VALUTAZIONE A) Max 10 = TOTALE : 4, pari al numero dei VALORI MEDI)</w:t>
            </w:r>
          </w:p>
        </w:tc>
      </w:tr>
    </w:tbl>
    <w:p w:rsidR="00796117" w:rsidRDefault="00796117">
      <w:pPr>
        <w:rPr>
          <w:rFonts w:hint="eastAsia"/>
        </w:rPr>
      </w:pPr>
    </w:p>
    <w:p w:rsidR="00796117" w:rsidRDefault="00065F45">
      <w:pPr>
        <w:spacing w:after="57" w:line="276" w:lineRule="auto"/>
        <w:jc w:val="both"/>
        <w:rPr>
          <w:rFonts w:hint="eastAsia"/>
          <w:u w:val="single"/>
        </w:rPr>
      </w:pPr>
      <w:r>
        <w:rPr>
          <w:u w:val="single"/>
        </w:rPr>
        <w:t>Quanto a B)</w:t>
      </w:r>
    </w:p>
    <w:p w:rsidR="00796117" w:rsidRDefault="00065F45">
      <w:pPr>
        <w:spacing w:after="57" w:line="276" w:lineRule="auto"/>
        <w:jc w:val="both"/>
        <w:rPr>
          <w:rFonts w:hint="eastAsia"/>
        </w:rPr>
      </w:pPr>
      <w:r>
        <w:t>Per ciascun obiettivo il valutatore assegna una percentuale di raggiungimento e, quindi, il relativo punteggio da 5 a 10 (che non prevede decimali), corrispondente alla forcella cui accede la percentuale stessa assegnata (fino al 50% = 5, 51-60% = 6, 61-70% = 7, 71-80% = 8, 81-90% = 9, 91-100 = 10) . Sotto il 51% si assegna all’obiettivo il punteggio 5 (cinque).</w:t>
      </w:r>
    </w:p>
    <w:p w:rsidR="00796117" w:rsidRDefault="00065F45">
      <w:pPr>
        <w:spacing w:after="57" w:line="276" w:lineRule="auto"/>
        <w:jc w:val="both"/>
        <w:rPr>
          <w:rFonts w:hint="eastAsia"/>
        </w:rPr>
      </w:pPr>
      <w:r>
        <w:t>La somma di tali punteggi, divisa per il numero di obiettivi misurati, fornisce la media dei punteggi, che corrisponde al punteggio complessivo per l’ambito di valutazione “B</w:t>
      </w:r>
      <w:r>
        <w:rPr>
          <w:rFonts w:ascii="Cambria" w:hAnsi="Cambria"/>
        </w:rPr>
        <w:t>) Grado di raggiungimento degli obiettivi strategici”, rinvenibile nella casella azzurra (il file produce automaticamente la media stessa = punteggio complessivo).</w:t>
      </w:r>
    </w:p>
    <w:p w:rsidR="00796117" w:rsidRDefault="00796117">
      <w:pPr>
        <w:spacing w:after="57" w:line="276" w:lineRule="auto"/>
        <w:jc w:val="both"/>
        <w:rPr>
          <w:rFonts w:ascii="Cambria" w:hAnsi="Cambria"/>
        </w:rPr>
      </w:pPr>
    </w:p>
    <w:p w:rsidR="00796117" w:rsidRDefault="00065F45">
      <w:pPr>
        <w:spacing w:after="57" w:line="276" w:lineRule="auto"/>
        <w:jc w:val="center"/>
        <w:rPr>
          <w:rFonts w:hint="eastAsia"/>
          <w:b/>
          <w:bCs/>
        </w:rPr>
      </w:pPr>
      <w:r>
        <w:rPr>
          <w:rFonts w:ascii="Cambria" w:hAnsi="Cambria"/>
          <w:b/>
          <w:bCs/>
        </w:rPr>
        <w:t>VALUTAZIONE FINALE COMPLESSIVA</w:t>
      </w:r>
    </w:p>
    <w:p w:rsidR="00796117" w:rsidRPr="00D12AB3" w:rsidRDefault="00065F45">
      <w:pPr>
        <w:spacing w:after="57" w:line="276" w:lineRule="auto"/>
        <w:jc w:val="both"/>
        <w:rPr>
          <w:rFonts w:ascii="Cambria" w:hAnsi="Cambria"/>
        </w:rPr>
      </w:pPr>
      <w:r>
        <w:rPr>
          <w:rFonts w:ascii="Cambria" w:hAnsi="Cambria"/>
        </w:rPr>
        <w:t xml:space="preserve">La valutazione complessiva della </w:t>
      </w:r>
      <w:r>
        <w:rPr>
          <w:rFonts w:ascii="Cambria" w:hAnsi="Cambria"/>
          <w:i/>
          <w:iCs/>
        </w:rPr>
        <w:t>performance</w:t>
      </w:r>
      <w:r>
        <w:rPr>
          <w:rFonts w:ascii="Cambria" w:hAnsi="Cambria"/>
        </w:rPr>
        <w:t xml:space="preserve"> del responsabile apicale è data dalla somma dei punteggi complessivi ottenuti per gli ambiti A) e B</w:t>
      </w:r>
      <w:r w:rsidRPr="00D12AB3">
        <w:rPr>
          <w:rFonts w:ascii="Cambria" w:hAnsi="Cambria"/>
        </w:rPr>
        <w:t>), previa ponderazione degli stessi in relazione ai pesi previamente attribuiti ai medesimi ambiti dalla Giunta comunale, la quale attribuisce non meno del 40% e non più del 60% ad entrambi gli ambiti, in modo che il totale dia comunque il 100%.</w:t>
      </w:r>
    </w:p>
    <w:p w:rsidR="00796117" w:rsidRDefault="00065F45">
      <w:pPr>
        <w:spacing w:after="57" w:line="276" w:lineRule="auto"/>
        <w:jc w:val="both"/>
        <w:rPr>
          <w:rFonts w:hint="eastAsia"/>
        </w:rPr>
      </w:pPr>
      <w:r w:rsidRPr="00D12AB3">
        <w:rPr>
          <w:rFonts w:ascii="Cambria" w:hAnsi="Cambria"/>
        </w:rPr>
        <w:t xml:space="preserve">Lo schema finale del file, nella casella “VALUTAZIONE COMPLESSIVA A) + B) con sfondo verde, calcola automaticamente la sommatoria finale, fornendola in decimi. Essa corrisponde alla valutazione finale complessiva dell’intera performance del </w:t>
      </w:r>
      <w:r w:rsidRPr="00D12AB3">
        <w:rPr>
          <w:rFonts w:ascii="Cambria" w:hAnsi="Cambria"/>
          <w:i/>
          <w:iCs/>
        </w:rPr>
        <w:t>responsabile</w:t>
      </w:r>
      <w:r w:rsidRPr="00D12AB3">
        <w:rPr>
          <w:rFonts w:ascii="Cambria" w:hAnsi="Cambria"/>
        </w:rPr>
        <w:t xml:space="preserve"> apicale.</w:t>
      </w:r>
    </w:p>
    <w:p w:rsidR="00796117" w:rsidRDefault="00796117">
      <w:pPr>
        <w:spacing w:after="57" w:line="276" w:lineRule="auto"/>
        <w:rPr>
          <w:rFonts w:hint="eastAsia"/>
        </w:rPr>
      </w:pPr>
    </w:p>
    <w:p w:rsidR="00796117" w:rsidRPr="00D12AB3" w:rsidRDefault="00065F45">
      <w:pPr>
        <w:spacing w:after="57" w:line="276" w:lineRule="auto"/>
        <w:jc w:val="both"/>
        <w:rPr>
          <w:rFonts w:ascii="Cambria" w:hAnsi="Cambria"/>
        </w:rPr>
      </w:pPr>
      <w:r w:rsidRPr="00D12AB3">
        <w:rPr>
          <w:rFonts w:ascii="Cambria" w:hAnsi="Cambria"/>
        </w:rPr>
        <w:t>La determinazione dell’indennità di risultato individuale (Z) è definita dalla quota complessiva di risorse destinata annualmente alla corresponsione dell’indennità di risultato (Y, al numeratore) divisa per la somma dei punteggi attribuiti ai singoli responsabili (X, al denominatore), con successiva moltiplicazione del quoziente che ne deriva per il punteggio ottenuto singolarmente.</w:t>
      </w:r>
    </w:p>
    <w:p w:rsidR="00796117" w:rsidRPr="00D12AB3" w:rsidRDefault="00065F45">
      <w:pPr>
        <w:spacing w:after="57" w:line="276" w:lineRule="auto"/>
        <w:jc w:val="both"/>
        <w:rPr>
          <w:rFonts w:ascii="Cambria" w:hAnsi="Cambria"/>
        </w:rPr>
      </w:pPr>
      <w:r w:rsidRPr="00D12AB3">
        <w:rPr>
          <w:rFonts w:ascii="Cambria" w:hAnsi="Cambria"/>
        </w:rPr>
        <w:t>Es: 10 + 9 + 8 + 10 = 37 (X) = punteggio complessivo dei singoli responsabili;</w:t>
      </w:r>
    </w:p>
    <w:p w:rsidR="00796117" w:rsidRPr="00D12AB3" w:rsidRDefault="00065F45">
      <w:pPr>
        <w:spacing w:after="57" w:line="276" w:lineRule="auto"/>
        <w:jc w:val="both"/>
        <w:rPr>
          <w:rFonts w:ascii="Cambria" w:hAnsi="Cambria"/>
        </w:rPr>
      </w:pPr>
      <w:r w:rsidRPr="00D12AB3">
        <w:rPr>
          <w:rFonts w:ascii="Cambria" w:hAnsi="Cambria"/>
        </w:rPr>
        <w:t>€ 80.000 (fondo risultato P.O.) * 0,15 (quota minima per la retribuzione di risultato) =</w:t>
      </w:r>
      <w:bookmarkStart w:id="0" w:name="_GoBack"/>
      <w:bookmarkEnd w:id="0"/>
      <w:r w:rsidRPr="00D12AB3">
        <w:rPr>
          <w:rFonts w:ascii="Cambria" w:hAnsi="Cambria"/>
        </w:rPr>
        <w:t xml:space="preserve"> € 12.000,00 (Y), quale quota destinata al risultato;</w:t>
      </w:r>
    </w:p>
    <w:p w:rsidR="00796117" w:rsidRPr="00D12AB3" w:rsidRDefault="00065F45">
      <w:pPr>
        <w:spacing w:after="57" w:line="276" w:lineRule="auto"/>
        <w:jc w:val="both"/>
        <w:rPr>
          <w:rFonts w:ascii="Cambria" w:hAnsi="Cambria"/>
        </w:rPr>
      </w:pPr>
      <w:r w:rsidRPr="00D12AB3">
        <w:rPr>
          <w:rFonts w:ascii="Cambria" w:hAnsi="Cambria"/>
        </w:rPr>
        <w:t>calcolo dei premi individuali:</w:t>
      </w:r>
    </w:p>
    <w:p w:rsidR="00796117" w:rsidRPr="00D12AB3" w:rsidRDefault="00065F45" w:rsidP="00D12AB3">
      <w:pPr>
        <w:pStyle w:val="Paragrafoelenco"/>
        <w:numPr>
          <w:ilvl w:val="0"/>
          <w:numId w:val="4"/>
        </w:numPr>
        <w:spacing w:after="57" w:line="276" w:lineRule="auto"/>
        <w:jc w:val="both"/>
        <w:rPr>
          <w:rFonts w:ascii="Cambria" w:hAnsi="Cambria"/>
        </w:rPr>
      </w:pPr>
      <w:r w:rsidRPr="00D12AB3">
        <w:rPr>
          <w:rFonts w:ascii="Cambria" w:hAnsi="Cambria"/>
        </w:rPr>
        <w:t>12.000,00 / 37 = 324,32 * 10 = € 3.243,24 (Z1)</w:t>
      </w:r>
    </w:p>
    <w:p w:rsidR="00796117" w:rsidRPr="00D12AB3" w:rsidRDefault="00065F45">
      <w:pPr>
        <w:pStyle w:val="Paragrafoelenco"/>
        <w:numPr>
          <w:ilvl w:val="0"/>
          <w:numId w:val="4"/>
        </w:numPr>
        <w:spacing w:after="57" w:line="276" w:lineRule="auto"/>
        <w:jc w:val="both"/>
        <w:rPr>
          <w:rFonts w:ascii="Cambria" w:hAnsi="Cambria"/>
        </w:rPr>
      </w:pPr>
      <w:r w:rsidRPr="00D12AB3">
        <w:rPr>
          <w:rFonts w:ascii="Cambria" w:hAnsi="Cambria"/>
        </w:rPr>
        <w:t>12.000,00 / 37 = 324,32 *   9 = € 2.918,88 (Z2)</w:t>
      </w:r>
    </w:p>
    <w:p w:rsidR="00796117" w:rsidRPr="00D12AB3" w:rsidRDefault="00065F45" w:rsidP="00D12AB3">
      <w:pPr>
        <w:spacing w:after="57" w:line="276" w:lineRule="auto"/>
        <w:ind w:left="360"/>
        <w:jc w:val="both"/>
        <w:rPr>
          <w:rFonts w:ascii="Cambria" w:hAnsi="Cambria"/>
        </w:rPr>
      </w:pPr>
      <w:r w:rsidRPr="00D12AB3">
        <w:rPr>
          <w:rFonts w:ascii="Cambria" w:hAnsi="Cambria"/>
        </w:rPr>
        <w:tab/>
        <w:t>…</w:t>
      </w:r>
      <w:r w:rsidR="00D12AB3" w:rsidRPr="00D12AB3">
        <w:rPr>
          <w:rFonts w:ascii="Cambria" w:hAnsi="Cambria"/>
        </w:rPr>
        <w:t>altro</w:t>
      </w:r>
      <w:r w:rsidRPr="00D12AB3">
        <w:rPr>
          <w:rFonts w:ascii="Cambria" w:hAnsi="Cambria"/>
        </w:rPr>
        <w:t>. …</w:t>
      </w:r>
    </w:p>
    <w:p w:rsidR="00796117" w:rsidRPr="00D12AB3" w:rsidRDefault="00065F45" w:rsidP="00D12AB3">
      <w:pPr>
        <w:spacing w:after="57" w:line="276" w:lineRule="auto"/>
        <w:ind w:left="360"/>
        <w:jc w:val="both"/>
        <w:rPr>
          <w:rFonts w:hint="eastAsia"/>
          <w:shd w:val="clear" w:color="auto" w:fill="DEDCE6"/>
        </w:rPr>
      </w:pPr>
      <w:r w:rsidRPr="00D12AB3">
        <w:rPr>
          <w:rFonts w:ascii="Cambria" w:hAnsi="Cambria"/>
        </w:rPr>
        <w:t>Il totale dei premi restituisce matematicamente l’intera quota di fondo (Y) destinata al risultato</w:t>
      </w:r>
      <w:r w:rsidRPr="00D12AB3">
        <w:rPr>
          <w:shd w:val="clear" w:color="auto" w:fill="DEDCE6"/>
        </w:rPr>
        <w:t>.</w:t>
      </w:r>
    </w:p>
    <w:p w:rsidR="00796117" w:rsidRDefault="00796117">
      <w:pPr>
        <w:spacing w:after="57" w:line="276" w:lineRule="auto"/>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rPr>
          <w:rFonts w:hint="eastAsia"/>
        </w:rPr>
      </w:pPr>
    </w:p>
    <w:p w:rsidR="00796117" w:rsidRDefault="00796117">
      <w:pPr>
        <w:jc w:val="both"/>
        <w:rPr>
          <w:rFonts w:cs="Times New Roman" w:hint="eastAsia"/>
        </w:rPr>
      </w:pPr>
    </w:p>
    <w:p w:rsidR="00796117" w:rsidRDefault="00065F45">
      <w:pPr>
        <w:spacing w:line="276" w:lineRule="auto"/>
        <w:jc w:val="center"/>
        <w:rPr>
          <w:rFonts w:ascii="Cambria" w:hAnsi="Cambria" w:cs="Times New Roman"/>
        </w:rPr>
      </w:pPr>
      <w:r>
        <w:rPr>
          <w:rFonts w:ascii="Cambria" w:hAnsi="Cambria" w:cs="Times New Roman"/>
        </w:rPr>
        <w:t>Allegati C) e D)</w:t>
      </w:r>
    </w:p>
    <w:p w:rsidR="00796117" w:rsidRDefault="00796117">
      <w:pPr>
        <w:spacing w:line="276" w:lineRule="auto"/>
        <w:jc w:val="center"/>
        <w:rPr>
          <w:rFonts w:ascii="Cambria" w:hAnsi="Cambria"/>
        </w:rPr>
      </w:pPr>
    </w:p>
    <w:p w:rsidR="00796117" w:rsidRDefault="00065F45">
      <w:pPr>
        <w:spacing w:after="57" w:line="276" w:lineRule="auto"/>
        <w:jc w:val="center"/>
        <w:rPr>
          <w:rFonts w:ascii="Cambria" w:hAnsi="Cambria"/>
          <w:b/>
          <w:bCs/>
        </w:rPr>
      </w:pPr>
      <w:r>
        <w:rPr>
          <w:rFonts w:ascii="Cambria" w:hAnsi="Cambria" w:cs="Times New Roman"/>
          <w:b/>
          <w:bCs/>
        </w:rPr>
        <w:t xml:space="preserve">Scheda di valutazione della </w:t>
      </w:r>
      <w:r>
        <w:rPr>
          <w:rFonts w:ascii="Cambria" w:hAnsi="Cambria"/>
          <w:b/>
          <w:bCs/>
          <w:i/>
        </w:rPr>
        <w:t>performance</w:t>
      </w:r>
      <w:r>
        <w:rPr>
          <w:rFonts w:ascii="Cambria" w:hAnsi="Cambria"/>
          <w:b/>
          <w:bCs/>
        </w:rPr>
        <w:t xml:space="preserve"> individuale</w:t>
      </w:r>
    </w:p>
    <w:p w:rsidR="00796117" w:rsidRDefault="00065F45">
      <w:pPr>
        <w:spacing w:after="57" w:line="276" w:lineRule="auto"/>
        <w:jc w:val="center"/>
        <w:rPr>
          <w:rFonts w:ascii="Cambria" w:hAnsi="Cambria"/>
          <w:b/>
          <w:bCs/>
        </w:rPr>
      </w:pPr>
      <w:r>
        <w:rPr>
          <w:rFonts w:ascii="Cambria" w:hAnsi="Cambria"/>
          <w:b/>
          <w:bCs/>
        </w:rPr>
        <w:t>del personale non apicale</w:t>
      </w:r>
    </w:p>
    <w:p w:rsidR="00796117" w:rsidRDefault="00796117">
      <w:pPr>
        <w:spacing w:after="57" w:line="276" w:lineRule="auto"/>
        <w:jc w:val="both"/>
        <w:rPr>
          <w:rFonts w:hint="eastAsia"/>
        </w:rPr>
      </w:pPr>
    </w:p>
    <w:p w:rsidR="00796117" w:rsidRDefault="00065F45">
      <w:pPr>
        <w:spacing w:after="57" w:line="276" w:lineRule="auto"/>
        <w:jc w:val="both"/>
        <w:rPr>
          <w:rFonts w:ascii="Cambria" w:hAnsi="Cambria"/>
        </w:rPr>
      </w:pPr>
      <w:r>
        <w:rPr>
          <w:rFonts w:ascii="Cambria" w:hAnsi="Cambria"/>
        </w:rPr>
        <w:t>Gli elementi di valutazione sono ripartiti nei tre seguenti ambiti di valutazione:</w:t>
      </w:r>
    </w:p>
    <w:p w:rsidR="00796117" w:rsidRDefault="00065F45">
      <w:pPr>
        <w:numPr>
          <w:ilvl w:val="0"/>
          <w:numId w:val="1"/>
        </w:numPr>
        <w:spacing w:after="57" w:line="276" w:lineRule="auto"/>
        <w:jc w:val="both"/>
        <w:rPr>
          <w:rFonts w:hint="eastAsia"/>
        </w:rPr>
      </w:pPr>
      <w:r>
        <w:rPr>
          <w:rFonts w:ascii="Cambria" w:hAnsi="Cambria"/>
          <w:b/>
          <w:bCs/>
        </w:rPr>
        <w:t>A)</w:t>
      </w:r>
      <w:r>
        <w:rPr>
          <w:rFonts w:ascii="Cambria" w:hAnsi="Cambria"/>
        </w:rPr>
        <w:t xml:space="preserve"> Valutazione comportamentale: Precisione e accuratezza nell’esecuzione delle mansioni;</w:t>
      </w:r>
    </w:p>
    <w:p w:rsidR="00796117" w:rsidRDefault="00065F45">
      <w:pPr>
        <w:numPr>
          <w:ilvl w:val="0"/>
          <w:numId w:val="1"/>
        </w:numPr>
        <w:spacing w:after="57" w:line="276" w:lineRule="auto"/>
        <w:jc w:val="both"/>
        <w:rPr>
          <w:rFonts w:ascii="Cambria" w:hAnsi="Cambria"/>
        </w:rPr>
      </w:pPr>
      <w:r>
        <w:rPr>
          <w:rFonts w:ascii="Cambria" w:hAnsi="Cambria"/>
          <w:b/>
          <w:bCs/>
        </w:rPr>
        <w:t>A2)</w:t>
      </w:r>
      <w:r>
        <w:rPr>
          <w:rFonts w:ascii="Cambria" w:hAnsi="Cambria"/>
        </w:rPr>
        <w:t xml:space="preserve"> Valutazione comportamentale: Disponibilità, tempestività e flessibilità organizzativa nei rapporti intersoggettivi e con l’utenza, anche esterna;</w:t>
      </w:r>
    </w:p>
    <w:p w:rsidR="00796117" w:rsidRDefault="00065F45">
      <w:pPr>
        <w:numPr>
          <w:ilvl w:val="0"/>
          <w:numId w:val="1"/>
        </w:numPr>
        <w:spacing w:after="57" w:line="276" w:lineRule="auto"/>
        <w:jc w:val="both"/>
        <w:rPr>
          <w:rFonts w:ascii="Cambria" w:hAnsi="Cambria"/>
        </w:rPr>
      </w:pPr>
      <w:r>
        <w:rPr>
          <w:rFonts w:ascii="Cambria" w:hAnsi="Cambria"/>
          <w:b/>
          <w:bCs/>
        </w:rPr>
        <w:t>B)</w:t>
      </w:r>
      <w:r>
        <w:rPr>
          <w:rFonts w:ascii="Cambria" w:hAnsi="Cambria"/>
        </w:rPr>
        <w:t xml:space="preserve"> Apporto individuale agli obiettivi di PEG: Raggiungimento dei risultati operativi propri della mansione, in correlazione ai più ampi processi produttivi/amministrativi cui afferiscono.</w:t>
      </w:r>
    </w:p>
    <w:p w:rsidR="00796117" w:rsidRDefault="00065F45">
      <w:pPr>
        <w:spacing w:after="57" w:line="276" w:lineRule="auto"/>
        <w:jc w:val="both"/>
        <w:rPr>
          <w:rFonts w:ascii="Cambria" w:hAnsi="Cambria"/>
        </w:rPr>
      </w:pPr>
      <w:r>
        <w:rPr>
          <w:rFonts w:ascii="Cambria" w:hAnsi="Cambria"/>
        </w:rPr>
        <w:t>Il valutatore assegna a ciascun elemento di valutazione di ogni ambito di valutazione, riga per riga, un unico punteggio, privo di decimali, da 5 a 10.</w:t>
      </w:r>
    </w:p>
    <w:p w:rsidR="00796117" w:rsidRDefault="00065F45">
      <w:pPr>
        <w:spacing w:after="57" w:line="276" w:lineRule="auto"/>
        <w:jc w:val="both"/>
        <w:rPr>
          <w:rFonts w:ascii="Cambria" w:hAnsi="Cambria"/>
        </w:rPr>
      </w:pPr>
      <w:r>
        <w:rPr>
          <w:rFonts w:ascii="Cambria" w:hAnsi="Cambria"/>
        </w:rPr>
        <w:t>Il file in excel produce automaticamente la valutazione media per ciascun ambito di valutazione (caselle con sfondo giallo).</w:t>
      </w:r>
    </w:p>
    <w:p w:rsidR="00796117" w:rsidRDefault="00065F45">
      <w:pPr>
        <w:spacing w:after="57" w:line="276" w:lineRule="auto"/>
        <w:jc w:val="both"/>
        <w:rPr>
          <w:rFonts w:ascii="Cambria" w:hAnsi="Cambria"/>
        </w:rPr>
      </w:pPr>
      <w:r>
        <w:rPr>
          <w:rFonts w:ascii="Cambria" w:hAnsi="Cambria"/>
        </w:rPr>
        <w:t>Il punteggio finale, per ciascun valutato, è pari alla media delle tre valutazioni medie di cui sopra ed è rappresentato nella casella finale, con sfondo rosa, del file.</w:t>
      </w: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796117">
      <w:pPr>
        <w:spacing w:line="276" w:lineRule="auto"/>
        <w:jc w:val="both"/>
        <w:rPr>
          <w:rFonts w:hint="eastAsia"/>
        </w:rPr>
      </w:pPr>
    </w:p>
    <w:p w:rsidR="00796117" w:rsidRDefault="00065F45">
      <w:pPr>
        <w:spacing w:line="276" w:lineRule="auto"/>
        <w:jc w:val="center"/>
        <w:rPr>
          <w:rFonts w:ascii="Cambria" w:hAnsi="Cambria"/>
        </w:rPr>
      </w:pPr>
      <w:r>
        <w:rPr>
          <w:rFonts w:ascii="Cambria" w:hAnsi="Cambria"/>
        </w:rPr>
        <w:t>Allegato E)</w:t>
      </w:r>
    </w:p>
    <w:p w:rsidR="00796117" w:rsidRDefault="00065F45">
      <w:pPr>
        <w:spacing w:after="57" w:line="276" w:lineRule="auto"/>
        <w:jc w:val="center"/>
        <w:rPr>
          <w:rFonts w:ascii="Cambria" w:hAnsi="Cambria"/>
          <w:b/>
          <w:bCs/>
        </w:rPr>
      </w:pPr>
      <w:r>
        <w:rPr>
          <w:rFonts w:ascii="Cambria" w:hAnsi="Cambria"/>
          <w:b/>
          <w:bCs/>
        </w:rPr>
        <w:t xml:space="preserve">Scheda di valutazione della </w:t>
      </w:r>
      <w:r>
        <w:rPr>
          <w:rFonts w:ascii="Cambria" w:hAnsi="Cambria"/>
          <w:b/>
          <w:bCs/>
          <w:i/>
        </w:rPr>
        <w:t>performance</w:t>
      </w:r>
    </w:p>
    <w:p w:rsidR="00796117" w:rsidRDefault="00065F45">
      <w:pPr>
        <w:spacing w:after="57" w:line="276" w:lineRule="auto"/>
        <w:jc w:val="center"/>
        <w:rPr>
          <w:rFonts w:ascii="Cambria" w:hAnsi="Cambria"/>
          <w:b/>
          <w:bCs/>
        </w:rPr>
      </w:pPr>
      <w:r>
        <w:rPr>
          <w:rFonts w:ascii="Cambria" w:hAnsi="Cambria"/>
          <w:b/>
          <w:bCs/>
        </w:rPr>
        <w:t>del Segretario comunale</w:t>
      </w:r>
    </w:p>
    <w:p w:rsidR="00796117" w:rsidRDefault="00796117">
      <w:pPr>
        <w:spacing w:after="57" w:line="276" w:lineRule="auto"/>
        <w:jc w:val="center"/>
        <w:rPr>
          <w:rFonts w:ascii="Cambria" w:hAnsi="Cambria"/>
          <w:b/>
          <w:bCs/>
        </w:rPr>
      </w:pPr>
    </w:p>
    <w:p w:rsidR="00796117" w:rsidRDefault="00065F45">
      <w:pPr>
        <w:spacing w:after="57" w:line="276" w:lineRule="auto"/>
        <w:jc w:val="both"/>
        <w:rPr>
          <w:rFonts w:hint="eastAsia"/>
        </w:rPr>
      </w:pPr>
      <w:r>
        <w:rPr>
          <w:rFonts w:ascii="Cambria" w:hAnsi="Cambria"/>
        </w:rPr>
        <w:t>Gli elementi di valutazione sono ripartiti nei tre seguenti ambiti di valutazione:</w:t>
      </w:r>
    </w:p>
    <w:p w:rsidR="00796117" w:rsidRDefault="00065F45">
      <w:pPr>
        <w:pStyle w:val="Paragrafoelenco"/>
        <w:numPr>
          <w:ilvl w:val="0"/>
          <w:numId w:val="2"/>
        </w:numPr>
        <w:spacing w:after="57" w:line="276" w:lineRule="auto"/>
        <w:jc w:val="both"/>
        <w:rPr>
          <w:rFonts w:hint="eastAsia"/>
        </w:rPr>
      </w:pPr>
      <w:r>
        <w:t>PERFORMANCE ORGANIZZATIVA DI ENTE;</w:t>
      </w:r>
    </w:p>
    <w:p w:rsidR="00796117" w:rsidRDefault="00065F45">
      <w:pPr>
        <w:pStyle w:val="Paragrafoelenco"/>
        <w:numPr>
          <w:ilvl w:val="0"/>
          <w:numId w:val="2"/>
        </w:numPr>
        <w:spacing w:after="57" w:line="276" w:lineRule="auto"/>
        <w:jc w:val="both"/>
        <w:rPr>
          <w:rFonts w:hint="eastAsia"/>
        </w:rPr>
      </w:pPr>
      <w:r>
        <w:t>VALUTAZIONE DEGLI OBIETTIVI ASSEGNATI;</w:t>
      </w:r>
    </w:p>
    <w:p w:rsidR="00796117" w:rsidRDefault="00065F45">
      <w:pPr>
        <w:pStyle w:val="Paragrafoelenco"/>
        <w:numPr>
          <w:ilvl w:val="0"/>
          <w:numId w:val="2"/>
        </w:numPr>
        <w:spacing w:after="57" w:line="276" w:lineRule="auto"/>
        <w:jc w:val="both"/>
        <w:rPr>
          <w:rFonts w:hint="eastAsia"/>
        </w:rPr>
      </w:pPr>
      <w:r>
        <w:t>COMPORTAMENTI ORGANIZZATIVI;</w:t>
      </w:r>
    </w:p>
    <w:p w:rsidR="00796117" w:rsidRDefault="00796117">
      <w:pPr>
        <w:spacing w:after="57" w:line="276" w:lineRule="auto"/>
        <w:jc w:val="both"/>
        <w:rPr>
          <w:rFonts w:hint="eastAsia"/>
        </w:rPr>
      </w:pPr>
    </w:p>
    <w:p w:rsidR="00796117" w:rsidRDefault="00065F45">
      <w:pPr>
        <w:spacing w:after="57" w:line="276" w:lineRule="auto"/>
        <w:jc w:val="both"/>
        <w:rPr>
          <w:rFonts w:hint="eastAsia"/>
        </w:rPr>
      </w:pPr>
      <w:r>
        <w:t>Il punteggio finale dell’intero ambito è pari a:</w:t>
      </w:r>
    </w:p>
    <w:p w:rsidR="00796117" w:rsidRDefault="00065F45">
      <w:pPr>
        <w:pStyle w:val="Paragrafoelenco"/>
        <w:numPr>
          <w:ilvl w:val="0"/>
          <w:numId w:val="3"/>
        </w:numPr>
        <w:spacing w:after="57" w:line="276" w:lineRule="auto"/>
        <w:jc w:val="both"/>
        <w:rPr>
          <w:rFonts w:hint="eastAsia"/>
        </w:rPr>
      </w:pPr>
      <w:r>
        <w:t>PERFORMANCE ORGANIZZATIVA DI ENTE fino a 40 punti;</w:t>
      </w:r>
    </w:p>
    <w:p w:rsidR="00796117" w:rsidRDefault="00065F45">
      <w:pPr>
        <w:pStyle w:val="Paragrafoelenco"/>
        <w:numPr>
          <w:ilvl w:val="0"/>
          <w:numId w:val="3"/>
        </w:numPr>
        <w:spacing w:after="57" w:line="276" w:lineRule="auto"/>
        <w:jc w:val="both"/>
        <w:rPr>
          <w:rFonts w:hint="eastAsia"/>
        </w:rPr>
      </w:pPr>
      <w:r>
        <w:t>VALUTAZIONE DEGLI OBIETTIVI ASSEGNATI fino a 30 punti;</w:t>
      </w:r>
    </w:p>
    <w:p w:rsidR="00796117" w:rsidRDefault="00065F45">
      <w:pPr>
        <w:pStyle w:val="Paragrafoelenco"/>
        <w:numPr>
          <w:ilvl w:val="0"/>
          <w:numId w:val="3"/>
        </w:numPr>
        <w:spacing w:after="57" w:line="276" w:lineRule="auto"/>
        <w:jc w:val="both"/>
        <w:rPr>
          <w:rFonts w:hint="eastAsia"/>
        </w:rPr>
      </w:pPr>
      <w:r>
        <w:t xml:space="preserve">COMPORTAMENTI ORGANIZZATIVI fino a 30 punti; </w:t>
      </w:r>
    </w:p>
    <w:p w:rsidR="00796117" w:rsidRDefault="00796117">
      <w:pPr>
        <w:spacing w:after="57" w:line="276" w:lineRule="auto"/>
        <w:jc w:val="both"/>
        <w:rPr>
          <w:rFonts w:ascii="Cambria" w:hAnsi="Cambria"/>
        </w:rPr>
      </w:pPr>
    </w:p>
    <w:p w:rsidR="00796117" w:rsidRDefault="00065F45">
      <w:pPr>
        <w:spacing w:after="57" w:line="276" w:lineRule="auto"/>
        <w:jc w:val="both"/>
        <w:rPr>
          <w:rFonts w:hint="eastAsia"/>
        </w:rPr>
      </w:pPr>
      <w:r>
        <w:rPr>
          <w:rFonts w:ascii="Cambria" w:hAnsi="Cambria"/>
        </w:rPr>
        <w:t>ed è rappresentato nella casella finale per un totale di 100 punti, che corrisponde alla valutazione finale complessiva dell’intera performance del Segretario comunale.</w:t>
      </w:r>
    </w:p>
    <w:p w:rsidR="00796117" w:rsidRDefault="00065F45">
      <w:pPr>
        <w:spacing w:after="57" w:line="276" w:lineRule="auto"/>
        <w:jc w:val="both"/>
        <w:rPr>
          <w:rFonts w:hint="eastAsia"/>
        </w:rPr>
      </w:pPr>
      <w:r>
        <w:t>La valutazione a partire da 90 punti determina l’applicazione del 10% del monte salari del segretario comunale, per la definizione dell’indennità di risultato.</w:t>
      </w:r>
    </w:p>
    <w:p w:rsidR="00796117" w:rsidRDefault="00065F45">
      <w:pPr>
        <w:spacing w:after="57" w:line="276" w:lineRule="auto"/>
        <w:jc w:val="both"/>
        <w:rPr>
          <w:rFonts w:hint="eastAsia"/>
        </w:rPr>
      </w:pPr>
      <w:r>
        <w:t xml:space="preserve">La valutazione inferiore a 90 punti determina che la quantificazione dell’indennità di risultato sia riproporzionata rispetto al 10% ( Es.: punteggio 85 = indennità pari all’85% del 10% ). </w:t>
      </w:r>
    </w:p>
    <w:p w:rsidR="00796117" w:rsidRDefault="00796117">
      <w:pPr>
        <w:spacing w:after="57" w:line="276" w:lineRule="auto"/>
        <w:jc w:val="both"/>
        <w:rPr>
          <w:rFonts w:hint="eastAsia"/>
        </w:rPr>
      </w:pPr>
    </w:p>
    <w:p w:rsidR="00796117" w:rsidRDefault="00796117">
      <w:pPr>
        <w:spacing w:after="57" w:line="276" w:lineRule="auto"/>
        <w:rPr>
          <w:rFonts w:hint="eastAsia"/>
        </w:rPr>
      </w:pPr>
    </w:p>
    <w:sectPr w:rsidR="00796117" w:rsidSect="003D6089">
      <w:footerReference w:type="default" r:id="rId7"/>
      <w:pgSz w:w="11906" w:h="16838"/>
      <w:pgMar w:top="1134" w:right="1134" w:bottom="1134" w:left="1134" w:header="0" w:footer="0" w:gutter="0"/>
      <w:cols w:space="720"/>
      <w:formProt w:val="0"/>
      <w:docGrid w:linePitch="312"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82D" w:rsidRDefault="008C382D">
      <w:pPr>
        <w:rPr>
          <w:rFonts w:hint="eastAsia"/>
        </w:rPr>
      </w:pPr>
      <w:r>
        <w:separator/>
      </w:r>
    </w:p>
  </w:endnote>
  <w:endnote w:type="continuationSeparator" w:id="1">
    <w:p w:rsidR="008C382D" w:rsidRDefault="008C382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11795"/>
      <w:docPartObj>
        <w:docPartGallery w:val="Page Numbers (Bottom of Page)"/>
        <w:docPartUnique/>
      </w:docPartObj>
    </w:sdtPr>
    <w:sdtContent>
      <w:sdt>
        <w:sdtPr>
          <w:id w:val="-1769616900"/>
          <w:docPartObj>
            <w:docPartGallery w:val="Page Numbers (Top of Page)"/>
            <w:docPartUnique/>
          </w:docPartObj>
        </w:sdtPr>
        <w:sdtContent>
          <w:p w:rsidR="00D12AB3" w:rsidRPr="00D12AB3" w:rsidRDefault="00D12AB3">
            <w:pPr>
              <w:pStyle w:val="Pidipagina"/>
              <w:jc w:val="right"/>
              <w:rPr>
                <w:rFonts w:hint="eastAsia"/>
              </w:rPr>
            </w:pPr>
            <w:r w:rsidRPr="00D12AB3">
              <w:t xml:space="preserve">Pag. </w:t>
            </w:r>
            <w:r w:rsidR="003D6089" w:rsidRPr="00D12AB3">
              <w:rPr>
                <w:bCs/>
                <w:szCs w:val="24"/>
              </w:rPr>
              <w:fldChar w:fldCharType="begin"/>
            </w:r>
            <w:r w:rsidRPr="00D12AB3">
              <w:rPr>
                <w:bCs/>
              </w:rPr>
              <w:instrText>PAGE</w:instrText>
            </w:r>
            <w:r w:rsidR="003D6089" w:rsidRPr="00D12AB3">
              <w:rPr>
                <w:bCs/>
                <w:szCs w:val="24"/>
              </w:rPr>
              <w:fldChar w:fldCharType="separate"/>
            </w:r>
            <w:r w:rsidR="008C382D">
              <w:rPr>
                <w:rFonts w:hint="eastAsia"/>
                <w:bCs/>
                <w:noProof/>
              </w:rPr>
              <w:t>1</w:t>
            </w:r>
            <w:r w:rsidR="003D6089" w:rsidRPr="00D12AB3">
              <w:rPr>
                <w:bCs/>
                <w:szCs w:val="24"/>
              </w:rPr>
              <w:fldChar w:fldCharType="end"/>
            </w:r>
            <w:r w:rsidRPr="00D12AB3">
              <w:t xml:space="preserve"> a </w:t>
            </w:r>
            <w:r w:rsidR="003D6089" w:rsidRPr="00D12AB3">
              <w:rPr>
                <w:bCs/>
                <w:szCs w:val="24"/>
              </w:rPr>
              <w:fldChar w:fldCharType="begin"/>
            </w:r>
            <w:r w:rsidRPr="00D12AB3">
              <w:rPr>
                <w:bCs/>
              </w:rPr>
              <w:instrText>NUMPAGES</w:instrText>
            </w:r>
            <w:r w:rsidR="003D6089" w:rsidRPr="00D12AB3">
              <w:rPr>
                <w:bCs/>
                <w:szCs w:val="24"/>
              </w:rPr>
              <w:fldChar w:fldCharType="separate"/>
            </w:r>
            <w:r w:rsidR="008C382D">
              <w:rPr>
                <w:rFonts w:hint="eastAsia"/>
                <w:bCs/>
                <w:noProof/>
              </w:rPr>
              <w:t>1</w:t>
            </w:r>
            <w:r w:rsidR="003D6089" w:rsidRPr="00D12AB3">
              <w:rPr>
                <w:bCs/>
                <w:szCs w:val="24"/>
              </w:rPr>
              <w:fldChar w:fldCharType="end"/>
            </w:r>
          </w:p>
        </w:sdtContent>
      </w:sdt>
    </w:sdtContent>
  </w:sdt>
  <w:p w:rsidR="00796117" w:rsidRDefault="00796117">
    <w:pPr>
      <w:pStyle w:val="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82D" w:rsidRDefault="008C382D">
      <w:pPr>
        <w:rPr>
          <w:rFonts w:hint="eastAsia"/>
        </w:rPr>
      </w:pPr>
      <w:r>
        <w:separator/>
      </w:r>
    </w:p>
  </w:footnote>
  <w:footnote w:type="continuationSeparator" w:id="1">
    <w:p w:rsidR="008C382D" w:rsidRDefault="008C382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494"/>
    <w:multiLevelType w:val="multilevel"/>
    <w:tmpl w:val="389AC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FD50F44"/>
    <w:multiLevelType w:val="multilevel"/>
    <w:tmpl w:val="9294D3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00C5C9D"/>
    <w:multiLevelType w:val="multilevel"/>
    <w:tmpl w:val="99DAE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8B91819"/>
    <w:multiLevelType w:val="multilevel"/>
    <w:tmpl w:val="7ABE34F6"/>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7DA08A7"/>
    <w:multiLevelType w:val="multilevel"/>
    <w:tmpl w:val="57C0F5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autoHyphenation/>
  <w:hyphenationZone w:val="283"/>
  <w:characterSpacingControl w:val="doNotCompress"/>
  <w:savePreviewPicture/>
  <w:footnotePr>
    <w:footnote w:id="0"/>
    <w:footnote w:id="1"/>
  </w:footnotePr>
  <w:endnotePr>
    <w:endnote w:id="0"/>
    <w:endnote w:id="1"/>
  </w:endnotePr>
  <w:compat>
    <w:useFELayout/>
  </w:compat>
  <w:rsids>
    <w:rsidRoot w:val="00796117"/>
    <w:rsid w:val="0002196F"/>
    <w:rsid w:val="00065F45"/>
    <w:rsid w:val="003A1B5D"/>
    <w:rsid w:val="003D6089"/>
    <w:rsid w:val="006163B1"/>
    <w:rsid w:val="00796117"/>
    <w:rsid w:val="008C382D"/>
    <w:rsid w:val="00A144E8"/>
    <w:rsid w:val="00A71934"/>
    <w:rsid w:val="00C426E3"/>
    <w:rsid w:val="00D12A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60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3D6089"/>
    <w:rPr>
      <w:rFonts w:ascii="OpenSymbol" w:eastAsia="OpenSymbol" w:hAnsi="OpenSymbol" w:cs="OpenSymbol"/>
    </w:rPr>
  </w:style>
  <w:style w:type="character" w:customStyle="1" w:styleId="IntestazioneCarattere">
    <w:name w:val="Intestazione Carattere"/>
    <w:basedOn w:val="Carpredefinitoparagrafo"/>
    <w:link w:val="Intestazione"/>
    <w:uiPriority w:val="99"/>
    <w:qFormat/>
    <w:rsid w:val="00417E41"/>
    <w:rPr>
      <w:rFonts w:cs="Mangal"/>
      <w:szCs w:val="21"/>
    </w:rPr>
  </w:style>
  <w:style w:type="character" w:customStyle="1" w:styleId="PidipaginaCarattere">
    <w:name w:val="Piè di pagina Carattere"/>
    <w:basedOn w:val="Carpredefinitoparagrafo"/>
    <w:link w:val="Pidipagina"/>
    <w:uiPriority w:val="99"/>
    <w:qFormat/>
    <w:rsid w:val="00417E41"/>
    <w:rPr>
      <w:rFonts w:cs="Mangal"/>
      <w:szCs w:val="21"/>
    </w:rPr>
  </w:style>
  <w:style w:type="paragraph" w:styleId="Titolo">
    <w:name w:val="Title"/>
    <w:basedOn w:val="Normale"/>
    <w:next w:val="Corpodeltesto"/>
    <w:qFormat/>
    <w:rsid w:val="003D6089"/>
    <w:pPr>
      <w:keepNext/>
      <w:spacing w:before="240" w:after="120"/>
    </w:pPr>
    <w:rPr>
      <w:rFonts w:ascii="Liberation Sans" w:eastAsia="Microsoft YaHei" w:hAnsi="Liberation Sans"/>
      <w:sz w:val="28"/>
      <w:szCs w:val="28"/>
    </w:rPr>
  </w:style>
  <w:style w:type="paragraph" w:styleId="Corpodeltesto">
    <w:name w:val="Body Text"/>
    <w:basedOn w:val="Normale"/>
    <w:rsid w:val="003D6089"/>
    <w:pPr>
      <w:spacing w:after="140" w:line="276" w:lineRule="auto"/>
    </w:pPr>
  </w:style>
  <w:style w:type="paragraph" w:styleId="Elenco">
    <w:name w:val="List"/>
    <w:basedOn w:val="Corpodeltesto"/>
    <w:rsid w:val="003D6089"/>
  </w:style>
  <w:style w:type="paragraph" w:styleId="Didascalia">
    <w:name w:val="caption"/>
    <w:basedOn w:val="Normale"/>
    <w:qFormat/>
    <w:rsid w:val="003D6089"/>
    <w:pPr>
      <w:suppressLineNumbers/>
      <w:spacing w:before="120" w:after="120"/>
    </w:pPr>
    <w:rPr>
      <w:i/>
      <w:iCs/>
    </w:rPr>
  </w:style>
  <w:style w:type="paragraph" w:customStyle="1" w:styleId="Indice">
    <w:name w:val="Indice"/>
    <w:basedOn w:val="Normale"/>
    <w:qFormat/>
    <w:rsid w:val="003D6089"/>
    <w:pPr>
      <w:suppressLineNumbers/>
    </w:pPr>
  </w:style>
  <w:style w:type="paragraph" w:styleId="Paragrafoelenco">
    <w:name w:val="List Paragraph"/>
    <w:basedOn w:val="Normale"/>
    <w:uiPriority w:val="34"/>
    <w:qFormat/>
    <w:rsid w:val="00702B89"/>
    <w:pPr>
      <w:ind w:left="720"/>
      <w:contextualSpacing/>
    </w:pPr>
    <w:rPr>
      <w:rFonts w:cs="Mangal"/>
      <w:szCs w:val="21"/>
    </w:rPr>
  </w:style>
  <w:style w:type="paragraph" w:customStyle="1" w:styleId="Intestazioneepidipagina">
    <w:name w:val="Intestazione e piè di pagina"/>
    <w:basedOn w:val="Normale"/>
    <w:qFormat/>
    <w:rsid w:val="003D6089"/>
  </w:style>
  <w:style w:type="paragraph" w:styleId="Intestazione">
    <w:name w:val="header"/>
    <w:basedOn w:val="Normale"/>
    <w:link w:val="IntestazioneCarattere"/>
    <w:uiPriority w:val="99"/>
    <w:unhideWhenUsed/>
    <w:rsid w:val="00417E41"/>
    <w:pPr>
      <w:tabs>
        <w:tab w:val="center" w:pos="4819"/>
        <w:tab w:val="right" w:pos="9638"/>
      </w:tabs>
    </w:pPr>
    <w:rPr>
      <w:rFonts w:cs="Mangal"/>
      <w:szCs w:val="21"/>
    </w:rPr>
  </w:style>
  <w:style w:type="paragraph" w:styleId="Pidipagina">
    <w:name w:val="footer"/>
    <w:basedOn w:val="Normale"/>
    <w:link w:val="PidipaginaCarattere"/>
    <w:uiPriority w:val="99"/>
    <w:unhideWhenUsed/>
    <w:rsid w:val="00417E41"/>
    <w:pPr>
      <w:tabs>
        <w:tab w:val="center" w:pos="4819"/>
        <w:tab w:val="right" w:pos="9638"/>
      </w:tabs>
    </w:pPr>
    <w:rPr>
      <w:rFonts w:cs="Mangal"/>
      <w:szCs w:val="21"/>
    </w:rPr>
  </w:style>
  <w:style w:type="paragraph" w:styleId="Testofumetto">
    <w:name w:val="Balloon Text"/>
    <w:basedOn w:val="Normale"/>
    <w:link w:val="TestofumettoCarattere"/>
    <w:uiPriority w:val="99"/>
    <w:semiHidden/>
    <w:unhideWhenUsed/>
    <w:rsid w:val="003A1B5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A1B5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Comune</cp:lastModifiedBy>
  <cp:revision>2</cp:revision>
  <dcterms:created xsi:type="dcterms:W3CDTF">2021-01-26T11:53:00Z</dcterms:created>
  <dcterms:modified xsi:type="dcterms:W3CDTF">2021-01-26T11:53:00Z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