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widowControl w:val="fals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Titoloprincipale"/>
        <w:widowControl w:val="false"/>
        <w:rPr/>
      </w:pPr>
      <w:r>
        <w:rPr>
          <w:color w:val="000000"/>
          <w:sz w:val="24"/>
          <w:szCs w:val="22"/>
        </w:rPr>
        <w:t xml:space="preserve">ACCORDO DI COLLABORAZIONE SCIENTIFICA (allegato </w:t>
      </w:r>
      <w:r>
        <w:rPr>
          <w:color w:val="000000"/>
          <w:sz w:val="24"/>
          <w:szCs w:val="22"/>
        </w:rPr>
        <w:t>4</w:t>
      </w:r>
      <w:r>
        <w:rPr>
          <w:color w:val="000000"/>
          <w:sz w:val="24"/>
          <w:szCs w:val="22"/>
        </w:rPr>
        <w:t>)</w:t>
      </w:r>
    </w:p>
    <w:p>
      <w:pPr>
        <w:pStyle w:val="Sottotitolo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Sottotitol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Sottotitol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TRA</w:t>
      </w:r>
    </w:p>
    <w:p>
      <w:pPr>
        <w:pStyle w:val="Sottotitolo"/>
        <w:spacing w:lineRule="auto" w:line="276"/>
        <w:ind w:right="-1" w:hanging="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</w:r>
    </w:p>
    <w:p>
      <w:pPr>
        <w:pStyle w:val="Normal"/>
        <w:spacing w:lineRule="auto" w:line="276"/>
        <w:jc w:val="both"/>
        <w:rPr>
          <w:bCs/>
          <w:color w:val="000000"/>
          <w:sz w:val="24"/>
          <w:szCs w:val="22"/>
        </w:rPr>
      </w:pPr>
      <w:r>
        <w:rPr>
          <w:color w:val="000000"/>
          <w:sz w:val="24"/>
        </w:rPr>
        <w:t>L</w:t>
      </w:r>
      <w:r>
        <w:rPr>
          <w:sz w:val="24"/>
          <w:szCs w:val="24"/>
          <w:lang w:eastAsia="ar-SA"/>
        </w:rPr>
        <w:t>’Università degli Studi di Macerata – Dipartimento di Studi Umanistici, lingue, mediazione, storia, lettere, filosofia (d’ora in poi Università di Macerata), con sede legale in Macerata, Via Crescimbeni 30/32 C.F. N. 00177050432, e sede amministrativa (per l’attività oggetto della presente convenzione) in Macerata, Corso Cavour, 2, rappresentata dal prof. Francesco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ar-SA"/>
        </w:rPr>
        <w:t>Adornato, nato a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ar-SA"/>
        </w:rPr>
        <w:t>Cittanova (RC) il 18.01.1952, nella sua qualità di Rettore p.t</w:t>
      </w:r>
      <w:r>
        <w:rPr>
          <w:bCs/>
          <w:lang w:eastAsia="ar-SA"/>
        </w:rPr>
        <w:t>.</w:t>
      </w:r>
    </w:p>
    <w:p>
      <w:pPr>
        <w:pStyle w:val="Normal"/>
        <w:spacing w:lineRule="auto" w:line="276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</w:r>
    </w:p>
    <w:p>
      <w:pPr>
        <w:pStyle w:val="Sottotitolo"/>
        <w:spacing w:lineRule="auto" w:line="36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E</w:t>
      </w:r>
    </w:p>
    <w:p>
      <w:pPr>
        <w:pStyle w:val="Normal"/>
        <w:spacing w:lineRule="auto" w:line="276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eastAsia="ar-SA"/>
        </w:rPr>
        <w:t xml:space="preserve">Il Comune di Matelica, Capofila del Progetto </w:t>
      </w:r>
      <w:r>
        <w:rPr>
          <w:rFonts w:cs="Helvetica"/>
          <w:b w:val="false"/>
          <w:bCs w:val="false"/>
          <w:i/>
          <w:iCs/>
          <w:sz w:val="24"/>
          <w:szCs w:val="24"/>
          <w:lang w:eastAsia="ar-SA"/>
        </w:rPr>
        <w:t>Città romane e Musei virtuali:</w:t>
        <w:br/>
        <w:t xml:space="preserve">eccellenze archeologiche tra il Fiastra e l’Esino,  </w:t>
      </w:r>
      <w:r>
        <w:rPr>
          <w:rFonts w:cs="Helvetica"/>
          <w:b w:val="false"/>
          <w:bCs w:val="false"/>
          <w:i w:val="false"/>
          <w:iCs w:val="false"/>
          <w:sz w:val="24"/>
          <w:szCs w:val="24"/>
          <w:lang w:eastAsia="ar-SA"/>
        </w:rPr>
        <w:t>finanziato dalla Regione Marche - LR n. 4/2010,</w:t>
      </w:r>
      <w:r>
        <w:rPr>
          <w:rFonts w:cs="Helvetica"/>
          <w:b w:val="false"/>
          <w:bCs w:val="false"/>
          <w:i/>
          <w:iCs/>
          <w:sz w:val="24"/>
          <w:szCs w:val="24"/>
          <w:lang w:eastAsia="ar-SA"/>
        </w:rPr>
        <w:t xml:space="preserve"> </w:t>
      </w:r>
      <w:r>
        <w:rPr>
          <w:rFonts w:cs="Helvetica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DDPF n. 147/2017-, </w:t>
      </w:r>
      <w:r>
        <w:rPr>
          <w:b w:val="false"/>
          <w:bCs w:val="false"/>
          <w:sz w:val="24"/>
          <w:szCs w:val="24"/>
          <w:lang w:eastAsia="ar-SA"/>
        </w:rPr>
        <w:t>con sede in Via Spontini. 4, di seguito chiamato semplicemente “Comune”, Cod. fisc. e partita IVA 00033120437, rappresentato dal Sindaco pro-tempore, Dott. Alessandro Delpriori, nato a Fabriano il 15/05/1977, residente a Matelica, Prov. MC, Via Vittorio Bachelet, n.8 codice fiscale DPLSN77E15D451R nella sua qualità di legale rappresentante</w:t>
      </w:r>
    </w:p>
    <w:p>
      <w:pPr>
        <w:pStyle w:val="Normal"/>
        <w:spacing w:lineRule="auto" w:line="2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pacing w:lineRule="auto" w:line="2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Titolo1"/>
        <w:numPr>
          <w:ilvl w:val="0"/>
          <w:numId w:val="2"/>
        </w:numPr>
        <w:spacing w:lineRule="auto" w:line="276"/>
        <w:ind w:left="0" w:right="-1" w:hanging="0"/>
        <w:jc w:val="center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Premesso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276"/>
        <w:ind w:left="284" w:right="-1" w:hanging="28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che l’Università di Macerata intende attivare progetti e collaborazioni culturali, formative, di aggiornamento e di ricerca con enti pubblici e privati che abbiano competenze nelle aree e nei settori scientifico-disciplinari presenti presso la stessa Università;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276"/>
        <w:ind w:left="284" w:right="-1" w:hanging="28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che </w:t>
      </w:r>
      <w:r>
        <w:rPr>
          <w:color w:val="000000"/>
          <w:sz w:val="24"/>
          <w:szCs w:val="22"/>
        </w:rPr>
        <w:t>il Comune ha</w:t>
      </w:r>
      <w:r>
        <w:rPr>
          <w:color w:val="000000"/>
          <w:sz w:val="24"/>
          <w:szCs w:val="21"/>
        </w:rPr>
        <w:t xml:space="preserve"> interesse a richiedere la collaborazione dell’Università di Macerata per svolgere attività di ricerca e di formazione: 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276"/>
        <w:ind w:left="284" w:right="-1" w:hanging="28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che è dichiarato interesse dell’Università di Macerata e del Comune sviluppare, con l’utilizzazione delle rispettive risorse, nell’ambito dei ruoli e delle competenze di ciascuno e nel rispetto delle competenze ed in piena collaborazione con la Soprintendenza Archeologia, Belle arti e Paesaggio delle Marche, le attività connesse agli ambiti in questione;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276"/>
        <w:ind w:left="284" w:right="-1" w:hanging="28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che le attività previste dalla presente convenzione rientrano tra le attività istituzionali di ricerca, formazione e terza missione del Dipartimento di Studi Umanistici;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276"/>
        <w:ind w:left="284" w:right="-1" w:hanging="28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che il Comune intende avviare attività di valorizzazione del territorio e delle città romane di Matelica, San Severino ed Urbisaglia nell’ambito del Progetto “Città romane e Musei virtuali: eccellenze archeologiche tra il Fiastra e l’Esino” approvato ai sensi della DGR n. 708 del 26.06.17 della Regione Marche; 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276"/>
        <w:ind w:left="284" w:right="-1" w:hanging="284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Che il Comune di Matelica intende avviare con l’Università di Macerata, Dipartimento di Studi Umanistici, una collaborazione scientifica in relazione alle attività da svolgere nell’ambito del Progetto “Città romane e Musei virtuali: eccellenze archeologiche tra il Fiastra e l’Esino”.</w:t>
      </w:r>
    </w:p>
    <w:p>
      <w:pPr>
        <w:pStyle w:val="Sottotitolo"/>
        <w:jc w:val="lef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Sottotitol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TRA LE PARTI SI CONVIENE E SI STIPULA QUANTO SEGUE:</w:t>
      </w:r>
    </w:p>
    <w:p>
      <w:pPr>
        <w:pStyle w:val="Sottotitolo"/>
        <w:jc w:val="lef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Sottotitolo"/>
        <w:rPr>
          <w:b/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Articolo 1 - OGGETTO E OBIETTIVI DELL’ACCORDO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L’Università di Macerata e il Comune intendono attivare un progetto di ricerca finalizzato a: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-Studio ed analisi architettonica attraverso realizzazione di modelli 3D digitali de: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Matilica: terme sotto Teatro Piersanti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Matilica: ambienti romani sotto Palazzo Ottoni.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Septempeda: Terme presso l’area urbana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Septempeda: Magazzino per la vendita della ceramica di Septempeda 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Urbs Salvia: edifici dell’area urbana.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Tali modelli potranno essere anche implementabili per la realizzazione di successive visite virtuali e navigazione immersiva per le città di Matilica, Septempeda e Urbs Salvia.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-Realizzazione di video e audio per la narrazione della storia delle città e del territorio di riferimento per le città di Matilica, Septempeda.e Urbs Salvia.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-Studio e ricerche per l’allestimento di pannelli esplicativi in italiano, inglese e braille nelle sezioni virtuali dei musei di Matelica, San Severino Marche e Urbisaglia.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-Studio e ricerche per la realizzazione di materiale promozionale coordinato.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A tale scopo l’Università di Macerata e il Comune si impegnano ad assolvere i compiti assegnati costituendo eventuali team di progetto coordinati dai rispettivi referenti.</w:t>
      </w:r>
    </w:p>
    <w:p>
      <w:pPr>
        <w:pStyle w:val="Sottotitol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Sottotitolo"/>
        <w:rPr>
          <w:b/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 xml:space="preserve">Articolo 2 - DIREZIONE DEL PROGRAMMA </w:t>
      </w:r>
    </w:p>
    <w:p>
      <w:pPr>
        <w:pStyle w:val="Normal"/>
        <w:overflowPunct w:val="false"/>
        <w:ind w:right="-1" w:hanging="0"/>
        <w:jc w:val="both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overflowPunct w:val="false"/>
        <w:ind w:right="-1" w:hanging="0"/>
        <w:jc w:val="both"/>
        <w:textAlignment w:val="baseline"/>
        <w:rPr/>
      </w:pPr>
      <w:r>
        <w:rPr>
          <w:color w:val="000000"/>
          <w:sz w:val="24"/>
          <w:szCs w:val="22"/>
        </w:rPr>
        <w:t xml:space="preserve">Le parti designano quali coordinatori del presente </w:t>
      </w:r>
      <w:r>
        <w:rPr>
          <w:sz w:val="24"/>
          <w:szCs w:val="22"/>
        </w:rPr>
        <w:t xml:space="preserve">accordo i proff. Simona Antolini e Roberto Perna </w:t>
      </w:r>
      <w:r>
        <w:rPr>
          <w:color w:val="000000"/>
          <w:sz w:val="24"/>
          <w:szCs w:val="22"/>
        </w:rPr>
        <w:t xml:space="preserve">per l’Università di Macerata, afferenti al Dipartimento di Studi Umanistici e </w:t>
      </w:r>
      <w:r>
        <w:rPr>
          <w:color w:val="000000"/>
          <w:sz w:val="24"/>
          <w:szCs w:val="24"/>
          <w:lang w:eastAsia="ar-SA"/>
        </w:rPr>
        <w:t>il Dott. Alessandro Delpriori</w:t>
      </w:r>
      <w:r>
        <w:rPr>
          <w:color w:val="000000" w:themeColor="text1"/>
          <w:sz w:val="24"/>
          <w:szCs w:val="22"/>
        </w:rPr>
        <w:t xml:space="preserve"> </w:t>
      </w:r>
      <w:r>
        <w:rPr>
          <w:color w:val="000000"/>
          <w:sz w:val="24"/>
          <w:szCs w:val="22"/>
        </w:rPr>
        <w:t>per il Comune.</w:t>
      </w:r>
    </w:p>
    <w:p>
      <w:pPr>
        <w:pStyle w:val="Normal"/>
        <w:overflowPunct w:val="false"/>
        <w:ind w:right="-1" w:hanging="0"/>
        <w:jc w:val="both"/>
        <w:textAlignment w:val="baseline"/>
        <w:rPr>
          <w:sz w:val="24"/>
          <w:szCs w:val="22"/>
        </w:rPr>
      </w:pPr>
      <w:r>
        <w:rPr>
          <w:sz w:val="24"/>
          <w:szCs w:val="22"/>
        </w:rPr>
        <w:t>I coordinatori dell’Università di Macerata e del Comune</w:t>
      </w:r>
      <w:r>
        <w:rPr>
          <w:color w:val="4472C4" w:themeColor="accent5"/>
          <w:sz w:val="24"/>
          <w:szCs w:val="22"/>
        </w:rPr>
        <w:t xml:space="preserve"> </w:t>
      </w:r>
      <w:r>
        <w:rPr>
          <w:sz w:val="24"/>
          <w:szCs w:val="22"/>
        </w:rPr>
        <w:t>individuati all’interno del presente accordo, definiranno di volta in volta le attività necessarie al raggiungimento degli obiettivi previsti, secondo quanto riportato nei punti precedenti.</w:t>
      </w:r>
    </w:p>
    <w:p>
      <w:pPr>
        <w:pStyle w:val="Sottotitolo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Sottotitolo"/>
        <w:rPr>
          <w:b/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Articolo 3 - DURATA</w:t>
      </w:r>
    </w:p>
    <w:p>
      <w:pPr>
        <w:pStyle w:val="Normal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Il presente accordo ha la durata di cinque mesi a decorrere dalla data di sottoscrizione e potrà essere rinnovato con atto scritto tra le Parti. Il Comune e l'Università potranno recedere in qualsiasi momento dalla presente convenzione quadro, previa comunicazione scritta, fatti salvi gli impegni già presi e le attività in corso di svolgimento.</w:t>
      </w:r>
    </w:p>
    <w:p>
      <w:pPr>
        <w:pStyle w:val="Sottotitol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jc w:val="center"/>
        <w:rPr>
          <w:b/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Articolo 4 – ONERI ECONOMICI</w:t>
      </w:r>
    </w:p>
    <w:p>
      <w:pPr>
        <w:pStyle w:val="Normal"/>
        <w:widowControl w:val="false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widowControl w:val="false"/>
        <w:jc w:val="both"/>
        <w:rPr/>
      </w:pPr>
      <w:r>
        <w:rPr>
          <w:color w:val="000000"/>
          <w:sz w:val="24"/>
          <w:szCs w:val="22"/>
        </w:rPr>
        <w:t>Il presente accordo non prevede oneri economici a carico dell’Università di Macerata. Per la realizzazione del progetto di ricerca e valorizzazione, oggetto del presente accordo, il Comune di Matelica riconosce all’Università di Macerata, Dipartimento di studi umanistici, un contributo di ricerca</w:t>
      </w:r>
      <w:r>
        <w:rPr>
          <w:color w:val="FF0000"/>
          <w:sz w:val="24"/>
          <w:szCs w:val="22"/>
        </w:rPr>
        <w:t xml:space="preserve"> </w:t>
      </w:r>
      <w:r>
        <w:rPr>
          <w:sz w:val="24"/>
          <w:szCs w:val="22"/>
        </w:rPr>
        <w:t>pari a euro 12.080,00</w:t>
      </w:r>
      <w:r>
        <w:rPr>
          <w:color w:val="000000"/>
          <w:sz w:val="24"/>
          <w:szCs w:val="22"/>
        </w:rPr>
        <w:t xml:space="preserve">, secondo </w:t>
      </w:r>
      <w:r>
        <w:rPr>
          <w:color w:val="000000"/>
          <w:sz w:val="24"/>
          <w:szCs w:val="22"/>
        </w:rPr>
        <w:t>i</w:t>
      </w:r>
      <w:r>
        <w:rPr>
          <w:color w:val="000000"/>
          <w:sz w:val="24"/>
          <w:szCs w:val="22"/>
        </w:rPr>
        <w:t>l “Piano degli oneri finanziari” e la “Descrizione dell’intervento progettuale”, allegati</w:t>
      </w:r>
      <w:r>
        <w:rPr>
          <w:color w:val="000000"/>
          <w:sz w:val="24"/>
          <w:szCs w:val="22"/>
        </w:rPr>
        <w:t>.</w:t>
      </w:r>
      <w:r>
        <w:rPr>
          <w:color w:val="000000"/>
          <w:sz w:val="24"/>
          <w:szCs w:val="22"/>
        </w:rPr>
        <w:t xml:space="preserve"> Il contributo sarà versato in due quote di pari importo di cui la prima all’avvio del progetto e la seconda alla consegna del report finale che conterrà i risultati del progetto.</w:t>
      </w:r>
    </w:p>
    <w:p>
      <w:pPr>
        <w:pStyle w:val="Normal"/>
        <w:widowControl w:val="false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jc w:val="center"/>
        <w:rPr>
          <w:b/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Articolo 5 –RISULTATI PRODOTTI</w:t>
      </w:r>
    </w:p>
    <w:p>
      <w:pPr>
        <w:pStyle w:val="Normal"/>
        <w:widowControl w:val="false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widowControl w:val="false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Le Parti, di comune accordo fin d'ora stabiliscono che i diritti di utilizzazione economica, e non, inerenti e/o relativi ai risultati dell’attività di ricerca condotta in esecuzione del presente contratto spetteranno a tutte e due le Parti, fatti salvi i diritti morali di autore o di inventore ai sensi delle vigenti leggi.</w:t>
      </w:r>
    </w:p>
    <w:p>
      <w:pPr>
        <w:pStyle w:val="Normal"/>
        <w:widowControl w:val="false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Le parti si impegnano ad indicare in ogni comunicazione o pubblicazione relativa alla diffusione dei risultati dell’attività di ricerca che essi sono scaturiti dalla collaborazione tra di loro.</w:t>
      </w:r>
    </w:p>
    <w:p>
      <w:pPr>
        <w:pStyle w:val="Sottotitol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Sottotitolo"/>
        <w:rPr>
          <w:b/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Articolo 6 - SOLUZIONE DELLE CONTROVERSIE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Tutte le controversie che dovessero insorgere tra le parti in relazione al presente accordo, comprese quelle inerenti alla sua validità, efficacia, interpretazione, esecuzione e risoluzione, dovranno essere oggetto di un preliminare tentativo di conciliazione. In caso di mancato raggiungimento di un accordo, le parti saranno libere di adire l’autorità giudiziaria ordinaria.</w:t>
      </w:r>
      <w:r>
        <w:rPr/>
        <w:t xml:space="preserve"> </w:t>
      </w:r>
      <w:r>
        <w:rPr>
          <w:color w:val="000000"/>
          <w:sz w:val="24"/>
          <w:szCs w:val="22"/>
        </w:rPr>
        <w:t>Le parti convengono che per ogni controversia è competente il Foro di Macerata.</w:t>
      </w:r>
    </w:p>
    <w:p>
      <w:pPr>
        <w:pStyle w:val="Normal"/>
        <w:tabs>
          <w:tab w:val="left" w:pos="426" w:leader="none"/>
        </w:tabs>
        <w:overflowPunct w:val="false"/>
        <w:ind w:right="-1" w:hanging="0"/>
        <w:jc w:val="both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Sottotitolo"/>
        <w:rPr>
          <w:b/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Articolo 7 - TRATTAMENTO DEI DATI PERSONALI</w:t>
      </w:r>
    </w:p>
    <w:p>
      <w:pPr>
        <w:pStyle w:val="Testonormale1"/>
        <w:widowControl w:val="false"/>
        <w:jc w:val="both"/>
        <w:rPr>
          <w:rFonts w:eastAsia="MS Mincho"/>
          <w:color w:val="000000"/>
          <w:sz w:val="24"/>
          <w:szCs w:val="22"/>
        </w:rPr>
      </w:pPr>
      <w:r>
        <w:rPr>
          <w:rFonts w:eastAsia="MS Mincho"/>
          <w:color w:val="000000"/>
          <w:sz w:val="24"/>
          <w:szCs w:val="22"/>
        </w:rPr>
      </w:r>
    </w:p>
    <w:p>
      <w:pPr>
        <w:pStyle w:val="Testonormale1"/>
        <w:widowControl w:val="false"/>
        <w:jc w:val="both"/>
        <w:rPr>
          <w:rFonts w:eastAsia="MS Mincho"/>
          <w:color w:val="000000"/>
          <w:sz w:val="24"/>
          <w:szCs w:val="22"/>
        </w:rPr>
      </w:pPr>
      <w:r>
        <w:rPr>
          <w:rFonts w:eastAsia="MS Mincho"/>
          <w:color w:val="000000"/>
          <w:sz w:val="24"/>
          <w:szCs w:val="22"/>
        </w:rPr>
        <w:t>Il trattamento dei dati personali avverrà, a cura delle parti, nel pieno rispetto delle disposizioni di cui al decreto legislativo 30 giugno 2003, n. 196.</w:t>
      </w:r>
    </w:p>
    <w:p>
      <w:pPr>
        <w:pStyle w:val="Normal"/>
        <w:jc w:val="center"/>
        <w:rPr>
          <w:rFonts w:ascii="Arial Narrow" w:hAnsi="Arial Narrow" w:cs="Times-Bold"/>
          <w:b/>
          <w:b/>
          <w:bCs/>
          <w:szCs w:val="24"/>
        </w:rPr>
      </w:pPr>
      <w:r>
        <w:rPr>
          <w:rFonts w:cs="Times-Bold" w:ascii="Arial Narrow" w:hAnsi="Arial Narrow"/>
          <w:b/>
          <w:bCs/>
          <w:szCs w:val="24"/>
        </w:rPr>
        <w:tab/>
        <w:tab/>
      </w:r>
    </w:p>
    <w:p>
      <w:pPr>
        <w:pStyle w:val="ListParagraph"/>
        <w:spacing w:lineRule="auto" w:line="240"/>
        <w:ind w:left="0" w:firstLine="708"/>
        <w:jc w:val="center"/>
        <w:rPr>
          <w:rFonts w:ascii="Times New Roman" w:hAnsi="Times New Roman" w:eastAsia="Times New Roman"/>
          <w:b/>
          <w:b/>
          <w:color w:val="000000"/>
          <w:sz w:val="24"/>
          <w:lang w:eastAsia="it-IT"/>
        </w:rPr>
      </w:pPr>
      <w:r>
        <w:rPr>
          <w:rFonts w:eastAsia="Times New Roman" w:ascii="Times New Roman" w:hAnsi="Times New Roman"/>
          <w:b/>
          <w:color w:val="000000"/>
          <w:sz w:val="24"/>
          <w:lang w:eastAsia="it-IT"/>
        </w:rPr>
        <w:t>Articolo 8 – REGISTRAZIONE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eastAsia="MS Mincho"/>
          <w:color w:val="000000"/>
          <w:sz w:val="24"/>
          <w:lang w:eastAsia="it-IT"/>
        </w:rPr>
      </w:pPr>
      <w:r>
        <w:rPr>
          <w:rFonts w:eastAsia="MS Mincho" w:ascii="Times New Roman" w:hAnsi="Times New Roman"/>
          <w:color w:val="000000"/>
          <w:sz w:val="24"/>
          <w:lang w:eastAsia="it-IT"/>
        </w:rPr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eastAsia="Times New Roman"/>
          <w:b/>
          <w:b/>
          <w:color w:val="000000"/>
          <w:sz w:val="24"/>
          <w:lang w:eastAsia="it-IT"/>
        </w:rPr>
      </w:pPr>
      <w:r>
        <w:rPr>
          <w:rFonts w:eastAsia="MS Mincho" w:ascii="Times New Roman" w:hAnsi="Times New Roman"/>
          <w:color w:val="000000"/>
          <w:sz w:val="24"/>
          <w:lang w:eastAsia="it-IT"/>
        </w:rPr>
        <w:t>La presente convenzione quadro sarà registrata in caso d’uso e a tassa fissa ai sensi dell’art. 4, tariffa parte II – atti soggetti a registrazione solo in caso d’uso – del D.P.R. n. 131/1986. Le spese dell’eventuale registrazione saranno a carico della parte richiedente.</w:t>
      </w:r>
    </w:p>
    <w:p>
      <w:pPr>
        <w:pStyle w:val="ListParagraph"/>
        <w:ind w:left="0" w:hanging="0"/>
        <w:jc w:val="both"/>
        <w:rPr>
          <w:rFonts w:ascii="Times New Roman" w:hAnsi="Times New Roman" w:eastAsia="MS Mincho"/>
          <w:sz w:val="24"/>
          <w:lang w:eastAsia="it-IT"/>
        </w:rPr>
      </w:pPr>
      <w:r>
        <w:rPr>
          <w:rFonts w:eastAsia="MS Mincho" w:ascii="Times New Roman" w:hAnsi="Times New Roman"/>
          <w:color w:val="000000"/>
          <w:sz w:val="24"/>
          <w:lang w:eastAsia="it-IT"/>
        </w:rPr>
        <w:t>L’imposta di bollo (art. 2 della tariffa, allegato A, parte prima del D.P.R. n. 642/1972), pari ad euro 16,00 verrà assolta dal Comune.</w:t>
      </w:r>
    </w:p>
    <w:p>
      <w:pPr>
        <w:pStyle w:val="ListParagraph"/>
        <w:ind w:left="0" w:hanging="0"/>
        <w:jc w:val="both"/>
        <w:rPr>
          <w:rFonts w:ascii="Times New Roman" w:hAnsi="Times New Roman" w:eastAsia="MS Mincho"/>
          <w:color w:val="000000"/>
          <w:sz w:val="24"/>
          <w:lang w:eastAsia="it-IT"/>
        </w:rPr>
      </w:pPr>
      <w:r>
        <w:rPr>
          <w:rFonts w:eastAsia="MS Mincho" w:ascii="Times New Roman" w:hAnsi="Times New Roman"/>
          <w:color w:val="000000"/>
          <w:sz w:val="24"/>
          <w:lang w:eastAsia="it-IT"/>
        </w:rPr>
      </w:r>
    </w:p>
    <w:p>
      <w:pPr>
        <w:pStyle w:val="ListParagraph"/>
        <w:ind w:left="0" w:hanging="0"/>
        <w:jc w:val="both"/>
        <w:rPr/>
      </w:pPr>
      <w:r>
        <w:rPr>
          <w:rFonts w:eastAsia="MS Mincho" w:ascii="Times New Roman" w:hAnsi="Times New Roman"/>
          <w:color w:val="000000"/>
          <w:sz w:val="24"/>
          <w:lang w:eastAsia="it-IT"/>
        </w:rPr>
        <w:t>La presente convenzione quadro viene sottoscritta digitalmente.</w:t>
      </w:r>
    </w:p>
    <w:p>
      <w:pPr>
        <w:pStyle w:val="Sottotitolo"/>
        <w:jc w:val="lef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</w:r>
    </w:p>
    <w:p>
      <w:pPr>
        <w:pStyle w:val="Sottotitolo"/>
        <w:jc w:val="lef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Macerata, </w:t>
      </w:r>
    </w:p>
    <w:tbl>
      <w:tblPr>
        <w:tblW w:w="9778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snapToGrid w:val="false"/>
              <w:ind w:right="-1" w:hanging="0"/>
              <w:jc w:val="center"/>
              <w:rPr/>
            </w:pPr>
            <w:r>
              <w:rPr>
                <w:color w:val="000000"/>
                <w:sz w:val="24"/>
                <w:szCs w:val="22"/>
              </w:rPr>
              <w:t>Per il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  <w:r>
              <w:rPr>
                <w:color w:val="0000FF"/>
                <w:sz w:val="24"/>
                <w:szCs w:val="21"/>
              </w:rPr>
              <w:t xml:space="preserve"> </w:t>
            </w:r>
            <w:r>
              <w:rPr>
                <w:color w:val="000000" w:themeColor="text1"/>
                <w:sz w:val="24"/>
                <w:szCs w:val="21"/>
              </w:rPr>
              <w:t>Comune di Matelica</w:t>
            </w:r>
          </w:p>
        </w:tc>
        <w:tc>
          <w:tcPr>
            <w:tcW w:w="4888" w:type="dxa"/>
            <w:tcBorders/>
            <w:shd w:color="auto" w:fill="auto" w:val="clear"/>
          </w:tcPr>
          <w:p>
            <w:pPr>
              <w:pStyle w:val="Normal"/>
              <w:snapToGrid w:val="false"/>
              <w:ind w:right="-1" w:hanging="0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Per L’Università degli Studi di Macerata</w:t>
            </w:r>
          </w:p>
        </w:tc>
      </w:tr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snapToGrid w:val="false"/>
              <w:ind w:right="-1" w:hanging="0"/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Il Sindaco</w:t>
            </w:r>
          </w:p>
          <w:p>
            <w:pPr>
              <w:pStyle w:val="Normal"/>
              <w:snapToGrid w:val="false"/>
              <w:ind w:right="-1" w:hanging="0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napToGrid w:val="false"/>
              <w:ind w:right="-1" w:hanging="0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napToGrid w:val="false"/>
              <w:ind w:right="-1" w:hanging="0"/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Dott. Alessandro Delpriori</w:t>
            </w:r>
          </w:p>
        </w:tc>
        <w:tc>
          <w:tcPr>
            <w:tcW w:w="4888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Il Rettore </w:t>
            </w:r>
          </w:p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Prof. Francesco Adornato</w:t>
            </w:r>
          </w:p>
        </w:tc>
      </w:tr>
      <w:tr>
        <w:trPr/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snapToGrid w:val="false"/>
              <w:ind w:right="-1" w:hanging="0"/>
              <w:jc w:val="center"/>
              <w:rPr>
                <w:color w:val="0000FF"/>
                <w:sz w:val="24"/>
                <w:szCs w:val="22"/>
              </w:rPr>
            </w:pPr>
            <w:r>
              <w:rPr>
                <w:color w:val="0000FF"/>
                <w:sz w:val="24"/>
                <w:szCs w:val="22"/>
              </w:rPr>
            </w:r>
          </w:p>
        </w:tc>
        <w:tc>
          <w:tcPr>
            <w:tcW w:w="488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</w:p>
        </w:tc>
      </w:tr>
      <w:tr>
        <w:trPr>
          <w:trHeight w:val="287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snapToGrid w:val="false"/>
              <w:ind w:right="-1" w:hanging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Normal"/>
              <w:ind w:right="-1" w:hanging="0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___________________________</w:t>
            </w:r>
          </w:p>
        </w:tc>
        <w:tc>
          <w:tcPr>
            <w:tcW w:w="4888" w:type="dxa"/>
            <w:tcBorders/>
            <w:shd w:color="auto" w:fill="auto" w:val="clear"/>
          </w:tcPr>
          <w:p>
            <w:pPr>
              <w:pStyle w:val="P9"/>
              <w:snapToGrid w:val="false"/>
              <w:spacing w:lineRule="auto" w:line="240"/>
              <w:ind w:right="-1" w:hanging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P9"/>
              <w:spacing w:lineRule="auto" w:line="240"/>
              <w:ind w:right="-1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9" w:top="766" w:footer="0" w:bottom="993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331"/>
      <w:gridCol w:w="1697"/>
      <w:gridCol w:w="1695"/>
      <w:gridCol w:w="3180"/>
    </w:tblGrid>
    <w:tr>
      <w:trPr>
        <w:trHeight w:val="1304" w:hRule="atLeast"/>
      </w:trPr>
      <w:tc>
        <w:tcPr>
          <w:tcW w:w="3331" w:type="dxa"/>
          <w:tcBorders/>
          <w:shd w:color="auto" w:fill="auto" w:val="clear"/>
        </w:tcPr>
        <w:p>
          <w:pPr>
            <w:pStyle w:val="Intestazione"/>
            <w:rPr>
              <w:rFonts w:eastAsia="Calibri"/>
              <w:sz w:val="22"/>
              <w:szCs w:val="22"/>
            </w:rPr>
          </w:pPr>
          <w:r>
            <w:rPr/>
            <w:drawing>
              <wp:inline distT="0" distB="0" distL="0" distR="0">
                <wp:extent cx="1911350" cy="857250"/>
                <wp:effectExtent l="0" t="0" r="0" b="0"/>
                <wp:docPr id="1" name="Immagine 8" descr="logo (1) UNI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8" descr="logo (1) UNI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7" w:type="dxa"/>
          <w:tcBorders/>
          <w:shd w:color="auto" w:fill="auto" w:val="clear"/>
        </w:tcPr>
        <w:p>
          <w:pPr>
            <w:pStyle w:val="Intestazione"/>
            <w:jc w:val="center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</w:r>
        </w:p>
      </w:tc>
      <w:tc>
        <w:tcPr>
          <w:tcW w:w="1695" w:type="dxa"/>
          <w:tcBorders/>
          <w:shd w:color="auto" w:fill="auto" w:val="clear"/>
        </w:tcPr>
        <w:p>
          <w:pPr>
            <w:pStyle w:val="Intestazione"/>
            <w:jc w:val="center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</w:r>
        </w:p>
        <w:p>
          <w:pPr>
            <w:pStyle w:val="Intestazione"/>
            <w:jc w:val="center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</w:r>
        </w:p>
        <w:p>
          <w:pPr>
            <w:pStyle w:val="Intestazione"/>
            <w:jc w:val="center"/>
            <w:rPr>
              <w:rFonts w:eastAsia="Calibri"/>
              <w:b/>
              <w:b/>
              <w:color w:val="0000FF"/>
              <w:sz w:val="22"/>
              <w:szCs w:val="22"/>
            </w:rPr>
          </w:pPr>
          <w:r>
            <w:rPr>
              <w:rFonts w:eastAsia="Calibri"/>
              <w:b/>
              <w:color w:val="0000FF"/>
              <w:sz w:val="22"/>
              <w:szCs w:val="22"/>
            </w:rPr>
          </w:r>
        </w:p>
      </w:tc>
      <w:tc>
        <w:tcPr>
          <w:tcW w:w="3180" w:type="dxa"/>
          <w:tcBorders/>
          <w:shd w:fill="auto" w:val="clear"/>
        </w:tcPr>
        <w:p>
          <w:pPr>
            <w:pStyle w:val="Intestazione"/>
            <w:jc w:val="center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</w:r>
        </w:p>
      </w:tc>
    </w:tr>
  </w:tbl>
  <w:p>
    <w:pPr>
      <w:pStyle w:val="Normal"/>
      <w:rPr>
        <w:rFonts w:ascii="Tahoma" w:hAnsi="Tahoma" w:cs="Tahoma"/>
        <w:b/>
        <w:b/>
        <w:i/>
        <w:i/>
        <w:spacing w:val="20"/>
        <w:sz w:val="18"/>
      </w:rPr>
    </w:pPr>
    <w:r>
      <w:rPr>
        <w:rFonts w:cs="Tahoma" w:ascii="Tahoma" w:hAnsi="Tahoma"/>
        <w:b/>
        <w:i/>
        <w:spacing w:val="20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sz w:val="24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0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qFormat/>
    <w:rsid w:val="0061000d"/>
    <w:pPr>
      <w:keepNext/>
      <w:numPr>
        <w:ilvl w:val="0"/>
        <w:numId w:val="1"/>
      </w:numPr>
      <w:jc w:val="both"/>
      <w:outlineLvl w:val="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61000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qFormat/>
    <w:rsid w:val="0061000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61000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qFormat/>
    <w:rsid w:val="0061000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1000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61000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951db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Arial"/>
    </w:rPr>
  </w:style>
  <w:style w:type="character" w:styleId="ListLabel7">
    <w:name w:val="ListLabel 7"/>
    <w:qFormat/>
    <w:rPr>
      <w:rFonts w:cs="Arial"/>
    </w:rPr>
  </w:style>
  <w:style w:type="character" w:styleId="ListLabel8">
    <w:name w:val="ListLabel 8"/>
    <w:qFormat/>
    <w:rPr>
      <w:rFonts w:cs="Arial"/>
    </w:rPr>
  </w:style>
  <w:style w:type="character" w:styleId="ListLabel9">
    <w:name w:val="ListLabel 9"/>
    <w:qFormat/>
    <w:rPr>
      <w:rFonts w:cs="Arial"/>
    </w:rPr>
  </w:style>
  <w:style w:type="character" w:styleId="ListLabel10">
    <w:name w:val="ListLabel 10"/>
    <w:qFormat/>
    <w:rPr>
      <w:rFonts w:cs="OpenSymbol"/>
      <w:sz w:val="24"/>
    </w:rPr>
  </w:style>
  <w:style w:type="character" w:styleId="ListLabel11">
    <w:name w:val="ListLabel 11"/>
    <w:qFormat/>
    <w:rPr>
      <w:rFonts w:cs="OpenSymbol"/>
      <w:sz w:val="24"/>
    </w:rPr>
  </w:style>
  <w:style w:type="character" w:styleId="ListLabel12">
    <w:name w:val="ListLabel 12"/>
    <w:qFormat/>
    <w:rPr>
      <w:rFonts w:cs="OpenSymbol"/>
      <w:sz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semiHidden/>
    <w:unhideWhenUsed/>
    <w:rsid w:val="0061000d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stonormale1" w:customStyle="1">
    <w:name w:val="Testo normale1"/>
    <w:basedOn w:val="Normal"/>
    <w:qFormat/>
    <w:rsid w:val="0061000d"/>
    <w:pPr/>
    <w:rPr/>
  </w:style>
  <w:style w:type="paragraph" w:styleId="Intestazione">
    <w:name w:val="Header"/>
    <w:basedOn w:val="Normal"/>
    <w:link w:val="IntestazioneCarattere"/>
    <w:rsid w:val="0061000d"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next w:val="Sottotitolo"/>
    <w:link w:val="TitoloCarattere"/>
    <w:qFormat/>
    <w:rsid w:val="0061000d"/>
    <w:pPr>
      <w:overflowPunct w:val="false"/>
      <w:jc w:val="center"/>
      <w:textAlignment w:val="baseline"/>
    </w:pPr>
    <w:rPr/>
  </w:style>
  <w:style w:type="paragraph" w:styleId="Sottotitolo">
    <w:name w:val="Subtitle"/>
    <w:basedOn w:val="Normal"/>
    <w:link w:val="SottotitoloCarattere"/>
    <w:qFormat/>
    <w:rsid w:val="0061000d"/>
    <w:pPr>
      <w:overflowPunct w:val="false"/>
      <w:jc w:val="center"/>
      <w:textAlignment w:val="baseline"/>
    </w:pPr>
    <w:rPr/>
  </w:style>
  <w:style w:type="paragraph" w:styleId="P9" w:customStyle="1">
    <w:name w:val="p9"/>
    <w:basedOn w:val="Normal"/>
    <w:qFormat/>
    <w:rsid w:val="0061000d"/>
    <w:pPr>
      <w:tabs>
        <w:tab w:val="left" w:pos="1620" w:leader="none"/>
      </w:tabs>
      <w:overflowPunct w:val="false"/>
      <w:spacing w:lineRule="atLeast" w:line="360"/>
      <w:jc w:val="both"/>
      <w:textAlignment w:val="baseline"/>
    </w:pPr>
    <w:rPr/>
  </w:style>
  <w:style w:type="paragraph" w:styleId="ListParagraph">
    <w:name w:val="List Paragraph"/>
    <w:basedOn w:val="Normal"/>
    <w:uiPriority w:val="99"/>
    <w:qFormat/>
    <w:rsid w:val="0061000d"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61000d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951db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3510b4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LibreOffice/5.3.2.2$Windows_x86 LibreOffice_project/6cd4f1ef626f15116896b1d8e1398b56da0d0ee1</Application>
  <Pages>3</Pages>
  <Words>1056</Words>
  <Characters>6252</Characters>
  <CharactersWithSpaces>7264</CharactersWithSpaces>
  <Paragraphs>55</Paragraphs>
  <Company>Dip.ArcheologiaUniMC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2018-03-13T13:48:00Z</dcterms:created>
  <dc:creator>anna_cimarelli</dc:creator>
  <dc:description/>
  <dc:language>it-IT</dc:language>
  <cp:lastModifiedBy/>
  <cp:lastPrinted>2018-03-14T08:29:06Z</cp:lastPrinted>
  <dcterms:modified xsi:type="dcterms:W3CDTF">2018-04-21T13:47:00Z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Dip.ArcheologiaUniMC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