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8C" w:rsidRPr="00AA081D" w:rsidRDefault="006F088C" w:rsidP="00AA081D">
      <w:pPr>
        <w:spacing w:after="0"/>
        <w:jc w:val="right"/>
        <w:rPr>
          <w:rFonts w:ascii="Palatino Linotype" w:hAnsi="Palatino Linotype"/>
          <w:bCs/>
          <w:iCs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PS-BoldMT"/>
          <w:b/>
          <w:bCs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>ATTO DI TRANSAZIONE TRA IL COMUNE DI AMANDOLA  E L’EX DIPENDENTE COMUNALE ANTOGNOZZI GIORGIO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rPr>
          <w:rFonts w:ascii="Palatino Linotype" w:hAnsi="Palatino Linotype" w:cs="TimesNewRomanPS-BoldMT"/>
          <w:b/>
          <w:bCs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 xml:space="preserve">L'anno duemiladiciannove, il giorno </w:t>
      </w:r>
      <w:r w:rsidR="00040A25">
        <w:rPr>
          <w:rFonts w:ascii="Palatino Linotype" w:hAnsi="Palatino Linotype" w:cs="TimesNewRomanPSMT"/>
          <w:lang w:eastAsia="it-IT"/>
        </w:rPr>
        <w:t>________________</w:t>
      </w:r>
      <w:r w:rsidR="00AC6BCC" w:rsidRPr="00AC6BCC">
        <w:rPr>
          <w:rFonts w:ascii="Palatino Linotype" w:hAnsi="Palatino Linotype" w:cs="TimesNewRomanPSMT"/>
          <w:lang w:eastAsia="it-IT"/>
        </w:rPr>
        <w:t xml:space="preserve"> </w:t>
      </w:r>
      <w:r w:rsidRPr="00AA081D">
        <w:rPr>
          <w:rFonts w:ascii="Palatino Linotype" w:hAnsi="Palatino Linotype" w:cs="TimesNewRomanPSMT"/>
          <w:lang w:eastAsia="it-IT"/>
        </w:rPr>
        <w:t>(</w:t>
      </w:r>
      <w:r w:rsidR="00040A25">
        <w:rPr>
          <w:rFonts w:ascii="Palatino Linotype" w:hAnsi="Palatino Linotype" w:cs="TimesNewRomanPSMT"/>
          <w:lang w:eastAsia="it-IT"/>
        </w:rPr>
        <w:t>___</w:t>
      </w:r>
      <w:r w:rsidRPr="00AA081D">
        <w:rPr>
          <w:rFonts w:ascii="Palatino Linotype" w:hAnsi="Palatino Linotype" w:cs="TimesNewRomanPSMT"/>
          <w:lang w:eastAsia="it-IT"/>
        </w:rPr>
        <w:t>) del mese di marzo, in Amandola (FM), negli uffici comunali siti in Piazza Risorgimento n. 17,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PS-BoldMT"/>
          <w:b/>
          <w:bCs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>TRA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 xml:space="preserve">Il dott. Ing. Adolfo Marinangeli (C.F. </w:t>
      </w:r>
      <w:r w:rsidRPr="00AA081D">
        <w:rPr>
          <w:rFonts w:ascii="Palatino Linotype" w:hAnsi="Palatino Linotype"/>
        </w:rPr>
        <w:t>MRNDLF55D12A252J)</w:t>
      </w:r>
      <w:r w:rsidRPr="00AA081D">
        <w:rPr>
          <w:rFonts w:ascii="Palatino Linotype" w:hAnsi="Palatino Linotype" w:cs="TimesNewRomanPSMT"/>
          <w:lang w:eastAsia="it-IT"/>
        </w:rPr>
        <w:t>, Sindaco pro tempore del Comune di Amandola, il quale dichiara di intervenire  in nome, per conto e nell’interesse del Comune suddetto (P.I. 00426220448), che legalmente rappresenta;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PS-BoldMT"/>
          <w:b/>
          <w:bCs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>E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Il sig. Antognozzi Giorgio, nato ad Amandola (AP) il 18.12.1946 e residente in Amandola (FM), in via Angelo Biondi n. 64 (C.F. NT</w:t>
      </w:r>
      <w:r w:rsidR="007D5719">
        <w:rPr>
          <w:rFonts w:ascii="Palatino Linotype" w:hAnsi="Palatino Linotype" w:cs="TimesNewRomanPSMT"/>
          <w:lang w:eastAsia="it-IT"/>
        </w:rPr>
        <w:t>G</w:t>
      </w:r>
      <w:r w:rsidRPr="00AA081D">
        <w:rPr>
          <w:rFonts w:ascii="Palatino Linotype" w:hAnsi="Palatino Linotype" w:cs="TimesNewRomanPSMT"/>
          <w:lang w:eastAsia="it-IT"/>
        </w:rPr>
        <w:t>GRG46T18A252I), ex dipendente del Comune di Amandola;</w:t>
      </w:r>
    </w:p>
    <w:p w:rsidR="006F088C" w:rsidRDefault="006F088C" w:rsidP="00AA081D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PS-BoldMT"/>
          <w:b/>
          <w:bCs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PS-BoldMT"/>
          <w:b/>
          <w:bCs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>PREMESSO CHE:</w:t>
      </w:r>
    </w:p>
    <w:p w:rsidR="006F088C" w:rsidRPr="00AA081D" w:rsidRDefault="006F088C" w:rsidP="001E496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 xml:space="preserve">In data 27 agosto 2018 l’ex dipendente Antognozzi Giorgio, rappresentato e difeso dall’Avv. Olindo Dionisi del Foro di Macerata, </w:t>
      </w:r>
      <w:r>
        <w:rPr>
          <w:rFonts w:ascii="Palatino Linotype" w:hAnsi="Palatino Linotype" w:cs="TimesNewRomanPSMT"/>
          <w:lang w:eastAsia="it-IT"/>
        </w:rPr>
        <w:t>notificava al Comune di Amandola il</w:t>
      </w:r>
      <w:r w:rsidRPr="00AA081D">
        <w:rPr>
          <w:rFonts w:ascii="Palatino Linotype" w:hAnsi="Palatino Linotype" w:cs="TimesNewRomanPSMT"/>
          <w:lang w:eastAsia="it-IT"/>
        </w:rPr>
        <w:t xml:space="preserve"> ricorso </w:t>
      </w:r>
      <w:r>
        <w:rPr>
          <w:rFonts w:ascii="Palatino Linotype" w:hAnsi="Palatino Linotype" w:cs="TimesNewRomanPSMT"/>
          <w:lang w:eastAsia="it-IT"/>
        </w:rPr>
        <w:t xml:space="preserve">presentato </w:t>
      </w:r>
      <w:r w:rsidRPr="00AA081D">
        <w:rPr>
          <w:rFonts w:ascii="Palatino Linotype" w:hAnsi="Palatino Linotype" w:cs="TimesNewRomanPSMT"/>
          <w:lang w:eastAsia="it-IT"/>
        </w:rPr>
        <w:t xml:space="preserve">al </w:t>
      </w:r>
      <w:r w:rsidRPr="001E4962">
        <w:rPr>
          <w:rFonts w:ascii="Palatino Linotype" w:hAnsi="Palatino Linotype" w:cs="TimesNewRomanPSMT"/>
          <w:lang w:eastAsia="it-IT"/>
        </w:rPr>
        <w:t xml:space="preserve">Tribunale Civile di Ascoli Piceno - Sezione Lavoro  (R.G. 601/2018), </w:t>
      </w:r>
      <w:r w:rsidR="00934DD0">
        <w:rPr>
          <w:rFonts w:ascii="Palatino Linotype" w:hAnsi="Palatino Linotype" w:cs="TimesNewRomanPSMT"/>
          <w:lang w:eastAsia="it-IT"/>
        </w:rPr>
        <w:t>con il quale chiedeva di “</w:t>
      </w:r>
      <w:r w:rsidR="00934DD0" w:rsidRPr="00966977">
        <w:rPr>
          <w:rFonts w:ascii="Palatino Linotype" w:hAnsi="Palatino Linotype" w:cs="TimesNewRomanPSMT"/>
          <w:i/>
          <w:lang w:eastAsia="it-IT"/>
        </w:rPr>
        <w:t>accertare e dichiarare il</w:t>
      </w:r>
      <w:r w:rsidR="00934DD0" w:rsidRPr="001E4962">
        <w:rPr>
          <w:rFonts w:ascii="Palatino Linotype" w:hAnsi="Palatino Linotype" w:cs="TimesNewRomanPSMT"/>
          <w:lang w:eastAsia="it-IT"/>
        </w:rPr>
        <w:t xml:space="preserve"> </w:t>
      </w:r>
      <w:r w:rsidR="00934DD0" w:rsidRPr="00966977">
        <w:rPr>
          <w:rFonts w:ascii="Palatino Linotype" w:hAnsi="Palatino Linotype" w:cs="TimesNewRomanPSMT"/>
          <w:i/>
          <w:lang w:eastAsia="it-IT"/>
        </w:rPr>
        <w:t>diritto del</w:t>
      </w:r>
      <w:r w:rsidR="00934DD0" w:rsidRPr="001E4962">
        <w:rPr>
          <w:rFonts w:ascii="Palatino Linotype" w:hAnsi="Palatino Linotype" w:cs="TimesNewRomanPSMT"/>
          <w:lang w:eastAsia="it-IT"/>
        </w:rPr>
        <w:t xml:space="preserve"> </w:t>
      </w:r>
      <w:r w:rsidRPr="00934DD0">
        <w:rPr>
          <w:rFonts w:ascii="Palatino Linotype" w:hAnsi="Palatino Linotype" w:cs="TimesNewRomanPSMT"/>
          <w:i/>
          <w:lang w:eastAsia="it-IT"/>
        </w:rPr>
        <w:t>sig. Antognozzi Giorgio alla corresponsione della somma complessiva di € 5.745,00, a titolo di indennità di risultato dovuta e non corrisposta dal Comune di Amandola, e conseguentemente condannare tale Ente al pagamento di detta somma in favore dello stesso, oltre alla rivalutazione monetaria secondo gli indici ISTAT e agli interessi legali maturati dalla data di maturazione del diritto a quella dell’effettivo soddisfo</w:t>
      </w:r>
      <w:r w:rsidR="00934DD0">
        <w:rPr>
          <w:rFonts w:ascii="Palatino Linotype" w:hAnsi="Palatino Linotype" w:cs="TimesNewRomanPSMT"/>
          <w:i/>
          <w:lang w:eastAsia="it-IT"/>
        </w:rPr>
        <w:t>”</w:t>
      </w:r>
      <w:r w:rsidRPr="001E4962">
        <w:rPr>
          <w:rFonts w:ascii="Palatino Linotype" w:hAnsi="Palatino Linotype" w:cs="TimesNewRomanPSMT"/>
          <w:lang w:eastAsia="it-IT"/>
        </w:rPr>
        <w:t>.</w:t>
      </w:r>
    </w:p>
    <w:p w:rsidR="006F088C" w:rsidRPr="00AA081D" w:rsidRDefault="007D1BE2" w:rsidP="00AA081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Palatino Linotype" w:hAnsi="Palatino Linotype" w:cs="TimesNewRomanPSMT"/>
          <w:lang w:eastAsia="it-IT"/>
        </w:rPr>
      </w:pPr>
      <w:r>
        <w:rPr>
          <w:rFonts w:ascii="Palatino Linotype" w:hAnsi="Palatino Linotype" w:cs="TimesNewRomanPSMT"/>
          <w:lang w:eastAsia="it-IT"/>
        </w:rPr>
        <w:t>L</w:t>
      </w:r>
      <w:r w:rsidR="006F088C" w:rsidRPr="00AA081D">
        <w:rPr>
          <w:rFonts w:ascii="Palatino Linotype" w:hAnsi="Palatino Linotype" w:cs="TimesNewRomanPSMT"/>
          <w:lang w:eastAsia="it-IT"/>
        </w:rPr>
        <w:t>’udienza per la discussione</w:t>
      </w:r>
      <w:r w:rsidR="006F088C">
        <w:rPr>
          <w:rFonts w:ascii="Palatino Linotype" w:hAnsi="Palatino Linotype" w:cs="TimesNewRomanPSMT"/>
          <w:lang w:eastAsia="it-IT"/>
        </w:rPr>
        <w:t xml:space="preserve"> è fissata per il giorno</w:t>
      </w:r>
      <w:r w:rsidR="006F088C" w:rsidRPr="00AA081D">
        <w:rPr>
          <w:rFonts w:ascii="Palatino Linotype" w:hAnsi="Palatino Linotype" w:cs="TimesNewRomanPSMT"/>
          <w:lang w:eastAsia="it-IT"/>
        </w:rPr>
        <w:t xml:space="preserve"> 05.04.2019;</w:t>
      </w:r>
    </w:p>
    <w:p w:rsidR="006F088C" w:rsidRPr="00AA081D" w:rsidRDefault="006F088C" w:rsidP="00AA081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In pendenza dei fatti e dei procedimenti sopra richiamati, sono intervenuti colloqui tra  l’Amministrazione comunale e l’Avv. Olindo Dionisi, a seguito dei quali si è giunti alla conclusione che è interesse delle parti, attraverso reciproche concessioni, transigere definitivamente ogni spettanza pone</w:t>
      </w:r>
      <w:r w:rsidR="007D1BE2">
        <w:rPr>
          <w:rFonts w:ascii="Palatino Linotype" w:hAnsi="Palatino Linotype" w:cs="TimesNewRomanPSMT"/>
          <w:lang w:eastAsia="it-IT"/>
        </w:rPr>
        <w:t>ndo fine al contenzioso insorto.</w:t>
      </w:r>
    </w:p>
    <w:p w:rsidR="006F088C" w:rsidRPr="0064461A" w:rsidRDefault="007D1BE2" w:rsidP="00AA081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Palatino Linotype" w:hAnsi="Palatino Linotype" w:cs="TimesNewRomanPSMT"/>
          <w:lang w:eastAsia="it-IT"/>
        </w:rPr>
      </w:pPr>
      <w:r>
        <w:rPr>
          <w:rFonts w:ascii="Palatino Linotype" w:hAnsi="Palatino Linotype" w:cs="TimesNewRomanPSMT"/>
          <w:lang w:eastAsia="it-IT"/>
        </w:rPr>
        <w:t>L</w:t>
      </w:r>
      <w:r w:rsidR="006F088C" w:rsidRPr="0064461A">
        <w:rPr>
          <w:rFonts w:ascii="Palatino Linotype" w:hAnsi="Palatino Linotype" w:cs="TimesNewRomanPSMT"/>
          <w:lang w:eastAsia="it-IT"/>
        </w:rPr>
        <w:t>a transazione prospettata, idonea a definire in via amichevole la controversia in atto tra le parti, comporta:</w:t>
      </w:r>
    </w:p>
    <w:p w:rsidR="006F088C" w:rsidRPr="0064461A" w:rsidRDefault="006F088C" w:rsidP="007D1BE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Palatino Linotype" w:hAnsi="Palatino Linotype" w:cs="TimesNewRomanPSMT"/>
          <w:lang w:eastAsia="it-IT"/>
        </w:rPr>
      </w:pPr>
      <w:r w:rsidRPr="0064461A">
        <w:rPr>
          <w:rFonts w:ascii="Palatino Linotype" w:hAnsi="Palatino Linotype" w:cs="TimesNewRomanPSMT"/>
          <w:lang w:eastAsia="it-IT"/>
        </w:rPr>
        <w:t>per l’ex dipendente Antognozzi Giorgio la rinuncia a dare seguito al ricorso in materia di lavoro dallo stesso presentato al Tribunale di Ascoli Piceno (R.G. 601/2018), a fronte del pagamento della complessiva somma di € 3.500,00 da liquidarsi in unica soluzione nel entro il 5 aprile 2019</w:t>
      </w:r>
      <w:r w:rsidR="0064461A" w:rsidRPr="0064461A">
        <w:rPr>
          <w:rFonts w:ascii="Palatino Linotype" w:hAnsi="Palatino Linotype" w:cs="TimesNewRomanPSMT"/>
          <w:lang w:eastAsia="it-IT"/>
        </w:rPr>
        <w:t>;</w:t>
      </w:r>
      <w:r w:rsidRPr="0064461A">
        <w:rPr>
          <w:rFonts w:ascii="Palatino Linotype" w:hAnsi="Palatino Linotype" w:cs="TimesNewRomanPSMT"/>
          <w:lang w:eastAsia="it-IT"/>
        </w:rPr>
        <w:t xml:space="preserve">  </w:t>
      </w:r>
    </w:p>
    <w:p w:rsidR="006F088C" w:rsidRPr="0064461A" w:rsidRDefault="006F088C" w:rsidP="007D1BE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Palatino Linotype" w:hAnsi="Palatino Linotype" w:cs="TimesNewRomanPSMT"/>
          <w:lang w:eastAsia="it-IT"/>
        </w:rPr>
      </w:pPr>
      <w:r w:rsidRPr="0064461A">
        <w:rPr>
          <w:rFonts w:ascii="Palatino Linotype" w:hAnsi="Palatino Linotype" w:cs="TimesNewRomanPSMT"/>
          <w:lang w:eastAsia="it-IT"/>
        </w:rPr>
        <w:lastRenderedPageBreak/>
        <w:t xml:space="preserve">per il Comune di Amandola il pagamento della somma complessiva di € 3.500,00 da liquidarsi in unica soluzione </w:t>
      </w:r>
      <w:r w:rsidR="0064461A" w:rsidRPr="0064461A">
        <w:rPr>
          <w:rFonts w:ascii="Palatino Linotype" w:hAnsi="Palatino Linotype" w:cs="TimesNewRomanPSMT"/>
          <w:lang w:eastAsia="it-IT"/>
        </w:rPr>
        <w:t>entro il 5 aprile</w:t>
      </w:r>
      <w:r w:rsidRPr="0064461A">
        <w:rPr>
          <w:rFonts w:ascii="Palatino Linotype" w:hAnsi="Palatino Linotype" w:cs="TimesNewRomanPSMT"/>
          <w:lang w:eastAsia="it-IT"/>
        </w:rPr>
        <w:t xml:space="preserve"> 2019;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 xml:space="preserve">Richiamato </w:t>
      </w:r>
      <w:r w:rsidRPr="00AA081D">
        <w:rPr>
          <w:rFonts w:ascii="Palatino Linotype" w:hAnsi="Palatino Linotype" w:cs="TimesNewRomanPSMT"/>
          <w:lang w:eastAsia="it-IT"/>
        </w:rPr>
        <w:t>l’art. 1965 del Codice Civile il quale definisce la transazione come il contratto col quale le parti, facendosi reciproche concessioni, pongono fine ad un controversia già cominciata o prevengono un contenzioso che può insorgere fra loro;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 xml:space="preserve">Dato atto </w:t>
      </w:r>
      <w:r w:rsidRPr="00AA081D">
        <w:rPr>
          <w:rFonts w:ascii="Palatino Linotype" w:hAnsi="Palatino Linotype" w:cs="TimesNewRomanPSMT"/>
          <w:lang w:eastAsia="it-IT"/>
        </w:rPr>
        <w:t>che la proposta transattiva appare pienamente conforme all’interesse pubblico del Comune, in quanto  elimina ogni eventuale contenzioso che potrebbe anche vedere il Comune soccombente e consente di evitare spese legali che potrebbero gravare sul bilancio comunale;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 xml:space="preserve">Appurato </w:t>
      </w:r>
      <w:r w:rsidRPr="00AA081D">
        <w:rPr>
          <w:rFonts w:ascii="Palatino Linotype" w:hAnsi="Palatino Linotype" w:cs="TimesNewRomanPSMT"/>
          <w:lang w:eastAsia="it-IT"/>
        </w:rPr>
        <w:t xml:space="preserve">pertanto, in relazione all’istruttoria effettuata, che nel caso di specie ricorrono tutti i presupposti previsti dalla giurisprudenza contabile per addivenire legittimamente alla stipulazione di un accordo transattivo (Corte dei Conti, Sez. II, sent. 3 del 10 gennaio 2005), essendo valutabili </w:t>
      </w:r>
      <w:r w:rsidRPr="00AA081D">
        <w:rPr>
          <w:rFonts w:ascii="Palatino Linotype" w:hAnsi="Palatino Linotype" w:cs="TimesNewRomanPSMT"/>
          <w:i/>
          <w:lang w:eastAsia="it-IT"/>
        </w:rPr>
        <w:t>ictu oculi</w:t>
      </w:r>
      <w:r w:rsidRPr="00AA081D">
        <w:rPr>
          <w:rFonts w:ascii="Palatino Linotype" w:hAnsi="Palatino Linotype" w:cs="TimesNewRomanPSMT"/>
          <w:lang w:eastAsia="it-IT"/>
        </w:rPr>
        <w:t xml:space="preserve"> sia i reali termini del compromesso che la congruità delle condizioni poste in essere;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 xml:space="preserve">Dato atto </w:t>
      </w:r>
      <w:r w:rsidRPr="00AA081D">
        <w:rPr>
          <w:rFonts w:ascii="Palatino Linotype" w:hAnsi="Palatino Linotype" w:cs="TimesNewRomanPSMT"/>
          <w:lang w:eastAsia="it-IT"/>
        </w:rPr>
        <w:t>inoltre che nel caso di specie ricorrono tutti i presupposti giuridici previsti dall’art. 1965 del codice civile (</w:t>
      </w:r>
      <w:r w:rsidRPr="00E400DA">
        <w:rPr>
          <w:rFonts w:ascii="Palatino Linotype" w:hAnsi="Palatino Linotype" w:cs="TimesNewRomanPSMT"/>
          <w:i/>
          <w:lang w:eastAsia="it-IT"/>
        </w:rPr>
        <w:t>res</w:t>
      </w:r>
      <w:r w:rsidRPr="00AA081D">
        <w:rPr>
          <w:rFonts w:ascii="Palatino Linotype" w:hAnsi="Palatino Linotype" w:cs="TimesNewRomanPSMT"/>
          <w:lang w:eastAsia="it-IT"/>
        </w:rPr>
        <w:t xml:space="preserve"> dubbia, reciprocità delle concessioni e la finalità di dirimere una lite esistente) previsti a fondamento di un accordo transattivo;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 xml:space="preserve">Dato atto </w:t>
      </w:r>
      <w:r w:rsidRPr="00AA081D">
        <w:rPr>
          <w:rFonts w:ascii="Palatino Linotype" w:hAnsi="Palatino Linotype" w:cs="TimesNewRomanPSMT"/>
          <w:lang w:eastAsia="it-IT"/>
        </w:rPr>
        <w:t>infine che la transazione si configura come un contratto a prestazioni corrispettive che prescinde dall’accertamento della situ</w:t>
      </w:r>
      <w:r>
        <w:rPr>
          <w:rFonts w:ascii="Palatino Linotype" w:hAnsi="Palatino Linotype" w:cs="TimesNewRomanPSMT"/>
          <w:lang w:eastAsia="it-IT"/>
        </w:rPr>
        <w:t xml:space="preserve">azione controversa </w:t>
      </w:r>
      <w:r w:rsidRPr="00AA081D">
        <w:rPr>
          <w:rFonts w:ascii="Palatino Linotype" w:hAnsi="Palatino Linotype" w:cs="TimesNewRomanPSMT"/>
          <w:lang w:eastAsia="it-IT"/>
        </w:rPr>
        <w:t>e si distingue dal negozio di accertamento in quanto le parti compongono la lite senza verificare la fondatezza delle rispettive pretese, ma disponendo dei propri diritti;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>Considerato</w:t>
      </w:r>
      <w:r w:rsidRPr="00AA081D">
        <w:rPr>
          <w:rFonts w:ascii="Palatino Linotype" w:hAnsi="Palatino Linotype" w:cs="TimesNewRomanPSMT"/>
          <w:lang w:eastAsia="it-IT"/>
        </w:rPr>
        <w:t>, per tali ragioni, che:</w:t>
      </w:r>
      <w:r>
        <w:rPr>
          <w:rFonts w:ascii="Palatino Linotype" w:hAnsi="Palatino Linotype" w:cs="TimesNewRomanPSMT"/>
          <w:lang w:eastAsia="it-IT"/>
        </w:rPr>
        <w:t xml:space="preserve"> 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- le parti, al fine di dirimere definitivamente detta controversia, intendono stipulare tra loro un accordo di transazione, facendosi reciproche concessioni, ai sensi e per gli effetti dell’art. 1965 del codice civile;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- tutti i comparenti dichiarano e garantiscono, ai sensi dell’art. 1966 comma 1 del codice civile, di  avere la piena capacità e legittimazione a disporre dei diritti oggetto di controversia e che non esistono quindi terzi aventi diritto sui beni in contestazione;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 xml:space="preserve">In esecuzione della deliberazione di Giunta Comunale n. </w:t>
      </w:r>
      <w:r w:rsidR="00934DD0" w:rsidRPr="00934DD0">
        <w:rPr>
          <w:rFonts w:ascii="Palatino Linotype" w:hAnsi="Palatino Linotype" w:cs="TimesNewRomanPSMT"/>
          <w:lang w:eastAsia="it-IT"/>
        </w:rPr>
        <w:t>43</w:t>
      </w:r>
      <w:r w:rsidRPr="00B101C2">
        <w:rPr>
          <w:rFonts w:ascii="Palatino Linotype" w:hAnsi="Palatino Linotype" w:cs="TimesNewRomanPSMT"/>
          <w:lang w:eastAsia="it-IT"/>
        </w:rPr>
        <w:t xml:space="preserve"> del </w:t>
      </w:r>
      <w:r w:rsidR="00934DD0" w:rsidRPr="00934DD0">
        <w:rPr>
          <w:rFonts w:ascii="Palatino Linotype" w:hAnsi="Palatino Linotype" w:cs="TimesNewRomanPSMT"/>
          <w:lang w:eastAsia="it-IT"/>
        </w:rPr>
        <w:t>25.03.2019</w:t>
      </w:r>
      <w:r w:rsidRPr="00B101C2">
        <w:rPr>
          <w:rFonts w:ascii="Palatino Linotype" w:hAnsi="Palatino Linotype" w:cs="TimesNewRomanPSMT"/>
          <w:lang w:eastAsia="it-IT"/>
        </w:rPr>
        <w:t>,</w:t>
      </w:r>
      <w:r w:rsidRPr="00AA081D">
        <w:rPr>
          <w:rFonts w:ascii="Palatino Linotype" w:hAnsi="Palatino Linotype" w:cs="TimesNewRomanPSMT"/>
          <w:lang w:eastAsia="it-IT"/>
        </w:rPr>
        <w:t xml:space="preserve"> immediatamente eseguibile,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PS-BoldMT"/>
          <w:b/>
          <w:bCs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lastRenderedPageBreak/>
        <w:t>TUTTO CIO’ PREMESSO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PS-BoldMT"/>
          <w:b/>
          <w:bCs/>
          <w:lang w:eastAsia="it-IT"/>
        </w:rPr>
      </w:pPr>
      <w:r w:rsidRPr="00AA081D">
        <w:rPr>
          <w:rFonts w:ascii="Palatino Linotype" w:hAnsi="Palatino Linotype" w:cs="TimesNewRomanPS-BoldMT"/>
          <w:b/>
          <w:bCs/>
          <w:lang w:eastAsia="it-IT"/>
        </w:rPr>
        <w:t>SI CONVIENE E SI STIPULA QUANTO SEGUE: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1) Le premesse fanno parte integrante e sostanziale del presente atto</w:t>
      </w:r>
      <w:r w:rsidR="00265E29">
        <w:rPr>
          <w:rFonts w:ascii="Palatino Linotype" w:hAnsi="Palatino Linotype" w:cs="TimesNewRomanPSMT"/>
          <w:lang w:eastAsia="it-IT"/>
        </w:rPr>
        <w:t>.</w:t>
      </w:r>
      <w:bookmarkStart w:id="0" w:name="_GoBack"/>
      <w:bookmarkEnd w:id="0"/>
    </w:p>
    <w:p w:rsidR="006F088C" w:rsidRPr="001E4962" w:rsidRDefault="006F088C" w:rsidP="001E4962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2) Il Comune di Amandola, a titolo di reciproca concessione ai sensi dell’art. 1965 del codice civile, si impegna a liquidare e pagare all’ex dipendente An</w:t>
      </w:r>
      <w:r>
        <w:rPr>
          <w:rFonts w:ascii="Palatino Linotype" w:hAnsi="Palatino Linotype" w:cs="TimesNewRomanPSMT"/>
          <w:lang w:eastAsia="it-IT"/>
        </w:rPr>
        <w:t>t</w:t>
      </w:r>
      <w:r w:rsidRPr="00AA081D">
        <w:rPr>
          <w:rFonts w:ascii="Palatino Linotype" w:hAnsi="Palatino Linotype" w:cs="TimesNewRomanPSMT"/>
          <w:lang w:eastAsia="it-IT"/>
        </w:rPr>
        <w:t xml:space="preserve">ognozzi Giorgio, in unica soluzione, </w:t>
      </w:r>
      <w:r w:rsidR="0064461A">
        <w:rPr>
          <w:rFonts w:ascii="Palatino Linotype" w:hAnsi="Palatino Linotype" w:cs="TimesNewRomanPSMT"/>
          <w:lang w:eastAsia="it-IT"/>
        </w:rPr>
        <w:t>entro il 5 aprile</w:t>
      </w:r>
      <w:r w:rsidRPr="001E4962">
        <w:rPr>
          <w:rFonts w:ascii="Palatino Linotype" w:hAnsi="Palatino Linotype" w:cs="TimesNewRomanPSMT"/>
          <w:lang w:eastAsia="it-IT"/>
        </w:rPr>
        <w:t xml:space="preserve"> 2019</w:t>
      </w:r>
      <w:r>
        <w:rPr>
          <w:rFonts w:ascii="Palatino Linotype" w:hAnsi="Palatino Linotype" w:cs="TimesNewRomanPSMT"/>
          <w:lang w:eastAsia="it-IT"/>
        </w:rPr>
        <w:t xml:space="preserve">, la somma onnicomprensiva </w:t>
      </w:r>
      <w:r w:rsidRPr="00AA081D">
        <w:rPr>
          <w:rFonts w:ascii="Palatino Linotype" w:hAnsi="Palatino Linotype" w:cs="TimesNewRomanPSMT"/>
          <w:lang w:eastAsia="it-IT"/>
        </w:rPr>
        <w:t>di € 3.500,00 (Euro tremilacinquecento/00)</w:t>
      </w:r>
      <w:r>
        <w:rPr>
          <w:rFonts w:ascii="Palatino Linotype" w:hAnsi="Palatino Linotype" w:cs="TimesNewRomanPSMT"/>
          <w:lang w:eastAsia="it-IT"/>
        </w:rPr>
        <w:t xml:space="preserve"> </w:t>
      </w:r>
      <w:r w:rsidRPr="001E4962">
        <w:rPr>
          <w:rFonts w:ascii="Palatino Linotype" w:hAnsi="Palatino Linotype" w:cs="TimesNewRomanPSMT"/>
          <w:bCs/>
          <w:lang w:eastAsia="it-IT"/>
        </w:rPr>
        <w:t xml:space="preserve">a saldo, stralcio e definitiva </w:t>
      </w:r>
      <w:r w:rsidRPr="001E4962">
        <w:rPr>
          <w:rFonts w:ascii="Palatino Linotype" w:hAnsi="Palatino Linotype" w:cs="TimesNewRomanPSMT"/>
          <w:lang w:eastAsia="it-IT"/>
        </w:rPr>
        <w:t>tacitazione di ogni reciproca pre</w:t>
      </w:r>
      <w:r w:rsidR="00265E29">
        <w:rPr>
          <w:rFonts w:ascii="Palatino Linotype" w:hAnsi="Palatino Linotype" w:cs="TimesNewRomanPSMT"/>
          <w:lang w:eastAsia="it-IT"/>
        </w:rPr>
        <w:t>tesa, ragione, diritto e azione.</w:t>
      </w:r>
    </w:p>
    <w:p w:rsidR="006F088C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>
        <w:rPr>
          <w:rFonts w:ascii="Palatino Linotype" w:hAnsi="Palatino Linotype" w:cs="TimesNewRomanPSMT"/>
          <w:lang w:eastAsia="it-IT"/>
        </w:rPr>
        <w:t xml:space="preserve">3) </w:t>
      </w:r>
      <w:r w:rsidRPr="00AA081D">
        <w:rPr>
          <w:rFonts w:ascii="Palatino Linotype" w:hAnsi="Palatino Linotype" w:cs="TimesNewRomanPSMT"/>
          <w:lang w:eastAsia="it-IT"/>
        </w:rPr>
        <w:t xml:space="preserve"> L’ex dipendente Antognozzi Giorgio, a titolo di reciproca concessione ai sensi dell’art. 1965 del codice  civile, rinuncia a dare seguito in qualsiasi modo al ricorso in materia di lavoro dallo stesso presentato, rappresentato e difeso dall’avv. Olindo Dionisi, al Tribunale di Asco</w:t>
      </w:r>
      <w:r w:rsidR="00265E29">
        <w:rPr>
          <w:rFonts w:ascii="Palatino Linotype" w:hAnsi="Palatino Linotype" w:cs="TimesNewRomanPSMT"/>
          <w:lang w:eastAsia="it-IT"/>
        </w:rPr>
        <w:t>li Piceno (R.G. 601/2018).</w:t>
      </w:r>
    </w:p>
    <w:p w:rsidR="006F088C" w:rsidRPr="001E4962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>
        <w:rPr>
          <w:rFonts w:ascii="Palatino Linotype" w:hAnsi="Palatino Linotype" w:cs="TimesNewRomanPSMT"/>
          <w:lang w:eastAsia="it-IT"/>
        </w:rPr>
        <w:t xml:space="preserve">4) </w:t>
      </w:r>
      <w:r w:rsidRPr="001E4962">
        <w:rPr>
          <w:rFonts w:ascii="Palatino Linotype" w:hAnsi="Palatino Linotype" w:cs="TimesNewRomanPSMT"/>
          <w:lang w:eastAsia="it-IT"/>
        </w:rPr>
        <w:t xml:space="preserve">Solo con l’esatto adempimento delle obbligazioni contenute nella presente scrittura il sig. </w:t>
      </w:r>
      <w:r>
        <w:rPr>
          <w:rFonts w:ascii="Palatino Linotype" w:hAnsi="Palatino Linotype" w:cs="TimesNewRomanPSMT"/>
          <w:lang w:eastAsia="it-IT"/>
        </w:rPr>
        <w:t>A</w:t>
      </w:r>
      <w:r w:rsidRPr="001E4962">
        <w:rPr>
          <w:rFonts w:ascii="Palatino Linotype" w:hAnsi="Palatino Linotype" w:cs="TimesNewRomanPSMT"/>
          <w:lang w:eastAsia="it-IT"/>
        </w:rPr>
        <w:t xml:space="preserve">ntognozzi Giorgio dichiarerà di non aver null'altro a pretendere per alcun titolo, ragione, diritto e azione comunque derivante </w:t>
      </w:r>
      <w:r>
        <w:rPr>
          <w:rFonts w:ascii="Palatino Linotype" w:hAnsi="Palatino Linotype" w:cs="TimesNewRomanPSMT"/>
          <w:lang w:eastAsia="it-IT"/>
        </w:rPr>
        <w:t>dai fatti oggetto del giudizio</w:t>
      </w:r>
      <w:r w:rsidR="00265E29" w:rsidRPr="00B101C2">
        <w:rPr>
          <w:rFonts w:ascii="Palatino Linotype" w:hAnsi="Palatino Linotype" w:cs="TimesNewRomanPSMT"/>
          <w:lang w:eastAsia="it-IT"/>
        </w:rPr>
        <w:t>, il quale verrà quindi abbandonato a seguito di rinvio dell’udienza del 5 aprile 2019, che sarà richiesto dall’Avv. Dionisi al mero fine di verificare il pagamento della somma qui concordata, la quale non costituisce comunque novazione del credito di € 5.745,00 vantato dal Sig. Antognozzi Giorgio e determinata come in ricorso.</w:t>
      </w:r>
    </w:p>
    <w:p w:rsidR="006F088C" w:rsidRDefault="006F088C" w:rsidP="001E4962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>
        <w:rPr>
          <w:rFonts w:ascii="Palatino Linotype" w:hAnsi="Palatino Linotype" w:cs="TimesNewRomanPSMT"/>
          <w:lang w:eastAsia="it-IT"/>
        </w:rPr>
        <w:t>5</w:t>
      </w:r>
      <w:r w:rsidRPr="00AA081D">
        <w:rPr>
          <w:rFonts w:ascii="Palatino Linotype" w:hAnsi="Palatino Linotype" w:cs="TimesNewRomanPSMT"/>
          <w:lang w:eastAsia="it-IT"/>
        </w:rPr>
        <w:t>) I comparenti infine dichiarano di rinunciare reciprocamente ad ogni contestazione in ordine  alla congruità e all’equivalenza o meno delle reciproche concessioni di cui sopra.</w:t>
      </w:r>
    </w:p>
    <w:p w:rsidR="00265E29" w:rsidRDefault="006F088C" w:rsidP="001E4962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>
        <w:rPr>
          <w:rFonts w:ascii="Palatino Linotype" w:hAnsi="Palatino Linotype" w:cs="TimesNewRomanPSMT"/>
          <w:lang w:eastAsia="it-IT"/>
        </w:rPr>
        <w:t>6) La presente scrittura è soggetta a registrazion</w:t>
      </w:r>
      <w:r w:rsidR="00265E29">
        <w:rPr>
          <w:rFonts w:ascii="Palatino Linotype" w:hAnsi="Palatino Linotype" w:cs="TimesNewRomanPSMT"/>
          <w:lang w:eastAsia="it-IT"/>
        </w:rPr>
        <w:t>e in caso d’uso.</w:t>
      </w:r>
    </w:p>
    <w:p w:rsidR="006F088C" w:rsidRPr="00AA081D" w:rsidRDefault="0064461A" w:rsidP="00AA08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lang w:eastAsia="it-IT"/>
        </w:rPr>
      </w:pPr>
      <w:r>
        <w:rPr>
          <w:rFonts w:ascii="Palatino Linotype" w:hAnsi="Palatino Linotype" w:cs="TimesNewRomanPSMT"/>
          <w:lang w:eastAsia="it-IT"/>
        </w:rPr>
        <w:t>7</w:t>
      </w:r>
      <w:r w:rsidR="006F088C">
        <w:rPr>
          <w:rFonts w:ascii="Palatino Linotype" w:hAnsi="Palatino Linotype" w:cs="TimesNewRomanPSMT"/>
          <w:lang w:eastAsia="it-IT"/>
        </w:rPr>
        <w:t xml:space="preserve">) </w:t>
      </w:r>
      <w:r w:rsidR="006F088C" w:rsidRPr="001E4962">
        <w:rPr>
          <w:rFonts w:ascii="Palatino Linotype" w:hAnsi="Palatino Linotype" w:cs="TimesNewRomanPSMT"/>
          <w:lang w:eastAsia="it-IT"/>
        </w:rPr>
        <w:t>Le spese legali della presente transazione si intendono integralmente compensate fra le parti</w:t>
      </w:r>
      <w:r w:rsidR="006F088C">
        <w:rPr>
          <w:bCs/>
          <w:kern w:val="2"/>
          <w:sz w:val="26"/>
          <w:szCs w:val="26"/>
        </w:rPr>
        <w:t>.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Letto, approvato e sottoscritto</w:t>
      </w:r>
      <w:r>
        <w:rPr>
          <w:rFonts w:ascii="Palatino Linotype" w:hAnsi="Palatino Linotype" w:cs="TimesNewRomanPSMT"/>
          <w:lang w:eastAsia="it-IT"/>
        </w:rPr>
        <w:t>.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IL SINDACO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Ing. Adolfo Marinangeli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u w:val="single"/>
          <w:lang w:eastAsia="it-IT"/>
        </w:rPr>
      </w:pPr>
      <w:r w:rsidRPr="00AA081D">
        <w:rPr>
          <w:rFonts w:ascii="Palatino Linotype" w:hAnsi="Palatino Linotype" w:cs="TimesNewRomanPSMT"/>
          <w:u w:val="single"/>
          <w:lang w:eastAsia="it-IT"/>
        </w:rPr>
        <w:t>______________________________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L’EX DIPENDENTE COMUNALE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  <w:r w:rsidRPr="00AA081D">
        <w:rPr>
          <w:rFonts w:ascii="Palatino Linotype" w:hAnsi="Palatino Linotype" w:cs="TimesNewRomanPSMT"/>
          <w:lang w:eastAsia="it-IT"/>
        </w:rPr>
        <w:t>Sig. Antognozzi Giorgio</w:t>
      </w: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lang w:eastAsia="it-IT"/>
        </w:rPr>
      </w:pPr>
    </w:p>
    <w:p w:rsidR="006F088C" w:rsidRPr="00AA081D" w:rsidRDefault="006F088C" w:rsidP="00AA081D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PSMT"/>
          <w:u w:val="single"/>
          <w:lang w:eastAsia="it-IT"/>
        </w:rPr>
      </w:pPr>
      <w:r w:rsidRPr="00AA081D">
        <w:rPr>
          <w:rFonts w:ascii="Palatino Linotype" w:hAnsi="Palatino Linotype" w:cs="TimesNewRomanPSMT"/>
          <w:u w:val="single"/>
          <w:lang w:eastAsia="it-IT"/>
        </w:rPr>
        <w:t>______________________________</w:t>
      </w:r>
    </w:p>
    <w:p w:rsidR="006F088C" w:rsidRPr="00AA081D" w:rsidRDefault="006F088C" w:rsidP="00AA081D">
      <w:pPr>
        <w:spacing w:after="0"/>
        <w:jc w:val="both"/>
        <w:rPr>
          <w:rFonts w:ascii="Palatino Linotype" w:hAnsi="Palatino Linotype"/>
          <w:bCs/>
          <w:iCs/>
          <w:lang w:eastAsia="it-IT"/>
        </w:rPr>
      </w:pPr>
    </w:p>
    <w:sectPr w:rsidR="006F088C" w:rsidRPr="00AA081D" w:rsidSect="008B3C01">
      <w:headerReference w:type="default" r:id="rId7"/>
      <w:headerReference w:type="first" r:id="rId8"/>
      <w:pgSz w:w="11907" w:h="16839" w:code="9"/>
      <w:pgMar w:top="274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8C" w:rsidRDefault="006F088C" w:rsidP="00637890">
      <w:pPr>
        <w:spacing w:after="0" w:line="240" w:lineRule="auto"/>
      </w:pPr>
      <w:r>
        <w:separator/>
      </w:r>
    </w:p>
  </w:endnote>
  <w:endnote w:type="continuationSeparator" w:id="0">
    <w:p w:rsidR="006F088C" w:rsidRDefault="006F088C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8C" w:rsidRDefault="006F088C" w:rsidP="00637890">
      <w:pPr>
        <w:spacing w:after="0" w:line="240" w:lineRule="auto"/>
      </w:pPr>
      <w:r>
        <w:separator/>
      </w:r>
    </w:p>
  </w:footnote>
  <w:footnote w:type="continuationSeparator" w:id="0">
    <w:p w:rsidR="006F088C" w:rsidRDefault="006F088C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8C" w:rsidRDefault="00B613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-755650</wp:posOffset>
          </wp:positionH>
          <wp:positionV relativeFrom="margin">
            <wp:posOffset>-2079625</wp:posOffset>
          </wp:positionV>
          <wp:extent cx="7571105" cy="10689590"/>
          <wp:effectExtent l="19050" t="0" r="0" b="0"/>
          <wp:wrapNone/>
          <wp:docPr id="1" name="Immagine 4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8C" w:rsidRDefault="00B613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-761365</wp:posOffset>
          </wp:positionH>
          <wp:positionV relativeFrom="margin">
            <wp:posOffset>-2327275</wp:posOffset>
          </wp:positionV>
          <wp:extent cx="7573645" cy="10692130"/>
          <wp:effectExtent l="19050" t="0" r="825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088C" w:rsidRDefault="006F08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A2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sz w:val="23"/>
        <w:u w:val="none"/>
        <w:effect w:val="none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0C803D3F"/>
    <w:multiLevelType w:val="hybridMultilevel"/>
    <w:tmpl w:val="911A3882"/>
    <w:lvl w:ilvl="0" w:tplc="9E1633E0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7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8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9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0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1">
    <w:nsid w:val="52815935"/>
    <w:multiLevelType w:val="multilevel"/>
    <w:tmpl w:val="357AFF1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2">
    <w:nsid w:val="53175462"/>
    <w:multiLevelType w:val="hybridMultilevel"/>
    <w:tmpl w:val="AC16337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C96C7A"/>
    <w:multiLevelType w:val="multilevel"/>
    <w:tmpl w:val="8EE214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>
    <w:nsid w:val="663D74CE"/>
    <w:multiLevelType w:val="multilevel"/>
    <w:tmpl w:val="834EB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6">
    <w:nsid w:val="6B946332"/>
    <w:multiLevelType w:val="hybridMultilevel"/>
    <w:tmpl w:val="9CC84138"/>
    <w:lvl w:ilvl="0" w:tplc="B3D0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13EED"/>
    <w:multiLevelType w:val="hybridMultilevel"/>
    <w:tmpl w:val="86063348"/>
    <w:lvl w:ilvl="0" w:tplc="0888CE86">
      <w:numFmt w:val="bullet"/>
      <w:pStyle w:val="Puntoelenco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13"/>
  </w:num>
  <w:num w:numId="13">
    <w:abstractNumId w:val="3"/>
  </w:num>
  <w:num w:numId="14">
    <w:abstractNumId w:val="1"/>
  </w:num>
  <w:num w:numId="15">
    <w:abstractNumId w:val="3"/>
  </w:num>
  <w:num w:numId="16">
    <w:abstractNumId w:val="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37890"/>
    <w:rsid w:val="00010B54"/>
    <w:rsid w:val="00014404"/>
    <w:rsid w:val="00014D5D"/>
    <w:rsid w:val="000267AE"/>
    <w:rsid w:val="00033982"/>
    <w:rsid w:val="00040A25"/>
    <w:rsid w:val="00041FB5"/>
    <w:rsid w:val="00043A52"/>
    <w:rsid w:val="00061BC6"/>
    <w:rsid w:val="00075464"/>
    <w:rsid w:val="000773DC"/>
    <w:rsid w:val="00080B63"/>
    <w:rsid w:val="000903D6"/>
    <w:rsid w:val="00093815"/>
    <w:rsid w:val="0009794B"/>
    <w:rsid w:val="000A104D"/>
    <w:rsid w:val="000A3381"/>
    <w:rsid w:val="000C600C"/>
    <w:rsid w:val="000D4C27"/>
    <w:rsid w:val="000D5EDB"/>
    <w:rsid w:val="000E16E4"/>
    <w:rsid w:val="001149E2"/>
    <w:rsid w:val="00133287"/>
    <w:rsid w:val="0013634A"/>
    <w:rsid w:val="0017141D"/>
    <w:rsid w:val="00184BD0"/>
    <w:rsid w:val="00196AC0"/>
    <w:rsid w:val="00196EC1"/>
    <w:rsid w:val="001A5458"/>
    <w:rsid w:val="001C5C0A"/>
    <w:rsid w:val="001C74B0"/>
    <w:rsid w:val="001E4962"/>
    <w:rsid w:val="002066DC"/>
    <w:rsid w:val="0023660B"/>
    <w:rsid w:val="002449AD"/>
    <w:rsid w:val="0024657F"/>
    <w:rsid w:val="00250E63"/>
    <w:rsid w:val="00261CA4"/>
    <w:rsid w:val="00265E29"/>
    <w:rsid w:val="00276E78"/>
    <w:rsid w:val="002804DC"/>
    <w:rsid w:val="00286E80"/>
    <w:rsid w:val="002928FA"/>
    <w:rsid w:val="002946CF"/>
    <w:rsid w:val="00294E81"/>
    <w:rsid w:val="00295FD7"/>
    <w:rsid w:val="002B03D8"/>
    <w:rsid w:val="002B07BC"/>
    <w:rsid w:val="002C0D8B"/>
    <w:rsid w:val="002D23D7"/>
    <w:rsid w:val="002F0460"/>
    <w:rsid w:val="002F6FA6"/>
    <w:rsid w:val="0032543E"/>
    <w:rsid w:val="00351630"/>
    <w:rsid w:val="00365095"/>
    <w:rsid w:val="00387A4E"/>
    <w:rsid w:val="00403CF3"/>
    <w:rsid w:val="0044096C"/>
    <w:rsid w:val="004474E9"/>
    <w:rsid w:val="00460A3E"/>
    <w:rsid w:val="00461263"/>
    <w:rsid w:val="00475E3E"/>
    <w:rsid w:val="00491F76"/>
    <w:rsid w:val="0049618F"/>
    <w:rsid w:val="004A36B6"/>
    <w:rsid w:val="004A3795"/>
    <w:rsid w:val="004B3F15"/>
    <w:rsid w:val="004E5854"/>
    <w:rsid w:val="00514581"/>
    <w:rsid w:val="00522907"/>
    <w:rsid w:val="00547E4E"/>
    <w:rsid w:val="0057111F"/>
    <w:rsid w:val="00590B15"/>
    <w:rsid w:val="005B6C22"/>
    <w:rsid w:val="005C300A"/>
    <w:rsid w:val="005C62EC"/>
    <w:rsid w:val="005D27AF"/>
    <w:rsid w:val="005E1F2A"/>
    <w:rsid w:val="005E53BB"/>
    <w:rsid w:val="00603083"/>
    <w:rsid w:val="00616F2E"/>
    <w:rsid w:val="00632D8F"/>
    <w:rsid w:val="00637890"/>
    <w:rsid w:val="0064461A"/>
    <w:rsid w:val="00651446"/>
    <w:rsid w:val="00660654"/>
    <w:rsid w:val="006A0B16"/>
    <w:rsid w:val="006A71CF"/>
    <w:rsid w:val="006B794B"/>
    <w:rsid w:val="006C5AAF"/>
    <w:rsid w:val="006D3D68"/>
    <w:rsid w:val="006E0C87"/>
    <w:rsid w:val="006F088C"/>
    <w:rsid w:val="006F12B2"/>
    <w:rsid w:val="00741905"/>
    <w:rsid w:val="00741EF2"/>
    <w:rsid w:val="007461BC"/>
    <w:rsid w:val="00746FEB"/>
    <w:rsid w:val="007637FE"/>
    <w:rsid w:val="00763BAE"/>
    <w:rsid w:val="00775873"/>
    <w:rsid w:val="007776FC"/>
    <w:rsid w:val="007A07D0"/>
    <w:rsid w:val="007A5393"/>
    <w:rsid w:val="007D1BE2"/>
    <w:rsid w:val="007D5719"/>
    <w:rsid w:val="007E44B1"/>
    <w:rsid w:val="00801D26"/>
    <w:rsid w:val="00802873"/>
    <w:rsid w:val="00813850"/>
    <w:rsid w:val="00814570"/>
    <w:rsid w:val="00815F74"/>
    <w:rsid w:val="00834C6C"/>
    <w:rsid w:val="00841F32"/>
    <w:rsid w:val="00851F91"/>
    <w:rsid w:val="00854D65"/>
    <w:rsid w:val="00873546"/>
    <w:rsid w:val="008864FA"/>
    <w:rsid w:val="008A31F0"/>
    <w:rsid w:val="008A40FC"/>
    <w:rsid w:val="008A4B10"/>
    <w:rsid w:val="008B3C01"/>
    <w:rsid w:val="008C7316"/>
    <w:rsid w:val="008E071F"/>
    <w:rsid w:val="008E2DF9"/>
    <w:rsid w:val="008E397B"/>
    <w:rsid w:val="008F2B85"/>
    <w:rsid w:val="00901D81"/>
    <w:rsid w:val="00934DD0"/>
    <w:rsid w:val="0094282A"/>
    <w:rsid w:val="009648C6"/>
    <w:rsid w:val="00972161"/>
    <w:rsid w:val="009836D2"/>
    <w:rsid w:val="009B16C7"/>
    <w:rsid w:val="009E61DE"/>
    <w:rsid w:val="00A027F3"/>
    <w:rsid w:val="00A138B0"/>
    <w:rsid w:val="00A14D7F"/>
    <w:rsid w:val="00A15111"/>
    <w:rsid w:val="00A1527E"/>
    <w:rsid w:val="00A2513D"/>
    <w:rsid w:val="00A40D47"/>
    <w:rsid w:val="00A664FF"/>
    <w:rsid w:val="00A7309D"/>
    <w:rsid w:val="00A977B6"/>
    <w:rsid w:val="00AA081D"/>
    <w:rsid w:val="00AB0923"/>
    <w:rsid w:val="00AC6BCC"/>
    <w:rsid w:val="00AE4F4E"/>
    <w:rsid w:val="00B07C9C"/>
    <w:rsid w:val="00B101C2"/>
    <w:rsid w:val="00B333D0"/>
    <w:rsid w:val="00B4012D"/>
    <w:rsid w:val="00B526EC"/>
    <w:rsid w:val="00B55B6E"/>
    <w:rsid w:val="00B6138A"/>
    <w:rsid w:val="00B94714"/>
    <w:rsid w:val="00BA0404"/>
    <w:rsid w:val="00BA7859"/>
    <w:rsid w:val="00BB3835"/>
    <w:rsid w:val="00BC2CE7"/>
    <w:rsid w:val="00BF6BB6"/>
    <w:rsid w:val="00C03441"/>
    <w:rsid w:val="00C06DA3"/>
    <w:rsid w:val="00C340BA"/>
    <w:rsid w:val="00C4165E"/>
    <w:rsid w:val="00C43A56"/>
    <w:rsid w:val="00C47258"/>
    <w:rsid w:val="00C634E9"/>
    <w:rsid w:val="00C6639B"/>
    <w:rsid w:val="00CA5999"/>
    <w:rsid w:val="00CB2A28"/>
    <w:rsid w:val="00CC6254"/>
    <w:rsid w:val="00CF4235"/>
    <w:rsid w:val="00CF696A"/>
    <w:rsid w:val="00D12A2C"/>
    <w:rsid w:val="00D3678D"/>
    <w:rsid w:val="00D36A42"/>
    <w:rsid w:val="00D65BA3"/>
    <w:rsid w:val="00D8513B"/>
    <w:rsid w:val="00DA776C"/>
    <w:rsid w:val="00DC71C8"/>
    <w:rsid w:val="00DD6EC1"/>
    <w:rsid w:val="00DF6861"/>
    <w:rsid w:val="00E0526F"/>
    <w:rsid w:val="00E156FE"/>
    <w:rsid w:val="00E178EF"/>
    <w:rsid w:val="00E362AE"/>
    <w:rsid w:val="00E400DA"/>
    <w:rsid w:val="00E4341B"/>
    <w:rsid w:val="00E632A5"/>
    <w:rsid w:val="00EB5FF7"/>
    <w:rsid w:val="00EC17DB"/>
    <w:rsid w:val="00EC489A"/>
    <w:rsid w:val="00EC6F9A"/>
    <w:rsid w:val="00EE014D"/>
    <w:rsid w:val="00EE43DA"/>
    <w:rsid w:val="00F049FF"/>
    <w:rsid w:val="00F44788"/>
    <w:rsid w:val="00F52EB0"/>
    <w:rsid w:val="00F604E3"/>
    <w:rsid w:val="00F84B9B"/>
    <w:rsid w:val="00F913D6"/>
    <w:rsid w:val="00FA18C0"/>
    <w:rsid w:val="00FB7E9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6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789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7890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7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789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10B5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815F74"/>
    <w:rPr>
      <w:rFonts w:cs="Times New Roman"/>
      <w:b/>
    </w:rPr>
  </w:style>
  <w:style w:type="paragraph" w:styleId="NormaleWeb">
    <w:name w:val="Normal (Web)"/>
    <w:basedOn w:val="Normale"/>
    <w:uiPriority w:val="99"/>
    <w:rsid w:val="008E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A07D0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632D8F"/>
    <w:pPr>
      <w:widowControl w:val="0"/>
      <w:suppressAutoHyphens/>
      <w:spacing w:after="0" w:line="240" w:lineRule="auto"/>
      <w:ind w:right="432"/>
      <w:jc w:val="both"/>
    </w:pPr>
    <w:rPr>
      <w:rFonts w:ascii="Times New Roman" w:eastAsia="Times New Roman" w:hAnsi="Times New Roman"/>
      <w:color w:val="000000"/>
      <w:sz w:val="20"/>
      <w:szCs w:val="20"/>
      <w:lang w:eastAsia="hi-IN" w:bidi="hi-IN"/>
    </w:rPr>
  </w:style>
  <w:style w:type="paragraph" w:styleId="Puntoelenco">
    <w:name w:val="List Bullet"/>
    <w:basedOn w:val="Normale"/>
    <w:uiPriority w:val="99"/>
    <w:rsid w:val="00A1527E"/>
    <w:pPr>
      <w:numPr>
        <w:numId w:val="17"/>
      </w:numPr>
      <w:tabs>
        <w:tab w:val="num" w:pos="360"/>
      </w:tabs>
      <w:ind w:left="36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2B03D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789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890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7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7890"/>
    <w:rPr>
      <w:rFonts w:cs="Times New Roman"/>
    </w:rPr>
  </w:style>
  <w:style w:type="character" w:styleId="Hyperlink">
    <w:name w:val="Hyperlink"/>
    <w:basedOn w:val="DefaultParagraphFont"/>
    <w:uiPriority w:val="99"/>
    <w:rsid w:val="00010B5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15F74"/>
    <w:rPr>
      <w:rFonts w:cs="Times New Roman"/>
      <w:b/>
    </w:rPr>
  </w:style>
  <w:style w:type="paragraph" w:styleId="NormalWeb">
    <w:name w:val="Normal (Web)"/>
    <w:basedOn w:val="Normal"/>
    <w:uiPriority w:val="99"/>
    <w:rsid w:val="008E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7A07D0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632D8F"/>
    <w:pPr>
      <w:widowControl w:val="0"/>
      <w:suppressAutoHyphens/>
      <w:spacing w:after="0" w:line="240" w:lineRule="auto"/>
      <w:ind w:right="432"/>
      <w:jc w:val="both"/>
    </w:pPr>
    <w:rPr>
      <w:rFonts w:ascii="Times New Roman" w:eastAsia="Times New Roman" w:hAnsi="Times New Roman"/>
      <w:color w:val="000000"/>
      <w:sz w:val="20"/>
      <w:szCs w:val="20"/>
      <w:lang w:eastAsia="hi-IN" w:bidi="hi-IN"/>
    </w:rPr>
  </w:style>
  <w:style w:type="paragraph" w:styleId="ListBullet">
    <w:name w:val="List Bullet"/>
    <w:basedOn w:val="Normal"/>
    <w:uiPriority w:val="99"/>
    <w:rsid w:val="00A1527E"/>
    <w:pPr>
      <w:numPr>
        <w:numId w:val="17"/>
      </w:numPr>
      <w:tabs>
        <w:tab w:val="num" w:pos="360"/>
      </w:tabs>
      <w:ind w:left="36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B03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948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ATTO DI TRANSAZIONE TRA IL COMUNE DI AMANDOLA  E L’EX DIPENDENTE COMUNALE ANTOGNOZZI GIORGIO</vt:lpstr>
      <vt:lpstr>ATTO DI TRANSAZIONE TRA IL COMUNE DI AMANDOLA  E L’EX DIPENDENTE COMUNALE ANTOGNOZZI GIORGIO</vt:lpstr>
    </vt:vector>
  </TitlesOfParts>
  <Company>diakov.net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TRANSAZIONE TRA IL COMUNE DI AMANDOLA  E L’EX DIPENDENTE COMUNALE ANTOGNOZZI GIORGIO</dc:title>
  <dc:creator>Mathias</dc:creator>
  <cp:lastModifiedBy>ufficio.segreteria</cp:lastModifiedBy>
  <cp:revision>8</cp:revision>
  <cp:lastPrinted>2019-03-27T15:08:00Z</cp:lastPrinted>
  <dcterms:created xsi:type="dcterms:W3CDTF">2019-03-27T12:38:00Z</dcterms:created>
  <dcterms:modified xsi:type="dcterms:W3CDTF">2019-03-27T15:16:00Z</dcterms:modified>
</cp:coreProperties>
</file>