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276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COMUNE DI RIPE SAN GINESIO</w:t>
      </w:r>
      <w:r>
        <w:rPr>
          <w:b/>
          <w:bCs/>
          <w:sz w:val="22"/>
        </w:rPr>
        <w:tab/>
        <w:t>(Prov. di Macerata)</w:t>
      </w:r>
    </w:p>
    <w:p w:rsidR="00000000" w:rsidRDefault="006D276C">
      <w:pPr>
        <w:rPr>
          <w:b/>
          <w:bCs/>
          <w:sz w:val="22"/>
        </w:rPr>
      </w:pPr>
      <w:r>
        <w:rPr>
          <w:b/>
          <w:bCs/>
          <w:sz w:val="22"/>
        </w:rPr>
        <w:t xml:space="preserve">Rep. n. </w:t>
      </w:r>
      <w:proofErr w:type="spellStart"/>
      <w:r w:rsidR="001834D6">
        <w:rPr>
          <w:b/>
          <w:bCs/>
          <w:sz w:val="22"/>
        </w:rPr>
        <w:t>……</w:t>
      </w:r>
      <w:proofErr w:type="spellEnd"/>
      <w:r w:rsidR="001834D6">
        <w:rPr>
          <w:b/>
          <w:bCs/>
          <w:sz w:val="22"/>
        </w:rPr>
        <w:t>.</w:t>
      </w:r>
    </w:p>
    <w:p w:rsidR="00000000" w:rsidRDefault="006D276C">
      <w:pPr>
        <w:rPr>
          <w:b/>
          <w:bCs/>
          <w:sz w:val="22"/>
        </w:rPr>
      </w:pPr>
      <w:r>
        <w:rPr>
          <w:b/>
          <w:bCs/>
          <w:sz w:val="22"/>
        </w:rPr>
        <w:t>CONTRATTO PRELIMINARE DI COMPRAVENDITA DI AREA EDIFICABILE SITI IN LOC.TA’ FAVETO DI RIPE SAN GINESIO</w:t>
      </w:r>
    </w:p>
    <w:p w:rsidR="00000000" w:rsidRDefault="006D276C">
      <w:pPr>
        <w:jc w:val="both"/>
      </w:pPr>
      <w:r>
        <w:t xml:space="preserve">L’anno </w:t>
      </w:r>
      <w:proofErr w:type="spellStart"/>
      <w:r>
        <w:t>duemila</w:t>
      </w:r>
      <w:r w:rsidR="001834D6">
        <w:t>…</w:t>
      </w:r>
      <w:proofErr w:type="spellEnd"/>
      <w:r w:rsidR="001834D6">
        <w:t>.</w:t>
      </w:r>
      <w:r>
        <w:t xml:space="preserve"> addì </w:t>
      </w:r>
      <w:r w:rsidR="001834D6">
        <w:t>..</w:t>
      </w:r>
      <w:r>
        <w:t xml:space="preserve"> (</w:t>
      </w:r>
      <w:r w:rsidR="001834D6">
        <w:t>…</w:t>
      </w:r>
      <w:r>
        <w:t xml:space="preserve">) del mese di </w:t>
      </w:r>
      <w:r w:rsidR="001834D6">
        <w:t>…..</w:t>
      </w:r>
      <w:r>
        <w:t xml:space="preserve"> in Ripe San Ginesio, nella residenza </w:t>
      </w:r>
      <w:r>
        <w:t>municipale sita in p.zza Vittorio Emanuele II n. 8;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rPr>
          <w:bCs/>
        </w:rPr>
      </w:pPr>
      <w:r>
        <w:rPr>
          <w:bCs/>
        </w:rPr>
        <w:t>TRA I SOTTOSCRITTI SIGNORI</w:t>
      </w:r>
    </w:p>
    <w:p w:rsidR="00000000" w:rsidRDefault="006D276C">
      <w:pPr>
        <w:jc w:val="both"/>
      </w:pPr>
      <w:r>
        <w:t>- GEOM. LAURA CONTRATTI nata a Macerata il 23.01.1978, il quale in forza del decreto sindacale n. 5 del 29.06.2009, interviene, nella qualifica di Responsabile dell’Area Tecnica</w:t>
      </w:r>
      <w:r>
        <w:t xml:space="preserve"> autorizzato a stipulare contratti ai sensi dell’art. 107, comma 2, del TUEL n. 267/2000, in rappresentanza e per conto del Comune di Ripe San Ginesio, con sede in p.zza Vittorio Emanuele II n. 8, che nel contesto dell’atto verrà chiamato per brevità anche</w:t>
      </w:r>
      <w:r>
        <w:t xml:space="preserve"> “Comune” o “parte promittente venditrice”, cod. fisc. n. 00267220432;</w:t>
      </w:r>
    </w:p>
    <w:p w:rsidR="00000000" w:rsidRDefault="006D276C">
      <w:pPr>
        <w:jc w:val="both"/>
      </w:pPr>
      <w:r>
        <w:t xml:space="preserve">- la Soc. Cooperativa “Edilizia Marche” con sede in via Giovanni XXIII n. 45, Macerata, Partita Iva 01004620439, all’uopo rappresentata dal proprio legale rappresentante, Sig. SCHIAFFI </w:t>
      </w:r>
      <w:r>
        <w:t>GIANCARLO, nato in Apiro il 21.11.1948 cod. fisc. SCH GCR 48S21 A329Q e residente a Macerata in p.zza Nazario Sauro n. 10, il quale interviene al presente atto giusta delibera del Consiglio di Amm.ne del 06.12.2012, che nel proseguio verrà chiamata per bre</w:t>
      </w:r>
      <w:r>
        <w:t xml:space="preserve">vità anche “parte </w:t>
      </w:r>
      <w:r>
        <w:lastRenderedPageBreak/>
        <w:t>promittente acquirente”;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rPr>
          <w:bCs/>
        </w:rPr>
      </w:pPr>
      <w:r>
        <w:rPr>
          <w:bCs/>
        </w:rPr>
        <w:t>PREMESSO</w:t>
      </w:r>
    </w:p>
    <w:p w:rsidR="00000000" w:rsidRDefault="006D276C">
      <w:pPr>
        <w:jc w:val="both"/>
        <w:rPr>
          <w:sz w:val="19"/>
        </w:rPr>
      </w:pPr>
      <w:r>
        <w:rPr>
          <w:b/>
          <w:bCs/>
        </w:rPr>
        <w:t>-</w:t>
      </w:r>
      <w:r>
        <w:t xml:space="preserve"> che a seguito di esperimento di pubblico incanto, mediante asta pubblica del 27/08/2012, l’area di proprietà comunale, sita in loc.tà Faveto distinta al N.C.T. del Comune di Ripe San Ginesio al Foglio n</w:t>
      </w:r>
      <w:r>
        <w:t>. 8 mappali n. 376 e 379 porz., della superficie catastale di mq. 10.420 veniva assegnata alla Soc. Cooperativa “Edilizia Marche” con sede in via Giovanni XXIII n. 45, Macerata al prezzo di € 183.000,00</w:t>
      </w:r>
      <w:r>
        <w:rPr>
          <w:sz w:val="19"/>
        </w:rPr>
        <w:t xml:space="preserve"> (euro centottantatremila/00) giusta </w:t>
      </w:r>
      <w:r>
        <w:t>determina dell’uf</w:t>
      </w:r>
      <w:r>
        <w:t>ficio tecnico n. 65 del 25/09/2012</w:t>
      </w:r>
      <w:r>
        <w:rPr>
          <w:sz w:val="19"/>
        </w:rPr>
        <w:t>;</w:t>
      </w:r>
    </w:p>
    <w:p w:rsidR="00000000" w:rsidRDefault="006D276C">
      <w:pPr>
        <w:jc w:val="both"/>
      </w:pPr>
      <w:r>
        <w:t>- che la ditta con nota del 03/12/2012 ha chiesto al Comune la proroga di n. 120 giorni per la cessione dell’area, inizialmente fissata al 10/12/2012, adducendo come motivazione le difficoltà economiche ad ottenere con i</w:t>
      </w:r>
      <w:r>
        <w:t xml:space="preserve"> vari istituti di credito, eccessivamente prudenti, la concessione di un finanziamento;</w:t>
      </w:r>
    </w:p>
    <w:p w:rsidR="00000000" w:rsidRDefault="006D276C">
      <w:pPr>
        <w:jc w:val="both"/>
      </w:pPr>
      <w:r>
        <w:t xml:space="preserve">Richiamata la delibera di Giunta Municipale n. </w:t>
      </w:r>
      <w:r w:rsidR="001834D6">
        <w:t>…</w:t>
      </w:r>
      <w:r>
        <w:t xml:space="preserve"> del </w:t>
      </w:r>
      <w:r w:rsidR="001834D6">
        <w:t>…</w:t>
      </w:r>
      <w:r>
        <w:t xml:space="preserve"> con la quale è stata accolta la richiesta di proroga ed è stato approvato uno schema di preliminare di</w:t>
      </w:r>
      <w:r>
        <w:t xml:space="preserve"> vendita dell’area sita in località Faveto, da sottoscrivere con la ditta acquirente;</w:t>
      </w:r>
    </w:p>
    <w:p w:rsidR="00000000" w:rsidRDefault="006D276C">
      <w:pPr>
        <w:jc w:val="center"/>
        <w:rPr>
          <w:b/>
          <w:bCs/>
        </w:rPr>
      </w:pPr>
      <w:r>
        <w:rPr>
          <w:b/>
          <w:bCs/>
        </w:rPr>
        <w:t>SI CONVIENE E SI STIPULA QUANTO SEGUE:</w:t>
      </w:r>
    </w:p>
    <w:p w:rsidR="00000000" w:rsidRDefault="006D276C">
      <w:pPr>
        <w:pStyle w:val="Intestazione"/>
        <w:tabs>
          <w:tab w:val="clear" w:pos="4819"/>
          <w:tab w:val="clear" w:pos="9638"/>
        </w:tabs>
        <w:jc w:val="both"/>
      </w:pPr>
      <w:r>
        <w:rPr>
          <w:b/>
          <w:bCs/>
        </w:rPr>
        <w:t>Art. 1:</w:t>
      </w:r>
      <w:r>
        <w:t xml:space="preserve"> La parte promittente venditrice promette di vendere a parte promittente acquirente per sé o per persona, ente o </w:t>
      </w:r>
      <w:r>
        <w:lastRenderedPageBreak/>
        <w:t xml:space="preserve">società da </w:t>
      </w:r>
      <w:r>
        <w:t>nominare all’atto definitivo, l’area edificabile, sita in località Faveto, distinta al N.C.T. del Comune di Ripe San Ginesio al Foglio n. 8 mappali n. 376 e 379 porz., della superficie catastale di mq. 10.420, meglio individuata nella planimetria che, sepp</w:t>
      </w:r>
      <w:r>
        <w:t>ur non allegata, le parti dichiarano di conoscere ed accettare.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jc w:val="both"/>
      </w:pPr>
      <w:r>
        <w:rPr>
          <w:bCs/>
        </w:rPr>
        <w:t xml:space="preserve">Art. 2: </w:t>
      </w:r>
      <w:r>
        <w:rPr>
          <w:b w:val="0"/>
        </w:rPr>
        <w:t>La parte promittente venditrice dichiara di avere la piena proprietà delle aree in oggetto e si impegna a cederle libere da iscrizioni ipotecarie, liti in corso, trascrizioni pregiudiz</w:t>
      </w:r>
      <w:r>
        <w:rPr>
          <w:b w:val="0"/>
        </w:rPr>
        <w:t>ievoli per l’acquirente e i diritti di terzi di qualunque natura e tipo.</w:t>
      </w:r>
    </w:p>
    <w:p w:rsidR="00000000" w:rsidRDefault="006D276C">
      <w:pPr>
        <w:jc w:val="both"/>
      </w:pPr>
      <w:r>
        <w:rPr>
          <w:b/>
          <w:bCs/>
        </w:rPr>
        <w:t>Art. 3:</w:t>
      </w:r>
      <w:r>
        <w:t xml:space="preserve"> La vendita sarà fatta ed accettata a corpo, nello stato di fatto e di diritto in cui detta area attualmente si trova, con diritti, ragioni, accessioni, pertinenze, dipendenze,</w:t>
      </w:r>
      <w:r>
        <w:t xml:space="preserve">  servitù attive e passive così come visti dalla parte acquirente e dalla stessa trovati di suo gradimento.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jc w:val="both"/>
      </w:pPr>
      <w:r>
        <w:rPr>
          <w:bCs/>
        </w:rPr>
        <w:t xml:space="preserve">Art. 4: </w:t>
      </w:r>
      <w:r>
        <w:rPr>
          <w:b w:val="0"/>
        </w:rPr>
        <w:t>La parte acquirente si impegna  a lasciare una servitù di passaggio a favore della parte venditrice in prossimità del muro di recinzione del</w:t>
      </w:r>
      <w:r>
        <w:rPr>
          <w:b w:val="0"/>
        </w:rPr>
        <w:t>la proprietà Zamponi come già individuato nell’allegata planimetria.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jc w:val="left"/>
      </w:pPr>
      <w:r>
        <w:rPr>
          <w:bCs/>
        </w:rPr>
        <w:t xml:space="preserve">Art. 5: </w:t>
      </w:r>
      <w:r>
        <w:rPr>
          <w:b w:val="0"/>
        </w:rPr>
        <w:t>La vendita avverrà al prezzo di seguito specificato:</w:t>
      </w:r>
    </w:p>
    <w:p w:rsidR="00000000" w:rsidRDefault="006D276C">
      <w:pPr>
        <w:jc w:val="both"/>
      </w:pPr>
      <w:r>
        <w:t>183.000,00</w:t>
      </w:r>
      <w:r>
        <w:rPr>
          <w:sz w:val="19"/>
        </w:rPr>
        <w:t xml:space="preserve"> (euro centottantatremila/00) </w:t>
      </w:r>
      <w:r>
        <w:t>che la parte promittente acquirente si impegna a pagare nei modi e nei termini seguent</w:t>
      </w:r>
      <w:r>
        <w:t>i:</w:t>
      </w:r>
    </w:p>
    <w:p w:rsidR="00000000" w:rsidRDefault="006D2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- quanto ad euro 18.300,00 (diciottomilatrecento/00) sono </w:t>
      </w:r>
      <w:r>
        <w:lastRenderedPageBreak/>
        <w:t xml:space="preserve">già state corrisposte, dalla parte promittente acquirente, alla data di esperimento dell’asta pubblica per la vendita dell’area mediante bonifico bancario, </w:t>
      </w:r>
      <w:r>
        <w:rPr>
          <w:rFonts w:cs="Courier New"/>
        </w:rPr>
        <w:t>incamerati a titolo di acconto</w:t>
      </w:r>
      <w:r>
        <w:t xml:space="preserve">; </w:t>
      </w:r>
    </w:p>
    <w:p w:rsidR="00000000" w:rsidRDefault="006D276C">
      <w:pPr>
        <w:jc w:val="both"/>
      </w:pPr>
      <w:r>
        <w:t>- quan</w:t>
      </w:r>
      <w:r>
        <w:t>to ad euro 18.300,00 (diciottomilatrecento/00) saranno corrisposti a titolo di caparra confirmatoria dalla parte promittente acquirente entro e non oltre il 10.01.2013; resta inteso che in assenza di detto pagamento il presente atto dovrà intendersi risolt</w:t>
      </w:r>
      <w:r>
        <w:t>o;</w:t>
      </w:r>
    </w:p>
    <w:p w:rsidR="00000000" w:rsidRDefault="006D276C">
      <w:pPr>
        <w:jc w:val="both"/>
      </w:pPr>
      <w:r>
        <w:t>- la somma di euro 146.400,00 (centoquarantaseimila quattrocento/00) a saldo della spesa per il pagamento dell’area verrà versato alla data del rogito.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jc w:val="both"/>
      </w:pPr>
      <w:r>
        <w:rPr>
          <w:bCs/>
        </w:rPr>
        <w:t xml:space="preserve">Art. 6: </w:t>
      </w:r>
      <w:r>
        <w:rPr>
          <w:b w:val="0"/>
        </w:rPr>
        <w:t>Il rogito definitivo verrà stipulato entro e non oltre il 09.04.2013. La data suindicata cost</w:t>
      </w:r>
      <w:r>
        <w:rPr>
          <w:b w:val="0"/>
        </w:rPr>
        <w:t>ituisce termine perentorio ed essenziale per la parte promittente acquirente; sarà pertanto cura della parte promittente acquirente comunicare alla parte promittente venditrice, con preavviso di 10 giorni, luogo, data ed orario del rogito definitivo di tra</w:t>
      </w:r>
      <w:r>
        <w:rPr>
          <w:b w:val="0"/>
        </w:rPr>
        <w:t>sferimento.</w:t>
      </w:r>
    </w:p>
    <w:p w:rsidR="00000000" w:rsidRDefault="006D276C">
      <w:pPr>
        <w:jc w:val="both"/>
      </w:pPr>
      <w:r>
        <w:rPr>
          <w:b/>
          <w:bCs/>
        </w:rPr>
        <w:t xml:space="preserve">Art. 7: </w:t>
      </w:r>
      <w:r>
        <w:t xml:space="preserve">Le spese per gli atti notarili, per l’imposta di registro, ipotecarie e catastali saranno interamente a carico della parte promittente acquirente. Gli oneri e le spese per reperire ogni documentazione tecnica e amministrativa in genere </w:t>
      </w:r>
      <w:r>
        <w:t>sulle aree in questione saranno a carico della parte promittente venditrice, come per legge.</w:t>
      </w:r>
    </w:p>
    <w:p w:rsidR="00000000" w:rsidRDefault="006D276C">
      <w:pPr>
        <w:jc w:val="both"/>
      </w:pPr>
      <w:r>
        <w:lastRenderedPageBreak/>
        <w:t>Gli eventuali costi di registrazione della presente scrittura saranno sopportati interamente dalla parte che con il proprio comportamento inadempiente avrà origina</w:t>
      </w:r>
      <w:r>
        <w:t>to la relativa necessità.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jc w:val="both"/>
      </w:pPr>
      <w:r>
        <w:rPr>
          <w:bCs/>
        </w:rPr>
        <w:t xml:space="preserve">Art. 8: </w:t>
      </w:r>
      <w:r>
        <w:rPr>
          <w:b w:val="0"/>
        </w:rPr>
        <w:t>Le proprietà dell’area passerà alla parte promittente acquirente al momento del rogito notarile, che dovrà essere stipulato entro e non oltre i termini previsti dall’art. 5 del presente atto. Da tale data diritti e oneri f</w:t>
      </w:r>
      <w:r>
        <w:rPr>
          <w:b w:val="0"/>
        </w:rPr>
        <w:t>aranno capo alla parte promittente acquirente.</w:t>
      </w:r>
    </w:p>
    <w:p w:rsidR="00000000" w:rsidRDefault="006D276C">
      <w:pPr>
        <w:pStyle w:val="Titolo9"/>
        <w:tabs>
          <w:tab w:val="clear" w:pos="284"/>
        </w:tabs>
        <w:spacing w:line="480" w:lineRule="exact"/>
        <w:jc w:val="both"/>
      </w:pPr>
      <w:r>
        <w:rPr>
          <w:bCs/>
        </w:rPr>
        <w:t xml:space="preserve">Art. 9: </w:t>
      </w:r>
      <w:r>
        <w:rPr>
          <w:b w:val="0"/>
        </w:rPr>
        <w:t>Qualora la parte promittente acquirente risultasse inadempiente al rispetto del termine fissato per la stipula dell’atto definitivo, la Parte promittente venditrice può recedere dal contratto, ritenend</w:t>
      </w:r>
      <w:r>
        <w:rPr>
          <w:b w:val="0"/>
        </w:rPr>
        <w:t>o per sé le somme già versate dalla parte acquirente in sede di asta pubblica ed a titolo di caparra confirmatoria (pari ad euro 36.600,00 (trentaseimilaseicento/00), salvo in ogni caso, il risarcimento del danno, ai sensi dell’art. 1223 cc e seguenti.</w:t>
      </w:r>
    </w:p>
    <w:p w:rsidR="00000000" w:rsidRDefault="006D276C">
      <w:r>
        <w:t>PAR</w:t>
      </w:r>
      <w:r>
        <w:t>TE PROMITTENTE VENDITRICE</w:t>
      </w:r>
      <w:r>
        <w:tab/>
        <w:t xml:space="preserve">   PARTE PROMITTENTE ACQUIRENTE</w:t>
      </w:r>
    </w:p>
    <w:p w:rsidR="00000000" w:rsidRDefault="006D276C">
      <w:r>
        <w:t>_________________________     ______________________________</w:t>
      </w:r>
    </w:p>
    <w:p w:rsidR="00000000" w:rsidRDefault="006D276C">
      <w:r>
        <w:t>Ai sensi e per gli effetti degli articoli 1341 e 1342 del codice civile, si approvano specificamente gli articoli 3/4/5/6/7 e 9 della pre</w:t>
      </w:r>
      <w:r>
        <w:t>sente scrittura privata.</w:t>
      </w:r>
    </w:p>
    <w:p w:rsidR="00000000" w:rsidRDefault="006D276C">
      <w:r>
        <w:t>PARTE PROMITTENTE VENDITRICE</w:t>
      </w:r>
      <w:r>
        <w:tab/>
        <w:t xml:space="preserve">   PARTE PROMITTENTE ACQUIRENTE</w:t>
      </w:r>
    </w:p>
    <w:p w:rsidR="006D276C" w:rsidRDefault="006D276C">
      <w:r>
        <w:t>_________________________     ______________________________</w:t>
      </w:r>
    </w:p>
    <w:sectPr w:rsidR="006D276C">
      <w:headerReference w:type="default" r:id="rId7"/>
      <w:footerReference w:type="even" r:id="rId8"/>
      <w:footerReference w:type="default" r:id="rId9"/>
      <w:pgSz w:w="11907" w:h="16840" w:code="9"/>
      <w:pgMar w:top="2608" w:right="2948" w:bottom="1928" w:left="1644" w:header="720" w:footer="1418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6C" w:rsidRDefault="006D276C">
      <w:r>
        <w:separator/>
      </w:r>
    </w:p>
  </w:endnote>
  <w:endnote w:type="continuationSeparator" w:id="0">
    <w:p w:rsidR="006D276C" w:rsidRDefault="006D2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27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6D27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27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34D6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00000" w:rsidRDefault="006D276C">
    <w:pPr>
      <w:pStyle w:val="Pidipagina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6C" w:rsidRDefault="006D276C">
      <w:r>
        <w:separator/>
      </w:r>
    </w:p>
  </w:footnote>
  <w:footnote w:type="continuationSeparator" w:id="0">
    <w:p w:rsidR="006D276C" w:rsidRDefault="006D2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276C">
    <w:pPr>
      <w:spacing w:line="477" w:lineRule="exact"/>
      <w:jc w:val="center"/>
      <w:rPr>
        <w:rFonts w:ascii="Arial" w:hAnsi="Arial"/>
        <w:sz w:val="26"/>
      </w:rPr>
    </w:pPr>
    <w:r>
      <w:rPr>
        <w:rFonts w:ascii="Arial" w:hAnsi="Arial"/>
        <w:vanish/>
        <w:sz w:val="26"/>
      </w:rPr>
      <w:t>Questo testo stampa le righe ma non viene stampato</w:t>
    </w:r>
    <w:r>
      <w:rPr>
        <w:rFonts w:ascii="Arial" w:hAnsi="Arial"/>
        <w:sz w:val="26"/>
      </w:rPr>
      <w:t xml:space="preserve"> </w:t>
    </w:r>
    <w:r>
      <w:rPr>
        <w:rFonts w:ascii="Times New Roman" w:hAnsi="Times New Roman"/>
        <w:sz w:val="18"/>
      </w:rPr>
      <w:pict>
        <v:group id="_x0000_s2049" style="position:absolute;left:0;text-align:left;margin-left:0;margin-top:0;width:595.35pt;height:841pt;z-index:-251658752;mso-position-horizontal-relative:page;mso-position-vertical-relative:page" coordorigin="-2902" coordsize="23814,20000" o:allowincell="f">
          <v:line id="_x0000_s2050" style="position:absolute" from="15218,0" to="15220,20000" strokeweight=".25pt">
            <v:stroke startarrowwidth="narrow" startarrowlength="short" endarrowwidth="narrow" endarrowlength="short"/>
          </v:line>
          <v:line id="_x0000_s2051" style="position:absolute" from="266,0" to="268,20000" strokeweight=".25pt">
            <v:stroke startarrowwidth="narrow" startarrowlength="short" endarrowwidth="narrow" endarrowlength="short"/>
          </v:line>
          <v:line id="_x0000_s2052" style="position:absolute" from="-2902,10535" to="20912,10536" strokeweight=".25pt">
            <v:stroke startarrowwidth="narrow" startarrowlength="short" endarrowwidth="narrow" endarrowlength="short"/>
          </v:line>
          <v:line id="_x0000_s2053" style="position:absolute" from="-2902,4304" to="20898,4306" strokeweight=".25pt">
            <v:stroke startarrowwidth="narrow" startarrowlength="short" endarrowwidth="narrow" endarrowlength="short"/>
          </v:line>
          <v:line id="_x0000_s2054" style="position:absolute" from="-2902,3734" to="20898,3735" strokeweight=".25pt">
            <v:stroke startarrowwidth="narrow" startarrowlength="short" endarrowwidth="narrow" endarrowlength="short"/>
          </v:line>
          <v:line id="_x0000_s2055" style="position:absolute" from="-2902,4875" to="20912,4876" strokeweight=".25pt">
            <v:stroke startarrowwidth="narrow" startarrowlength="short" endarrowwidth="narrow" endarrowlength="short"/>
          </v:line>
          <v:line id="_x0000_s2056" style="position:absolute" from="-2902,5446" to="20912,5447" strokeweight=".25pt">
            <v:stroke startarrowwidth="narrow" startarrowlength="short" endarrowwidth="narrow" endarrowlength="short"/>
          </v:line>
          <v:line id="_x0000_s2057" style="position:absolute" from="-2902,6587" to="20912,6589" strokeweight=".25pt">
            <v:stroke startarrowwidth="narrow" startarrowlength="short" endarrowwidth="narrow" endarrowlength="short"/>
          </v:line>
          <v:line id="_x0000_s2058" style="position:absolute" from="-2902,6017" to="20912,6018" strokeweight=".25pt">
            <v:stroke startarrowwidth="narrow" startarrowlength="short" endarrowwidth="narrow" endarrowlength="short"/>
          </v:line>
          <v:line id="_x0000_s2059" style="position:absolute" from="-2902,7158" to="20898,7159" strokeweight=".25pt">
            <v:stroke startarrowwidth="narrow" startarrowlength="short" endarrowwidth="narrow" endarrowlength="short"/>
          </v:line>
          <v:line id="_x0000_s2060" style="position:absolute" from="-2902,8252" to="20898,8253" strokeweight=".25pt">
            <v:stroke startarrowwidth="narrow" startarrowlength="short" endarrowwidth="narrow" endarrowlength="short"/>
          </v:line>
          <v:line id="_x0000_s2061" style="position:absolute" from="-2902,7681" to="20898,7683" strokeweight=".25pt">
            <v:stroke startarrowwidth="narrow" startarrowlength="short" endarrowwidth="narrow" endarrowlength="short"/>
          </v:line>
          <v:line id="_x0000_s2062" style="position:absolute" from="-2902,8823" to="20912,8824" strokeweight=".25pt">
            <v:stroke startarrowwidth="narrow" startarrowlength="short" endarrowwidth="narrow" endarrowlength="short"/>
          </v:line>
          <v:line id="_x0000_s2063" style="position:absolute" from="-2902,9394" to="20912,9395" strokeweight=".25pt">
            <v:stroke startarrowwidth="narrow" startarrowlength="short" endarrowwidth="narrow" endarrowlength="short"/>
          </v:line>
          <v:line id="_x0000_s2064" style="position:absolute" from="-2902,9964" to="20912,9966" strokeweight=".25pt">
            <v:stroke startarrowwidth="narrow" startarrowlength="short" endarrowwidth="narrow" endarrowlength="short"/>
          </v:line>
          <v:line id="_x0000_s2065" style="position:absolute" from="-2902,11106" to="20898,11107" strokeweight=".25pt">
            <v:stroke startarrowwidth="narrow" startarrowlength="short" endarrowwidth="narrow" endarrowlength="short"/>
          </v:line>
          <v:line id="_x0000_s2066" style="position:absolute" from="-2902,12247" to="20898,12249" strokeweight=".25pt">
            <v:stroke startarrowwidth="narrow" startarrowlength="short" endarrowwidth="narrow" endarrowlength="short"/>
          </v:line>
          <v:line id="_x0000_s2067" style="position:absolute" from="-2902,11677" to="20898,11678" strokeweight=".25pt">
            <v:stroke startarrowwidth="narrow" startarrowlength="short" endarrowwidth="narrow" endarrowlength="short"/>
          </v:line>
          <v:line id="_x0000_s2068" style="position:absolute" from="-2902,12818" to="20912,12819" strokeweight=".25pt">
            <v:stroke startarrowwidth="narrow" startarrowlength="short" endarrowwidth="narrow" endarrowlength="short"/>
          </v:line>
          <v:line id="_x0000_s2069" style="position:absolute" from="-2902,13389" to="20912,13390" strokeweight=".25pt">
            <v:stroke startarrowwidth="narrow" startarrowlength="short" endarrowwidth="narrow" endarrowlength="short"/>
          </v:line>
          <v:line id="_x0000_s2070" style="position:absolute" from="-2902,14530" to="20912,14532" strokeweight=".25pt">
            <v:stroke startarrowwidth="narrow" startarrowlength="short" endarrowwidth="narrow" endarrowlength="short"/>
          </v:line>
          <v:line id="_x0000_s2071" style="position:absolute" from="-2902,13960" to="20912,13961" strokeweight=".25pt">
            <v:stroke startarrowwidth="narrow" startarrowlength="short" endarrowwidth="narrow" endarrowlength="short"/>
          </v:line>
          <v:line id="_x0000_s2072" style="position:absolute" from="-2902,15101" to="20898,15102" strokeweight=".25pt">
            <v:stroke startarrowwidth="narrow" startarrowlength="short" endarrowwidth="narrow" endarrowlength="short"/>
          </v:line>
          <v:line id="_x0000_s2073" style="position:absolute" from="-2902,16195" to="20898,16196" strokeweight=".25pt">
            <v:stroke startarrowwidth="narrow" startarrowlength="short" endarrowwidth="narrow" endarrowlength="short"/>
          </v:line>
          <v:line id="_x0000_s2074" style="position:absolute" from="-2902,15624" to="20898,15625" strokeweight=".25pt">
            <v:stroke startarrowwidth="narrow" startarrowlength="short" endarrowwidth="narrow" endarrowlength="short"/>
          </v:line>
          <v:line id="_x0000_s2075" style="position:absolute" from="-2902,16766" to="20912,16767" strokeweight=".25pt">
            <v:stroke startarrowwidth="narrow" startarrowlength="short" endarrowwidth="narrow" endarrowlength="short"/>
          </v:line>
          <v:line id="_x0000_s2076" style="position:absolute" from="-2902,17337" to="20912,17338" strokeweight=".25pt">
            <v:stroke startarrowwidth="narrow" startarrowlength="short" endarrowwidth="narrow" endarrowlength="short"/>
          </v:line>
          <w10:wrap anchorx="page" anchory="page"/>
          <w10:anchorlock/>
        </v:group>
      </w:pict>
    </w:r>
  </w:p>
  <w:p w:rsidR="00000000" w:rsidRDefault="006D276C">
    <w:pPr>
      <w:pStyle w:val="Intestazione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19F"/>
    <w:multiLevelType w:val="hybridMultilevel"/>
    <w:tmpl w:val="737CFD68"/>
    <w:lvl w:ilvl="0" w:tplc="04100005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">
    <w:nsid w:val="2F200ED4"/>
    <w:multiLevelType w:val="hybridMultilevel"/>
    <w:tmpl w:val="A3100F0A"/>
    <w:lvl w:ilvl="0" w:tplc="1A6052C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/>
  <w:attachedTemplate r:id="rId1"/>
  <w:defaultTabStop w:val="706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o:colormenu v:ext="edit" fillcolor="#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34D6"/>
    <w:rsid w:val="001834D6"/>
    <w:rsid w:val="006D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480" w:lineRule="exact"/>
    </w:pPr>
    <w:rPr>
      <w:rFonts w:ascii="Courier New" w:hAnsi="Courier New"/>
    </w:rPr>
  </w:style>
  <w:style w:type="paragraph" w:styleId="Titolo1">
    <w:name w:val="heading 1"/>
    <w:basedOn w:val="Normale"/>
    <w:next w:val="Normale"/>
    <w:qFormat/>
    <w:pPr>
      <w:keepNext/>
      <w:spacing w:line="477" w:lineRule="exact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477" w:lineRule="atLeast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477" w:lineRule="atLeas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477" w:lineRule="atLeast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tabs>
        <w:tab w:val="left" w:pos="284"/>
      </w:tabs>
      <w:spacing w:line="240" w:lineRule="auto"/>
      <w:ind w:left="284" w:hanging="284"/>
      <w:jc w:val="center"/>
      <w:outlineLvl w:val="4"/>
    </w:pPr>
    <w:rPr>
      <w:rFonts w:ascii="Times New Roman" w:hAnsi="Times New Roman"/>
      <w:b/>
      <w:sz w:val="28"/>
      <w:u w:val="single"/>
    </w:rPr>
  </w:style>
  <w:style w:type="paragraph" w:styleId="Titolo6">
    <w:name w:val="heading 6"/>
    <w:basedOn w:val="Normale"/>
    <w:next w:val="Normale"/>
    <w:qFormat/>
    <w:pPr>
      <w:keepNext/>
      <w:widowControl/>
      <w:tabs>
        <w:tab w:val="left" w:pos="284"/>
      </w:tabs>
      <w:spacing w:line="240" w:lineRule="auto"/>
      <w:jc w:val="center"/>
      <w:outlineLvl w:val="5"/>
    </w:pPr>
    <w:rPr>
      <w:rFonts w:ascii="Times New Roman" w:hAnsi="Times New Roman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widowControl/>
      <w:tabs>
        <w:tab w:val="left" w:pos="284"/>
      </w:tabs>
      <w:spacing w:line="240" w:lineRule="auto"/>
      <w:ind w:right="-1"/>
      <w:jc w:val="center"/>
      <w:outlineLvl w:val="6"/>
    </w:pPr>
    <w:rPr>
      <w:rFonts w:ascii="Times New Roman" w:hAnsi="Times New Roman"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widowControl/>
      <w:tabs>
        <w:tab w:val="left" w:pos="284"/>
      </w:tabs>
      <w:spacing w:line="240" w:lineRule="auto"/>
      <w:ind w:right="-1"/>
      <w:jc w:val="center"/>
      <w:outlineLvl w:val="7"/>
    </w:pPr>
    <w:rPr>
      <w:rFonts w:ascii="Times New Roman" w:hAnsi="Times New Roman"/>
      <w:sz w:val="26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284"/>
      </w:tabs>
      <w:spacing w:line="477" w:lineRule="exact"/>
      <w:jc w:val="center"/>
      <w:outlineLvl w:val="8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">
    <w:name w:val="Body Text"/>
    <w:basedOn w:val="Normale"/>
    <w:semiHidden/>
    <w:pPr>
      <w:spacing w:line="480" w:lineRule="atLeast"/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semiHidden/>
    <w:pPr>
      <w:spacing w:line="477" w:lineRule="atLeast"/>
      <w:jc w:val="center"/>
    </w:pPr>
    <w:rPr>
      <w:b/>
      <w:sz w:val="24"/>
    </w:rPr>
  </w:style>
  <w:style w:type="paragraph" w:styleId="Rientrocorpodeltesto">
    <w:name w:val="Body Text Indent"/>
    <w:basedOn w:val="Normale"/>
    <w:semiHidden/>
    <w:pPr>
      <w:spacing w:line="477" w:lineRule="atLeast"/>
      <w:ind w:left="426" w:hanging="426"/>
      <w:jc w:val="both"/>
    </w:pPr>
    <w:rPr>
      <w:sz w:val="24"/>
    </w:rPr>
  </w:style>
  <w:style w:type="paragraph" w:styleId="Corpodeltesto3">
    <w:name w:val="Body Text 3"/>
    <w:basedOn w:val="Normale"/>
    <w:semiHidden/>
    <w:pPr>
      <w:spacing w:line="477" w:lineRule="exact"/>
      <w:jc w:val="both"/>
    </w:pPr>
    <w:rPr>
      <w:b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pPr>
      <w:widowControl/>
      <w:tabs>
        <w:tab w:val="left" w:pos="284"/>
      </w:tabs>
      <w:spacing w:line="240" w:lineRule="auto"/>
      <w:ind w:left="284" w:hanging="284"/>
      <w:jc w:val="both"/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semiHidden/>
    <w:pPr>
      <w:widowControl/>
      <w:tabs>
        <w:tab w:val="left" w:pos="284"/>
      </w:tabs>
      <w:spacing w:line="240" w:lineRule="auto"/>
      <w:ind w:left="284" w:hanging="284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semiHidden/>
    <w:pPr>
      <w:tabs>
        <w:tab w:val="left" w:pos="284"/>
      </w:tabs>
      <w:spacing w:line="480" w:lineRule="atLeast"/>
      <w:ind w:left="567" w:right="184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US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USBOLLO.dot</Template>
  <TotalTime>3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TRA IL CONSORZIO “COOPINVEST” S.c. a r.l. E LA BANCA DELLE MARCHE S.p.A. PER LA CONCESSIONE DI PRESTITI A MEDIO TERMINE, E DI ALTRE LINEE DI CREDITO, TESI ALLO SVILUPPO, POTENZIAMENTO, CONSOLIDAMENTO ED ESERCIZIO DELLE ATTIVITA’ ECONOMICHE DEL</vt:lpstr>
    </vt:vector>
  </TitlesOfParts>
  <Company>BDM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TRA IL CONSORZIO “COOPINVEST” S.c. a r.l. E LA BANCA DELLE MARCHE S.p.A. PER LA CONCESSIONE DI PRESTITI A MEDIO TERMINE, E DI ALTRE LINEE DI CREDITO, TESI ALLO SVILUPPO, POTENZIAMENTO, CONSOLIDAMENTO ED ESERCIZIO DELLE ATTIVITA’ ECONOMICHE DEL</dc:title>
  <dc:creator>Utente</dc:creator>
  <cp:lastModifiedBy>Term01</cp:lastModifiedBy>
  <cp:revision>2</cp:revision>
  <cp:lastPrinted>2012-12-20T11:09:00Z</cp:lastPrinted>
  <dcterms:created xsi:type="dcterms:W3CDTF">2017-05-18T14:47:00Z</dcterms:created>
  <dcterms:modified xsi:type="dcterms:W3CDTF">2017-05-18T14:47:00Z</dcterms:modified>
</cp:coreProperties>
</file>