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65" w:rsidRDefault="00D83065" w:rsidP="00D83065">
      <w:pPr>
        <w:pStyle w:val="Titolo"/>
        <w:pBdr>
          <w:bottom w:val="single" w:sz="8" w:space="0" w:color="4F81BD"/>
        </w:pBdr>
        <w:spacing w:before="100" w:beforeAutospacing="1" w:line="240" w:lineRule="auto"/>
        <w:contextualSpacing w:val="0"/>
        <w:jc w:val="center"/>
        <w:rPr>
          <w:rFonts w:ascii="Calibri" w:hAnsi="Calibri" w:cs="Calibri"/>
          <w:b/>
          <w:sz w:val="76"/>
          <w:szCs w:val="76"/>
        </w:rPr>
      </w:pPr>
    </w:p>
    <w:p w:rsidR="00D83065" w:rsidRDefault="00D83065" w:rsidP="00D83065">
      <w:pPr>
        <w:pStyle w:val="Titolo"/>
        <w:pBdr>
          <w:bottom w:val="single" w:sz="8" w:space="0" w:color="4F81BD"/>
        </w:pBdr>
        <w:spacing w:before="100" w:beforeAutospacing="1" w:line="240" w:lineRule="auto"/>
        <w:contextualSpacing w:val="0"/>
        <w:jc w:val="center"/>
        <w:rPr>
          <w:rFonts w:ascii="Calibri" w:hAnsi="Calibri" w:cs="Calibri"/>
          <w:b/>
          <w:sz w:val="76"/>
          <w:szCs w:val="76"/>
        </w:rPr>
      </w:pPr>
      <w:r w:rsidRPr="00D83065">
        <w:rPr>
          <w:rFonts w:ascii="Calibri" w:hAnsi="Calibri" w:cs="Calibri"/>
          <w:b/>
          <w:noProof/>
          <w:sz w:val="76"/>
          <w:szCs w:val="76"/>
          <w:lang w:eastAsia="it-IT"/>
        </w:rPr>
        <w:drawing>
          <wp:inline distT="0" distB="0" distL="0" distR="0">
            <wp:extent cx="1857375" cy="2258399"/>
            <wp:effectExtent l="19050" t="0" r="9525"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857375" cy="2257425"/>
                    </a:xfrm>
                    <a:prstGeom prst="rect">
                      <a:avLst/>
                    </a:prstGeom>
                    <a:noFill/>
                    <a:ln w="9525">
                      <a:noFill/>
                      <a:miter lim="800000"/>
                      <a:headEnd/>
                      <a:tailEnd/>
                    </a:ln>
                  </pic:spPr>
                </pic:pic>
              </a:graphicData>
            </a:graphic>
          </wp:inline>
        </w:drawing>
      </w:r>
    </w:p>
    <w:p w:rsidR="00D83065" w:rsidRPr="00BC1EEA" w:rsidRDefault="00D83065" w:rsidP="00D83065">
      <w:pPr>
        <w:jc w:val="center"/>
        <w:rPr>
          <w:rFonts w:ascii="Calibri" w:hAnsi="Calibri"/>
          <w:b/>
          <w:sz w:val="32"/>
          <w:szCs w:val="32"/>
        </w:rPr>
      </w:pPr>
      <w:r w:rsidRPr="00BC1EEA">
        <w:rPr>
          <w:rFonts w:ascii="Calibri" w:hAnsi="Calibri"/>
          <w:b/>
          <w:sz w:val="32"/>
          <w:szCs w:val="32"/>
        </w:rPr>
        <w:t xml:space="preserve">Comune di </w:t>
      </w:r>
      <w:r>
        <w:rPr>
          <w:rFonts w:ascii="Calibri" w:hAnsi="Calibri"/>
          <w:b/>
          <w:sz w:val="32"/>
          <w:szCs w:val="32"/>
        </w:rPr>
        <w:t>Comunanza</w:t>
      </w:r>
    </w:p>
    <w:p w:rsidR="00D83065" w:rsidRPr="00BC1EEA" w:rsidRDefault="00D83065" w:rsidP="00D83065">
      <w:pPr>
        <w:spacing w:line="360" w:lineRule="auto"/>
        <w:jc w:val="center"/>
        <w:rPr>
          <w:rFonts w:ascii="Calibri" w:hAnsi="Calibri"/>
          <w:b/>
          <w:i/>
          <w:sz w:val="26"/>
          <w:szCs w:val="26"/>
        </w:rPr>
      </w:pPr>
      <w:r w:rsidRPr="00BC1EEA">
        <w:rPr>
          <w:rFonts w:ascii="Calibri" w:hAnsi="Calibri"/>
          <w:b/>
          <w:i/>
          <w:sz w:val="26"/>
          <w:szCs w:val="26"/>
        </w:rPr>
        <w:t xml:space="preserve">(Provincia di </w:t>
      </w:r>
      <w:r>
        <w:rPr>
          <w:rFonts w:ascii="Calibri" w:hAnsi="Calibri"/>
          <w:b/>
          <w:i/>
          <w:sz w:val="26"/>
          <w:szCs w:val="26"/>
        </w:rPr>
        <w:t>Ascoli Piceno</w:t>
      </w:r>
      <w:r w:rsidRPr="00BC1EEA">
        <w:rPr>
          <w:rFonts w:ascii="Calibri" w:hAnsi="Calibri"/>
          <w:b/>
          <w:i/>
          <w:sz w:val="26"/>
          <w:szCs w:val="26"/>
        </w:rPr>
        <w:t>)</w:t>
      </w:r>
    </w:p>
    <w:p w:rsidR="00D83065" w:rsidRPr="00D83065" w:rsidRDefault="00D83065" w:rsidP="00D83065">
      <w:pPr>
        <w:pStyle w:val="Titolo"/>
        <w:pBdr>
          <w:bottom w:val="single" w:sz="8" w:space="0" w:color="4F81BD"/>
        </w:pBdr>
        <w:spacing w:before="100" w:beforeAutospacing="1" w:line="240" w:lineRule="auto"/>
        <w:contextualSpacing w:val="0"/>
        <w:rPr>
          <w:rFonts w:ascii="Calibri" w:hAnsi="Calibri" w:cs="Calibri"/>
          <w:b/>
          <w:sz w:val="28"/>
          <w:szCs w:val="28"/>
        </w:rPr>
      </w:pPr>
    </w:p>
    <w:p w:rsidR="00D83065" w:rsidRDefault="00D83065" w:rsidP="00D83065">
      <w:pPr>
        <w:pStyle w:val="Titolo"/>
        <w:pBdr>
          <w:bottom w:val="single" w:sz="8" w:space="0" w:color="4F81BD"/>
        </w:pBdr>
        <w:spacing w:before="100" w:beforeAutospacing="1" w:line="240" w:lineRule="auto"/>
        <w:contextualSpacing w:val="0"/>
        <w:jc w:val="center"/>
        <w:rPr>
          <w:rFonts w:ascii="Calibri" w:hAnsi="Calibri" w:cs="Calibri"/>
          <w:b/>
          <w:sz w:val="76"/>
          <w:szCs w:val="76"/>
        </w:rPr>
      </w:pPr>
    </w:p>
    <w:p w:rsidR="00D83065" w:rsidRDefault="00D83065" w:rsidP="00D83065">
      <w:pPr>
        <w:pStyle w:val="Titolo"/>
        <w:pBdr>
          <w:bottom w:val="single" w:sz="8" w:space="0" w:color="4F81BD"/>
        </w:pBdr>
        <w:spacing w:before="100" w:beforeAutospacing="1" w:line="240" w:lineRule="auto"/>
        <w:contextualSpacing w:val="0"/>
        <w:rPr>
          <w:rFonts w:ascii="Calibri" w:hAnsi="Calibri" w:cs="Calibri"/>
          <w:b/>
          <w:sz w:val="76"/>
          <w:szCs w:val="76"/>
        </w:rPr>
      </w:pPr>
    </w:p>
    <w:p w:rsidR="00D83065" w:rsidRPr="00C23A9D" w:rsidRDefault="00D83065" w:rsidP="00D83065">
      <w:pPr>
        <w:pStyle w:val="Titolo"/>
        <w:pBdr>
          <w:bottom w:val="single" w:sz="8" w:space="0" w:color="4F81BD"/>
        </w:pBdr>
        <w:spacing w:before="100" w:beforeAutospacing="1" w:line="240" w:lineRule="auto"/>
        <w:contextualSpacing w:val="0"/>
        <w:jc w:val="center"/>
        <w:rPr>
          <w:rFonts w:ascii="Calibri" w:hAnsi="Calibri" w:cs="Calibri"/>
          <w:b/>
          <w:sz w:val="76"/>
          <w:szCs w:val="76"/>
        </w:rPr>
      </w:pPr>
      <w:r w:rsidRPr="00241533">
        <w:rPr>
          <w:rFonts w:ascii="Calibri" w:hAnsi="Calibri" w:cs="Calibri"/>
          <w:b/>
          <w:sz w:val="76"/>
          <w:szCs w:val="76"/>
        </w:rPr>
        <w:t>Piano Finanziario</w:t>
      </w:r>
      <w:r w:rsidRPr="00C23A9D">
        <w:rPr>
          <w:rFonts w:ascii="Calibri" w:hAnsi="Calibri" w:cs="Calibri"/>
          <w:b/>
          <w:sz w:val="76"/>
          <w:szCs w:val="76"/>
        </w:rPr>
        <w:t xml:space="preserve"> del </w:t>
      </w:r>
      <w:r w:rsidRPr="00241533">
        <w:rPr>
          <w:rFonts w:ascii="Calibri" w:hAnsi="Calibri" w:cs="Calibri"/>
          <w:b/>
          <w:sz w:val="76"/>
          <w:szCs w:val="76"/>
        </w:rPr>
        <w:t>servizio di gestione dei rifiuti urbani</w:t>
      </w:r>
    </w:p>
    <w:p w:rsidR="00D83065" w:rsidRPr="00C23A9D" w:rsidRDefault="00D83065" w:rsidP="00D83065">
      <w:pPr>
        <w:pStyle w:val="Titolo"/>
        <w:pBdr>
          <w:bottom w:val="single" w:sz="8" w:space="0" w:color="4F81BD"/>
        </w:pBdr>
        <w:jc w:val="center"/>
        <w:rPr>
          <w:rFonts w:ascii="Calibri" w:hAnsi="Calibri" w:cs="Calibri"/>
          <w:b/>
          <w:i/>
          <w:sz w:val="48"/>
          <w:szCs w:val="48"/>
        </w:rPr>
      </w:pPr>
      <w:r w:rsidRPr="00C23A9D">
        <w:rPr>
          <w:rFonts w:ascii="Calibri" w:hAnsi="Calibri" w:cs="Calibri"/>
          <w:b/>
          <w:i/>
          <w:sz w:val="48"/>
          <w:szCs w:val="48"/>
        </w:rPr>
        <w:t>Anno 201</w:t>
      </w:r>
      <w:r>
        <w:rPr>
          <w:rFonts w:ascii="Calibri" w:hAnsi="Calibri" w:cs="Calibri"/>
          <w:b/>
          <w:i/>
          <w:sz w:val="48"/>
          <w:szCs w:val="48"/>
        </w:rPr>
        <w:t>7</w:t>
      </w:r>
    </w:p>
    <w:p w:rsidR="00D24FA9" w:rsidRDefault="00D24FA9"/>
    <w:p w:rsidR="003D7E4E" w:rsidRDefault="003D7E4E"/>
    <w:p w:rsidR="003D7E4E" w:rsidRDefault="003D7E4E"/>
    <w:p w:rsidR="003D7E4E" w:rsidRPr="00BC1EEA" w:rsidRDefault="003D7E4E" w:rsidP="003D7E4E">
      <w:pPr>
        <w:spacing w:line="360" w:lineRule="auto"/>
        <w:jc w:val="both"/>
        <w:rPr>
          <w:rFonts w:ascii="Calibri" w:hAnsi="Calibri"/>
          <w:b/>
          <w:i/>
          <w:sz w:val="28"/>
          <w:szCs w:val="26"/>
        </w:rPr>
      </w:pPr>
      <w:r w:rsidRPr="00BC1EEA">
        <w:rPr>
          <w:rFonts w:ascii="Calibri" w:hAnsi="Calibri"/>
          <w:b/>
          <w:i/>
          <w:sz w:val="28"/>
          <w:szCs w:val="26"/>
        </w:rPr>
        <w:lastRenderedPageBreak/>
        <w:t>Presentazione del documento</w:t>
      </w:r>
    </w:p>
    <w:p w:rsidR="003D7E4E" w:rsidRPr="00BC1EEA" w:rsidRDefault="003D7E4E" w:rsidP="003D7E4E">
      <w:pPr>
        <w:spacing w:line="360" w:lineRule="auto"/>
        <w:jc w:val="both"/>
        <w:rPr>
          <w:rFonts w:ascii="Calibri" w:hAnsi="Calibri"/>
          <w:i/>
          <w:sz w:val="26"/>
          <w:szCs w:val="26"/>
        </w:rPr>
      </w:pPr>
    </w:p>
    <w:p w:rsidR="003D7E4E" w:rsidRPr="000D775D" w:rsidRDefault="003D7E4E" w:rsidP="003D7E4E">
      <w:pPr>
        <w:spacing w:line="360" w:lineRule="auto"/>
        <w:jc w:val="both"/>
        <w:rPr>
          <w:rFonts w:ascii="Calibri" w:hAnsi="Calibri"/>
          <w:i/>
        </w:rPr>
      </w:pPr>
      <w:r w:rsidRPr="000D775D">
        <w:rPr>
          <w:rFonts w:ascii="Calibri" w:hAnsi="Calibri"/>
          <w:i/>
        </w:rPr>
        <w:t xml:space="preserve">Il Piano Finanziario rappresenta l'elaborato funzionale all’analisi dei costi previsionali relativi alla gestione del servizio di raccolta e smaltimento dei rifiuti solidi urbani. Il documento è redatto in </w:t>
      </w:r>
      <w:r>
        <w:rPr>
          <w:rFonts w:ascii="Calibri" w:hAnsi="Calibri"/>
          <w:i/>
        </w:rPr>
        <w:t>ottemperanza al comma 683 articolo 1 della Legge 147 del 27 dicembre 2013</w:t>
      </w:r>
      <w:r w:rsidRPr="000D775D">
        <w:rPr>
          <w:rFonts w:ascii="Calibri" w:hAnsi="Calibri"/>
          <w:i/>
        </w:rPr>
        <w:t xml:space="preserve"> per l’elaborazione della tariffa </w:t>
      </w:r>
      <w:r>
        <w:rPr>
          <w:rFonts w:ascii="Calibri" w:hAnsi="Calibri"/>
          <w:i/>
        </w:rPr>
        <w:t>del tributo TARI</w:t>
      </w:r>
      <w:r w:rsidRPr="000D775D">
        <w:rPr>
          <w:rFonts w:ascii="Calibri" w:hAnsi="Calibri"/>
          <w:i/>
        </w:rPr>
        <w:t xml:space="preserve">. </w:t>
      </w:r>
    </w:p>
    <w:p w:rsidR="003D7E4E" w:rsidRPr="000D775D" w:rsidRDefault="003D7E4E" w:rsidP="003D7E4E">
      <w:pPr>
        <w:spacing w:line="360" w:lineRule="auto"/>
        <w:jc w:val="both"/>
        <w:rPr>
          <w:rFonts w:ascii="Calibri" w:hAnsi="Calibri"/>
          <w:i/>
        </w:rPr>
      </w:pPr>
      <w:r w:rsidRPr="000D775D">
        <w:rPr>
          <w:rFonts w:ascii="Calibri" w:hAnsi="Calibri"/>
          <w:i/>
        </w:rPr>
        <w:t>Il Piano finanziario si struttura essenzialmente attorno a due nuclei tematici:</w:t>
      </w:r>
    </w:p>
    <w:p w:rsidR="003D7E4E" w:rsidRPr="000D775D" w:rsidRDefault="003D7E4E" w:rsidP="003D7E4E">
      <w:pPr>
        <w:numPr>
          <w:ilvl w:val="0"/>
          <w:numId w:val="1"/>
        </w:numPr>
        <w:spacing w:after="0" w:line="360" w:lineRule="auto"/>
        <w:jc w:val="both"/>
        <w:rPr>
          <w:rFonts w:ascii="Calibri" w:hAnsi="Calibri"/>
          <w:i/>
        </w:rPr>
      </w:pPr>
      <w:r w:rsidRPr="000D775D">
        <w:rPr>
          <w:rFonts w:ascii="Calibri" w:hAnsi="Calibri"/>
          <w:i/>
          <w:u w:val="single"/>
        </w:rPr>
        <w:t>i profili tecnico-gestionali</w:t>
      </w:r>
      <w:r w:rsidRPr="000D775D">
        <w:rPr>
          <w:rFonts w:ascii="Calibri" w:hAnsi="Calibri"/>
          <w:i/>
        </w:rPr>
        <w:t>, che illustrano il progetto del servizio di gestione integrata del ciclo dei rifiuti, delineando il quadro del servizio esistente (con funzione anche di rendicontazione e verifica) e l’evoluzione che si intende imprimere al servizio medesimo;</w:t>
      </w:r>
    </w:p>
    <w:p w:rsidR="003D7E4E" w:rsidRPr="000D775D" w:rsidRDefault="003D7E4E" w:rsidP="003D7E4E">
      <w:pPr>
        <w:numPr>
          <w:ilvl w:val="0"/>
          <w:numId w:val="1"/>
        </w:numPr>
        <w:spacing w:after="0" w:line="360" w:lineRule="auto"/>
        <w:jc w:val="both"/>
        <w:rPr>
          <w:rFonts w:ascii="Calibri" w:hAnsi="Calibri"/>
          <w:i/>
        </w:rPr>
      </w:pPr>
      <w:r w:rsidRPr="000D775D">
        <w:rPr>
          <w:rFonts w:ascii="Calibri" w:hAnsi="Calibri"/>
          <w:i/>
          <w:u w:val="single"/>
        </w:rPr>
        <w:t>i profili economico-finanziari</w:t>
      </w:r>
      <w:r w:rsidRPr="000D775D">
        <w:rPr>
          <w:rFonts w:ascii="Calibri" w:hAnsi="Calibri"/>
          <w:i/>
        </w:rPr>
        <w:t xml:space="preserve">, che individuano e programmano, con cadenza annuale, i flussi di spesa e i fabbisogni occorrenti a fronteggiarli, indicando anche </w:t>
      </w:r>
      <w:r>
        <w:rPr>
          <w:rFonts w:ascii="Calibri" w:hAnsi="Calibri"/>
          <w:i/>
        </w:rPr>
        <w:t>confronti con le situazioni relative agli anni precedenti</w:t>
      </w:r>
      <w:r w:rsidRPr="000D775D">
        <w:rPr>
          <w:rFonts w:ascii="Calibri" w:hAnsi="Calibri"/>
          <w:i/>
        </w:rPr>
        <w:t>.</w:t>
      </w:r>
    </w:p>
    <w:p w:rsidR="003D7E4E" w:rsidRPr="000D775D" w:rsidRDefault="003D7E4E" w:rsidP="003D7E4E">
      <w:pPr>
        <w:spacing w:line="360" w:lineRule="auto"/>
        <w:jc w:val="both"/>
        <w:rPr>
          <w:rFonts w:ascii="Calibri" w:hAnsi="Calibri"/>
          <w:i/>
        </w:rPr>
      </w:pPr>
      <w:r w:rsidRPr="000D775D">
        <w:rPr>
          <w:rFonts w:ascii="Calibri" w:hAnsi="Calibri"/>
          <w:i/>
        </w:rPr>
        <w:t xml:space="preserve">Sotto quest’ultimo profilo il Piano rappresenta l’indispensabile base di riferimento per la determinazione delle tariffe e per il loro adeguamento annuo (artt. 49, comma 8, </w:t>
      </w:r>
      <w:proofErr w:type="spellStart"/>
      <w:r w:rsidRPr="000D775D">
        <w:rPr>
          <w:rFonts w:ascii="Calibri" w:hAnsi="Calibri"/>
          <w:i/>
        </w:rPr>
        <w:t>D.Lgs.</w:t>
      </w:r>
      <w:proofErr w:type="spellEnd"/>
      <w:r w:rsidRPr="000D775D">
        <w:rPr>
          <w:rFonts w:ascii="Calibri" w:hAnsi="Calibri"/>
          <w:i/>
        </w:rPr>
        <w:t xml:space="preserve"> 22/1997; art. 8, D.P.R. 158/99), come conferma anche il comma </w:t>
      </w:r>
      <w:r>
        <w:rPr>
          <w:rFonts w:ascii="Calibri" w:hAnsi="Calibri"/>
          <w:i/>
        </w:rPr>
        <w:t xml:space="preserve">683 sopra citato </w:t>
      </w:r>
      <w:r w:rsidRPr="000D775D">
        <w:rPr>
          <w:rFonts w:ascii="Calibri" w:hAnsi="Calibri"/>
          <w:i/>
        </w:rPr>
        <w:t>ai sensi del quale “</w:t>
      </w:r>
      <w:r w:rsidRPr="009D4EF5">
        <w:rPr>
          <w:rFonts w:ascii="Calibri" w:hAnsi="Calibri"/>
          <w:i/>
        </w:rPr>
        <w:t>Il consiglio comunale deve approvare, entro il termine fissato da norme statali per l'approvazione del bilancio di previsione, le tariffe della TARI in conformità al piano finanziario del servizio di gestione dei rifiuti urbani, redatto dal soggetto che svolge il servizio stesso ed approvato dal consiglio comunale o da altra autorità competente a norma delle leggi vigenti in materia</w:t>
      </w:r>
      <w:r w:rsidRPr="000D775D">
        <w:rPr>
          <w:rFonts w:ascii="Calibri" w:hAnsi="Calibri"/>
          <w:i/>
        </w:rPr>
        <w:t>”.</w:t>
      </w:r>
    </w:p>
    <w:p w:rsidR="003D7E4E" w:rsidRDefault="003D7E4E" w:rsidP="003D7E4E">
      <w:pPr>
        <w:spacing w:line="360" w:lineRule="auto"/>
        <w:jc w:val="both"/>
        <w:rPr>
          <w:rFonts w:ascii="Calibri" w:hAnsi="Calibri"/>
          <w:i/>
        </w:rPr>
      </w:pPr>
      <w:r w:rsidRPr="000D775D">
        <w:rPr>
          <w:rFonts w:ascii="Calibri" w:hAnsi="Calibri"/>
          <w:i/>
        </w:rPr>
        <w:t xml:space="preserve">La prima sezione contiene un'analisi della normativa vigente con riferimento </w:t>
      </w:r>
      <w:r w:rsidRPr="00241533">
        <w:rPr>
          <w:rFonts w:ascii="Calibri" w:hAnsi="Calibri"/>
          <w:i/>
        </w:rPr>
        <w:t>all'attuale</w:t>
      </w:r>
      <w:r w:rsidRPr="000D775D">
        <w:rPr>
          <w:rFonts w:ascii="Calibri" w:hAnsi="Calibri"/>
          <w:i/>
        </w:rPr>
        <w:t xml:space="preserve"> sistema di tassa</w:t>
      </w:r>
      <w:r>
        <w:rPr>
          <w:rFonts w:ascii="Calibri" w:hAnsi="Calibri"/>
          <w:i/>
        </w:rPr>
        <w:t xml:space="preserve">zione introdotto </w:t>
      </w:r>
      <w:r w:rsidRPr="009D4EF5">
        <w:rPr>
          <w:rFonts w:ascii="Calibri" w:hAnsi="Calibri"/>
          <w:i/>
        </w:rPr>
        <w:t>dalla Legge n. 147/2013</w:t>
      </w:r>
      <w:r w:rsidRPr="000D775D">
        <w:rPr>
          <w:rFonts w:ascii="Calibri" w:hAnsi="Calibri"/>
          <w:i/>
        </w:rPr>
        <w:t>. L’ultima parte, che completa il documento, sintetizza i costi relativi all'intero ciclo integrato sostenuti dalla collettività, suddivisi per tipologia, che saranno elementi propedeutici al calcolo della tariffa di riferimento, in base a</w:t>
      </w:r>
      <w:r>
        <w:rPr>
          <w:rFonts w:ascii="Calibri" w:hAnsi="Calibri"/>
          <w:i/>
        </w:rPr>
        <w:t xml:space="preserve">l disposto del comma 652 della Legge 147/2013, </w:t>
      </w:r>
      <w:r w:rsidRPr="000D775D">
        <w:rPr>
          <w:rFonts w:ascii="Calibri" w:hAnsi="Calibri"/>
          <w:i/>
        </w:rPr>
        <w:t>a copertura del corrispettivo per i costi totali del servizio.</w:t>
      </w:r>
    </w:p>
    <w:p w:rsidR="003D7E4E" w:rsidRPr="00BC1EEA" w:rsidRDefault="003D7E4E" w:rsidP="003D7E4E">
      <w:pPr>
        <w:spacing w:line="360" w:lineRule="auto"/>
        <w:jc w:val="both"/>
        <w:rPr>
          <w:rFonts w:ascii="Calibri" w:hAnsi="Calibri"/>
          <w:b/>
          <w:sz w:val="28"/>
          <w:szCs w:val="26"/>
        </w:rPr>
      </w:pPr>
      <w:r w:rsidRPr="000D775D">
        <w:rPr>
          <w:rFonts w:ascii="Calibri" w:hAnsi="Calibri"/>
          <w:i/>
        </w:rPr>
        <w:br w:type="page"/>
      </w:r>
      <w:r w:rsidRPr="00BC1EEA">
        <w:rPr>
          <w:rFonts w:ascii="Calibri" w:hAnsi="Calibri"/>
          <w:b/>
          <w:sz w:val="28"/>
          <w:szCs w:val="26"/>
        </w:rPr>
        <w:lastRenderedPageBreak/>
        <w:t>1. Il quadro normativo di riferimento</w:t>
      </w:r>
    </w:p>
    <w:p w:rsidR="003D7E4E" w:rsidRPr="00BC1EEA" w:rsidRDefault="003D7E4E" w:rsidP="003D7E4E">
      <w:pPr>
        <w:spacing w:line="360" w:lineRule="auto"/>
        <w:jc w:val="both"/>
        <w:rPr>
          <w:rFonts w:ascii="Calibri" w:hAnsi="Calibri"/>
          <w:sz w:val="26"/>
          <w:szCs w:val="26"/>
        </w:rPr>
      </w:pPr>
    </w:p>
    <w:p w:rsidR="003D7E4E" w:rsidRPr="009D4EF5" w:rsidRDefault="003D7E4E" w:rsidP="003D7E4E">
      <w:pPr>
        <w:spacing w:line="360" w:lineRule="auto"/>
        <w:jc w:val="both"/>
        <w:rPr>
          <w:rFonts w:ascii="Calibri" w:hAnsi="Calibri"/>
        </w:rPr>
      </w:pPr>
      <w:r w:rsidRPr="009D4EF5">
        <w:rPr>
          <w:rFonts w:ascii="Calibri" w:hAnsi="Calibri"/>
        </w:rPr>
        <w:t xml:space="preserve">L’art. 1 della Legge 27 dicembre 2013 n. </w:t>
      </w:r>
      <w:smartTag w:uri="urn:schemas-microsoft-com:office:smarttags" w:element="metricconverter">
        <w:smartTagPr>
          <w:attr w:name="ProductID" w:val="147 ha"/>
        </w:smartTagPr>
        <w:r w:rsidRPr="009D4EF5">
          <w:rPr>
            <w:rFonts w:ascii="Calibri" w:hAnsi="Calibri"/>
          </w:rPr>
          <w:t>147 ha</w:t>
        </w:r>
      </w:smartTag>
      <w:r w:rsidRPr="009D4EF5">
        <w:rPr>
          <w:rFonts w:ascii="Calibri" w:hAnsi="Calibri"/>
        </w:rPr>
        <w:t xml:space="preserve"> istituito l'imposta unica comunale (IUC). Essa si basa su due presupposti impositivi, uno costituito dal possesso di immobili e collegato alla loro natura e valore e l'altro collegato all'erogazione e alla fruizione di servizi comunali. </w:t>
      </w:r>
      <w:smartTag w:uri="urn:schemas-microsoft-com:office:smarttags" w:element="PersonName">
        <w:smartTagPr>
          <w:attr w:name="ProductID" w:val="La IUC"/>
        </w:smartTagPr>
        <w:r w:rsidRPr="009D4EF5">
          <w:rPr>
            <w:rFonts w:ascii="Calibri" w:hAnsi="Calibri"/>
          </w:rPr>
          <w:t>La IUC</w:t>
        </w:r>
      </w:smartTag>
      <w:r w:rsidRPr="009D4EF5">
        <w:rPr>
          <w:rFonts w:ascii="Calibri" w:hAnsi="Calibri"/>
        </w:rPr>
        <w:t xml:space="preserve"> si compone dell'imposta municipale propria (IMU), di natura patrimoniale, dovuta dal possessore di immobili, escluse le abitazioni principali, e di una componente riferita ai servizi, che si articola nel tributo per i servizi indivisibili (TASI), a carico sia del possessore che dell'utilizzatore dell'immobile, e nella tassa sui rifiuti (TARI), destinata a finanziare i costi del servizio di raccolta e smaltimento dei rifiuti, a carico dell'utilizzatore, abrogando l’art. 14 del decreto-legge 6 dicembre 2011, n. 201, convertito, con modificazioni, dalla legge 22 dicembre 2011, n. 214.</w:t>
      </w:r>
    </w:p>
    <w:p w:rsidR="003D7E4E" w:rsidRPr="00387CF1" w:rsidRDefault="003D7E4E" w:rsidP="003D7E4E">
      <w:pPr>
        <w:spacing w:line="360" w:lineRule="auto"/>
        <w:jc w:val="both"/>
        <w:rPr>
          <w:rFonts w:ascii="Calibri" w:hAnsi="Calibri"/>
          <w:u w:val="single"/>
        </w:rPr>
      </w:pPr>
      <w:r w:rsidRPr="009D4EF5">
        <w:rPr>
          <w:rFonts w:ascii="Calibri" w:hAnsi="Calibri"/>
        </w:rPr>
        <w:t xml:space="preserve">I commi 650 e 651 del citato articolo 1 prevedono che </w:t>
      </w:r>
      <w:smartTag w:uri="urn:schemas-microsoft-com:office:smarttags" w:element="PersonName">
        <w:smartTagPr>
          <w:attr w:name="ProductID" w:val="la TARI"/>
        </w:smartTagPr>
        <w:r w:rsidRPr="009D4EF5">
          <w:rPr>
            <w:rFonts w:ascii="Calibri" w:hAnsi="Calibri"/>
          </w:rPr>
          <w:t>la TARI</w:t>
        </w:r>
      </w:smartTag>
      <w:r w:rsidRPr="009D4EF5">
        <w:rPr>
          <w:rFonts w:ascii="Calibri" w:hAnsi="Calibri"/>
        </w:rPr>
        <w:t xml:space="preserve"> sia corrisposta in base a tariffa commisurata ad anno solare coincidente con un'autonoma obbligazione tributaria e che tenga conto </w:t>
      </w:r>
      <w:r w:rsidRPr="000D775D">
        <w:rPr>
          <w:rFonts w:ascii="Calibri" w:hAnsi="Calibri"/>
        </w:rPr>
        <w:t>dei criteri determinati dal D.P.R. 27 aprile 1999 n. 158, recante le “Norme per la elaborazione del metodo normalizzato per definire la tariffa del servizio di gestione del ciclo dei rifiuti urbani”.</w:t>
      </w:r>
    </w:p>
    <w:p w:rsidR="003D7E4E" w:rsidRPr="000D775D" w:rsidRDefault="003D7E4E" w:rsidP="003D7E4E">
      <w:pPr>
        <w:spacing w:line="360" w:lineRule="auto"/>
        <w:jc w:val="both"/>
        <w:rPr>
          <w:rFonts w:ascii="Calibri" w:hAnsi="Calibri"/>
        </w:rPr>
      </w:pPr>
      <w:r w:rsidRPr="000D775D">
        <w:rPr>
          <w:rFonts w:ascii="Calibri" w:hAnsi="Calibri"/>
        </w:rPr>
        <w:t>Come è noto, il D.P.R. 158/1999 venne emanato in attuazione del quinto comma dell’art. 49, d.lgs. 22/1997 (c.d. decreto “Ronchi”), recante la disciplina della tariffa per la gestione dei rifiuti urbani (la c.d. TIA1), norma in forza della quale “</w:t>
      </w:r>
      <w:r w:rsidRPr="000D775D">
        <w:rPr>
          <w:rFonts w:ascii="Calibri" w:hAnsi="Calibri"/>
          <w:i/>
        </w:rPr>
        <w:t xml:space="preserve">Il Ministro dell'ambiente di concerto con il Ministro dell'Industria del Commercio e dell'Artigianato, sentita </w:t>
      </w:r>
      <w:smartTag w:uri="urn:schemas-microsoft-com:office:smarttags" w:element="PersonName">
        <w:smartTagPr>
          <w:attr w:name="ProductID" w:val="la Conferenza"/>
        </w:smartTagPr>
        <w:r w:rsidRPr="000D775D">
          <w:rPr>
            <w:rFonts w:ascii="Calibri" w:hAnsi="Calibri"/>
            <w:i/>
          </w:rPr>
          <w:t>la Conferenza</w:t>
        </w:r>
      </w:smartTag>
      <w:r w:rsidRPr="000D775D">
        <w:rPr>
          <w:rFonts w:ascii="Calibri" w:hAnsi="Calibri"/>
          <w:i/>
        </w:rPr>
        <w:t xml:space="preserve"> permanente per i rapporti tra lo Stato, le Regioni e le Province autonome di Trento e Bolzano elabora un metodo normalizzato per definire le componenti dei costi e determinare la tariffa di riferimento, prevedendo disposizioni transitorie per garantire la graduale applicazione del metodo normalizzato e della tariffa ed il graduale raggiungimento dell'integrale copertura dei costi del servizio di gestione dei rifiuti urbani da parte dei comuni</w:t>
      </w:r>
      <w:r w:rsidRPr="000D775D">
        <w:rPr>
          <w:rFonts w:ascii="Calibri" w:hAnsi="Calibri"/>
        </w:rPr>
        <w:t>”.</w:t>
      </w:r>
    </w:p>
    <w:p w:rsidR="003D7E4E" w:rsidRDefault="003D7E4E" w:rsidP="003D7E4E">
      <w:pPr>
        <w:spacing w:line="360" w:lineRule="auto"/>
        <w:jc w:val="both"/>
        <w:rPr>
          <w:rFonts w:ascii="Calibri" w:hAnsi="Calibri"/>
        </w:rPr>
      </w:pPr>
      <w:r w:rsidRPr="000D775D">
        <w:rPr>
          <w:rFonts w:ascii="Calibri" w:hAnsi="Calibri"/>
        </w:rPr>
        <w:t>Il D.P.R. 158/1999 avrebbe dovuto essere soppiantato da un nuovo atto regolamentare, giacché il sesto comma dell’art. 238, d.lgs. 152/2006 (T.U. dell’ambiente), recante la disciplina della c.d. TIA2, già prevedeva che “</w:t>
      </w:r>
      <w:r w:rsidRPr="000D775D">
        <w:rPr>
          <w:rFonts w:ascii="Calibri" w:hAnsi="Calibri"/>
          <w:i/>
        </w:rPr>
        <w:t xml:space="preserve">Il Ministro dell'ambiente e della tutela del territorio, di concerto con il Ministro delle attività produttive, sentiti </w:t>
      </w:r>
      <w:smartTag w:uri="urn:schemas-microsoft-com:office:smarttags" w:element="PersonName">
        <w:smartTagPr>
          <w:attr w:name="ProductID" w:val="la Conferenza Stato"/>
        </w:smartTagPr>
        <w:r w:rsidRPr="000D775D">
          <w:rPr>
            <w:rFonts w:ascii="Calibri" w:hAnsi="Calibri"/>
            <w:i/>
          </w:rPr>
          <w:t>la Conferenza Stato</w:t>
        </w:r>
      </w:smartTag>
      <w:r w:rsidRPr="000D775D">
        <w:rPr>
          <w:rFonts w:ascii="Calibri" w:hAnsi="Calibri"/>
          <w:i/>
        </w:rPr>
        <w:t xml:space="preserve"> regioni e le province autonome di Trento e di Bolzano, le rappresentanze qualificate degli interessi economici e sociali presenti nel Consiglio economico e sociale per le politiche ambientali (CESPA) e i soggetti interessati, disciplina, con apposito regolamento da emanarsi entro sei mesi dalla data di entrata in vigore della parte quarta del presente decreto e nel rispetto delle disposizioni di cui al presente articolo, i criteri generali sulla base dei quali vengono definite le componenti dei costi e viene determinata la tariffa, anche con riferimento alle agevolazioni di cui al comma 7, garantendo comunque l'assenza di oneri per le autorità interessate</w:t>
      </w:r>
      <w:r w:rsidRPr="000D775D">
        <w:rPr>
          <w:rFonts w:ascii="Calibri" w:hAnsi="Calibri"/>
        </w:rPr>
        <w:t xml:space="preserve">”. Aggiungeva, peraltro, il comma 11 del </w:t>
      </w:r>
      <w:r w:rsidRPr="000D775D">
        <w:rPr>
          <w:rFonts w:ascii="Calibri" w:hAnsi="Calibri"/>
        </w:rPr>
        <w:lastRenderedPageBreak/>
        <w:t>predetto art. 238 che “</w:t>
      </w:r>
      <w:r w:rsidRPr="000D775D">
        <w:rPr>
          <w:rFonts w:ascii="Calibri" w:hAnsi="Calibri"/>
          <w:i/>
        </w:rPr>
        <w:t>Sino alla emanazione del regolamento di cui al comma 6 e fino al compimento degli adempimenti per l'applicazione della tariffa continuano ad applicarsi le discipline regolamentari vigenti</w:t>
      </w:r>
      <w:r w:rsidRPr="000D775D">
        <w:rPr>
          <w:rFonts w:ascii="Calibri" w:hAnsi="Calibri"/>
        </w:rPr>
        <w:t xml:space="preserve">”, costituite in particolare dal già citato D.P.R. 158/1999, che pertanto è destinato a regolare anche </w:t>
      </w:r>
      <w:smartTag w:uri="urn:schemas-microsoft-com:office:smarttags" w:element="PersonName">
        <w:smartTagPr>
          <w:attr w:name="ProductID" w:val="la TARI."/>
        </w:smartTagPr>
        <w:r w:rsidRPr="000D775D">
          <w:rPr>
            <w:rFonts w:ascii="Calibri" w:hAnsi="Calibri"/>
          </w:rPr>
          <w:t xml:space="preserve">la </w:t>
        </w:r>
        <w:r>
          <w:rPr>
            <w:rFonts w:ascii="Calibri" w:hAnsi="Calibri"/>
          </w:rPr>
          <w:t>TARI</w:t>
        </w:r>
        <w:r w:rsidRPr="000D775D">
          <w:rPr>
            <w:rFonts w:ascii="Calibri" w:hAnsi="Calibri"/>
          </w:rPr>
          <w:t>.</w:t>
        </w:r>
      </w:smartTag>
    </w:p>
    <w:p w:rsidR="003D7E4E" w:rsidRPr="00BC1EEA" w:rsidRDefault="003D7E4E" w:rsidP="003D7E4E">
      <w:pPr>
        <w:autoSpaceDE w:val="0"/>
        <w:autoSpaceDN w:val="0"/>
        <w:adjustRightInd w:val="0"/>
        <w:spacing w:after="240"/>
        <w:jc w:val="both"/>
        <w:rPr>
          <w:rFonts w:ascii="Calibri" w:hAnsi="Calibri"/>
          <w:b/>
          <w:sz w:val="32"/>
          <w:szCs w:val="26"/>
        </w:rPr>
      </w:pPr>
      <w:r>
        <w:rPr>
          <w:rFonts w:ascii="Calibri" w:hAnsi="Calibri"/>
          <w:b/>
          <w:sz w:val="32"/>
          <w:szCs w:val="26"/>
        </w:rPr>
        <w:t>2</w:t>
      </w:r>
      <w:r w:rsidRPr="00BC1EEA">
        <w:rPr>
          <w:rFonts w:ascii="Calibri" w:hAnsi="Calibri"/>
          <w:b/>
          <w:sz w:val="32"/>
          <w:szCs w:val="26"/>
        </w:rPr>
        <w:t>. Aspetti economico finanziari</w:t>
      </w:r>
    </w:p>
    <w:p w:rsidR="003D7E4E" w:rsidRPr="00BC1EEA" w:rsidRDefault="003D7E4E" w:rsidP="003D7E4E">
      <w:pPr>
        <w:autoSpaceDE w:val="0"/>
        <w:autoSpaceDN w:val="0"/>
        <w:adjustRightInd w:val="0"/>
        <w:spacing w:line="360" w:lineRule="auto"/>
        <w:jc w:val="both"/>
        <w:rPr>
          <w:rFonts w:ascii="Calibri" w:hAnsi="Calibri" w:cs="Helvetica"/>
          <w:sz w:val="26"/>
          <w:szCs w:val="26"/>
        </w:rPr>
      </w:pPr>
    </w:p>
    <w:p w:rsidR="003D7E4E" w:rsidRPr="00BC1EEA" w:rsidRDefault="003D7E4E" w:rsidP="003D7E4E">
      <w:pPr>
        <w:spacing w:line="360" w:lineRule="auto"/>
        <w:jc w:val="both"/>
        <w:rPr>
          <w:rFonts w:ascii="Calibri" w:hAnsi="Calibri"/>
          <w:b/>
          <w:sz w:val="26"/>
          <w:szCs w:val="26"/>
        </w:rPr>
      </w:pPr>
      <w:r>
        <w:rPr>
          <w:rFonts w:ascii="Calibri" w:hAnsi="Calibri"/>
          <w:b/>
          <w:sz w:val="26"/>
          <w:szCs w:val="26"/>
        </w:rPr>
        <w:t>2</w:t>
      </w:r>
      <w:r w:rsidRPr="00BC1EEA">
        <w:rPr>
          <w:rFonts w:ascii="Calibri" w:hAnsi="Calibri"/>
          <w:b/>
          <w:sz w:val="26"/>
          <w:szCs w:val="26"/>
        </w:rPr>
        <w:t>.1. La definizione della tariffa</w:t>
      </w:r>
    </w:p>
    <w:p w:rsidR="003D7E4E" w:rsidRPr="000D775D" w:rsidRDefault="003D7E4E" w:rsidP="003D7E4E">
      <w:pPr>
        <w:spacing w:line="360" w:lineRule="auto"/>
        <w:jc w:val="both"/>
        <w:rPr>
          <w:rFonts w:ascii="Calibri" w:hAnsi="Calibri"/>
        </w:rPr>
      </w:pPr>
      <w:r w:rsidRPr="000D775D">
        <w:rPr>
          <w:rFonts w:ascii="Calibri" w:hAnsi="Calibri"/>
        </w:rPr>
        <w:t>L</w:t>
      </w:r>
      <w:r>
        <w:rPr>
          <w:rFonts w:ascii="Calibri" w:hAnsi="Calibri"/>
        </w:rPr>
        <w:t>’elaborazione della</w:t>
      </w:r>
      <w:r w:rsidRPr="000D775D">
        <w:rPr>
          <w:rFonts w:ascii="Calibri" w:hAnsi="Calibri"/>
        </w:rPr>
        <w:t xml:space="preserve"> tariffa di riferimento si articola nelle seguenti fasi fondamentali:</w:t>
      </w:r>
    </w:p>
    <w:p w:rsidR="003D7E4E" w:rsidRPr="001D58F1" w:rsidRDefault="003D7E4E" w:rsidP="003D7E4E">
      <w:pPr>
        <w:numPr>
          <w:ilvl w:val="0"/>
          <w:numId w:val="2"/>
        </w:numPr>
        <w:spacing w:after="0" w:line="360" w:lineRule="auto"/>
        <w:jc w:val="both"/>
        <w:rPr>
          <w:rFonts w:ascii="Calibri" w:hAnsi="Calibri"/>
        </w:rPr>
      </w:pPr>
      <w:r w:rsidRPr="001D58F1">
        <w:rPr>
          <w:rFonts w:ascii="Calibri" w:hAnsi="Calibri"/>
        </w:rPr>
        <w:t>individuazione e classificazione dei costi del servizio tra fissi e variabili;</w:t>
      </w:r>
    </w:p>
    <w:p w:rsidR="003D7E4E" w:rsidRPr="000D775D" w:rsidRDefault="003D7E4E" w:rsidP="003D7E4E">
      <w:pPr>
        <w:numPr>
          <w:ilvl w:val="0"/>
          <w:numId w:val="2"/>
        </w:numPr>
        <w:spacing w:after="0" w:line="360" w:lineRule="auto"/>
        <w:jc w:val="both"/>
        <w:rPr>
          <w:rFonts w:ascii="Calibri" w:hAnsi="Calibri"/>
        </w:rPr>
      </w:pPr>
      <w:r w:rsidRPr="000D775D">
        <w:rPr>
          <w:rFonts w:ascii="Calibri" w:hAnsi="Calibri"/>
        </w:rPr>
        <w:t xml:space="preserve">ripartizione dei costi </w:t>
      </w:r>
      <w:r>
        <w:rPr>
          <w:rFonts w:ascii="Calibri" w:hAnsi="Calibri"/>
        </w:rPr>
        <w:t>complessivi (</w:t>
      </w:r>
      <w:r w:rsidRPr="000D775D">
        <w:rPr>
          <w:rFonts w:ascii="Calibri" w:hAnsi="Calibri"/>
        </w:rPr>
        <w:t>fissi e variabili</w:t>
      </w:r>
      <w:r>
        <w:rPr>
          <w:rFonts w:ascii="Calibri" w:hAnsi="Calibri"/>
        </w:rPr>
        <w:t>)</w:t>
      </w:r>
      <w:r w:rsidRPr="000D775D">
        <w:rPr>
          <w:rFonts w:ascii="Calibri" w:hAnsi="Calibri"/>
        </w:rPr>
        <w:t xml:space="preserve"> in quote imputabili alle utenze domestiche e alle utenze non domestiche;</w:t>
      </w:r>
    </w:p>
    <w:p w:rsidR="003D7E4E" w:rsidRPr="000D775D" w:rsidRDefault="003D7E4E" w:rsidP="003D7E4E">
      <w:pPr>
        <w:numPr>
          <w:ilvl w:val="0"/>
          <w:numId w:val="2"/>
        </w:numPr>
        <w:spacing w:after="0" w:line="360" w:lineRule="auto"/>
        <w:jc w:val="both"/>
        <w:rPr>
          <w:rFonts w:ascii="Calibri" w:hAnsi="Calibri"/>
        </w:rPr>
      </w:pPr>
      <w:r w:rsidRPr="000D775D">
        <w:rPr>
          <w:rFonts w:ascii="Calibri" w:hAnsi="Calibri"/>
        </w:rPr>
        <w:t xml:space="preserve">calcolo delle voci tariffarie, da attribuire alle singole categorie di utenza, </w:t>
      </w:r>
      <w:r>
        <w:rPr>
          <w:rFonts w:ascii="Calibri" w:hAnsi="Calibri"/>
        </w:rPr>
        <w:t xml:space="preserve">domestica e non domestica, </w:t>
      </w:r>
      <w:r w:rsidRPr="000D775D">
        <w:rPr>
          <w:rFonts w:ascii="Calibri" w:hAnsi="Calibri"/>
        </w:rPr>
        <w:t xml:space="preserve">in base ai </w:t>
      </w:r>
      <w:r>
        <w:rPr>
          <w:rFonts w:ascii="Calibri" w:hAnsi="Calibri"/>
        </w:rPr>
        <w:t>parametri individuati dall’amministrazione</w:t>
      </w:r>
      <w:r w:rsidRPr="000D775D">
        <w:rPr>
          <w:rFonts w:ascii="Calibri" w:hAnsi="Calibri"/>
        </w:rPr>
        <w:t xml:space="preserve">. </w:t>
      </w:r>
    </w:p>
    <w:p w:rsidR="003D7E4E" w:rsidRPr="00BC1EEA" w:rsidRDefault="003D7E4E" w:rsidP="003D7E4E">
      <w:pPr>
        <w:spacing w:line="360" w:lineRule="auto"/>
        <w:jc w:val="both"/>
        <w:rPr>
          <w:rFonts w:ascii="Calibri" w:hAnsi="Calibri"/>
          <w:sz w:val="26"/>
          <w:szCs w:val="26"/>
        </w:rPr>
      </w:pPr>
    </w:p>
    <w:p w:rsidR="003D7E4E" w:rsidRPr="00BC1EEA" w:rsidRDefault="003D7E4E" w:rsidP="003D7E4E">
      <w:pPr>
        <w:spacing w:line="360" w:lineRule="auto"/>
        <w:jc w:val="both"/>
        <w:rPr>
          <w:rFonts w:ascii="Calibri" w:hAnsi="Calibri"/>
          <w:b/>
          <w:sz w:val="26"/>
          <w:szCs w:val="26"/>
        </w:rPr>
      </w:pPr>
      <w:r>
        <w:rPr>
          <w:rFonts w:ascii="Calibri" w:hAnsi="Calibri"/>
          <w:b/>
          <w:sz w:val="26"/>
          <w:szCs w:val="26"/>
        </w:rPr>
        <w:t>2</w:t>
      </w:r>
      <w:r w:rsidRPr="00BC1EEA">
        <w:rPr>
          <w:rFonts w:ascii="Calibri" w:hAnsi="Calibri"/>
          <w:b/>
          <w:sz w:val="26"/>
          <w:szCs w:val="26"/>
        </w:rPr>
        <w:t>.2. L’identificazione dei costi del servizio</w:t>
      </w:r>
    </w:p>
    <w:p w:rsidR="003D7E4E" w:rsidRPr="006847D3" w:rsidRDefault="003D7E4E" w:rsidP="003D7E4E">
      <w:pPr>
        <w:spacing w:line="360" w:lineRule="auto"/>
        <w:contextualSpacing/>
        <w:jc w:val="both"/>
        <w:rPr>
          <w:rFonts w:ascii="Calibri" w:hAnsi="Calibri"/>
        </w:rPr>
      </w:pPr>
      <w:r w:rsidRPr="006847D3">
        <w:rPr>
          <w:rFonts w:ascii="Calibri" w:hAnsi="Calibri"/>
        </w:rPr>
        <w:t>Il comma 654 dell’articolo 1 della Legge n. 147 del 2013 (Legge di Stabilità 2014) impone la copertura integrale dei costi di investimento e di esercizio relativi al servizio. Ai fini della determinazione della tariffa del tributo i costi complessivi vengono suddivisi in costi generali del servizio e costi variabili, così definiti:</w:t>
      </w:r>
    </w:p>
    <w:p w:rsidR="003D7E4E" w:rsidRPr="006847D3" w:rsidRDefault="003D7E4E" w:rsidP="003D7E4E">
      <w:pPr>
        <w:pStyle w:val="Paragrafoelenco"/>
        <w:numPr>
          <w:ilvl w:val="0"/>
          <w:numId w:val="3"/>
        </w:numPr>
        <w:spacing w:line="360" w:lineRule="auto"/>
        <w:jc w:val="both"/>
        <w:rPr>
          <w:sz w:val="24"/>
          <w:szCs w:val="24"/>
        </w:rPr>
      </w:pPr>
      <w:r w:rsidRPr="006847D3">
        <w:rPr>
          <w:sz w:val="24"/>
          <w:szCs w:val="24"/>
        </w:rPr>
        <w:t xml:space="preserve">i </w:t>
      </w:r>
      <w:r w:rsidRPr="006847D3">
        <w:rPr>
          <w:b/>
          <w:sz w:val="24"/>
          <w:szCs w:val="24"/>
        </w:rPr>
        <w:t>costi generali del servizio</w:t>
      </w:r>
      <w:r w:rsidRPr="006847D3">
        <w:rPr>
          <w:sz w:val="24"/>
          <w:szCs w:val="24"/>
        </w:rPr>
        <w:t xml:space="preserve"> sono quelli necessari al finanziamento dei servizi di natura collettiva, quindi per assicurare un servizio di nettezza urbana alla cittadinanza intera e dovuti da tutti i soggetti passivi in modo omogeneo e proporzionale alla superficie occupata dall’utenza (si fa riferimento, ad esempio, allo </w:t>
      </w:r>
      <w:proofErr w:type="spellStart"/>
      <w:r w:rsidRPr="006847D3">
        <w:rPr>
          <w:sz w:val="24"/>
          <w:szCs w:val="24"/>
        </w:rPr>
        <w:t>spazzamento</w:t>
      </w:r>
      <w:proofErr w:type="spellEnd"/>
      <w:r w:rsidRPr="006847D3">
        <w:rPr>
          <w:sz w:val="24"/>
          <w:szCs w:val="24"/>
        </w:rPr>
        <w:t xml:space="preserve"> della viabilità pubblica, del verde pubblico e dei cimiteri, ai costi di manutenzione delle discariche esaurite e di finanziamento dell'investimento nonché dell'attività degli uffici comunali che organizzano e gestiscono la riscossione del tributo)</w:t>
      </w:r>
    </w:p>
    <w:p w:rsidR="003D7E4E" w:rsidRPr="006847D3" w:rsidRDefault="003D7E4E" w:rsidP="003D7E4E">
      <w:pPr>
        <w:pStyle w:val="Paragrafoelenco"/>
        <w:numPr>
          <w:ilvl w:val="0"/>
          <w:numId w:val="3"/>
        </w:numPr>
        <w:spacing w:line="360" w:lineRule="auto"/>
        <w:jc w:val="both"/>
        <w:rPr>
          <w:sz w:val="24"/>
          <w:szCs w:val="24"/>
        </w:rPr>
      </w:pPr>
      <w:r w:rsidRPr="006847D3">
        <w:rPr>
          <w:sz w:val="24"/>
          <w:szCs w:val="24"/>
        </w:rPr>
        <w:t xml:space="preserve">i </w:t>
      </w:r>
      <w:r w:rsidRPr="006847D3">
        <w:rPr>
          <w:b/>
          <w:sz w:val="24"/>
          <w:szCs w:val="24"/>
        </w:rPr>
        <w:t>costi variabili</w:t>
      </w:r>
      <w:r w:rsidRPr="006847D3">
        <w:rPr>
          <w:sz w:val="24"/>
          <w:szCs w:val="24"/>
        </w:rPr>
        <w:t xml:space="preserve"> sono quelli destinati alla copertura del servizio di raccolta, trasporto e smaltimento dei rifiuti prodotti, quindi direttamente proporzionali alla potenziale produzione di rifiuti da parte delle diverse categorie di utenza domestica e non domestica.</w:t>
      </w:r>
    </w:p>
    <w:p w:rsidR="003D7E4E" w:rsidRDefault="003D7E4E" w:rsidP="003D7E4E">
      <w:pPr>
        <w:spacing w:line="360" w:lineRule="auto"/>
        <w:contextualSpacing/>
        <w:jc w:val="both"/>
        <w:rPr>
          <w:rFonts w:ascii="Calibri" w:eastAsia="Calibri" w:hAnsi="Calibri" w:cs="Times New Roman"/>
          <w:sz w:val="24"/>
          <w:szCs w:val="24"/>
        </w:rPr>
      </w:pPr>
      <w:r w:rsidRPr="0055473B">
        <w:rPr>
          <w:rFonts w:ascii="Calibri" w:eastAsia="Calibri" w:hAnsi="Calibri" w:cs="Times New Roman"/>
          <w:sz w:val="24"/>
          <w:szCs w:val="24"/>
        </w:rPr>
        <w:lastRenderedPageBreak/>
        <w:t>La tariffa di riferimento è determinata</w:t>
      </w:r>
      <w:r w:rsidR="0055473B" w:rsidRPr="0055473B">
        <w:rPr>
          <w:rFonts w:ascii="Calibri" w:eastAsia="Calibri" w:hAnsi="Calibri" w:cs="Times New Roman"/>
          <w:sz w:val="24"/>
          <w:szCs w:val="24"/>
        </w:rPr>
        <w:t>,</w:t>
      </w:r>
      <w:r w:rsidRPr="0055473B">
        <w:rPr>
          <w:rFonts w:ascii="Calibri" w:eastAsia="Calibri" w:hAnsi="Calibri" w:cs="Times New Roman"/>
          <w:sz w:val="24"/>
          <w:szCs w:val="24"/>
        </w:rPr>
        <w:t xml:space="preserve"> pertanto</w:t>
      </w:r>
      <w:r w:rsidR="0055473B" w:rsidRPr="0055473B">
        <w:rPr>
          <w:rFonts w:ascii="Calibri" w:eastAsia="Calibri" w:hAnsi="Calibri" w:cs="Times New Roman"/>
          <w:sz w:val="24"/>
          <w:szCs w:val="24"/>
        </w:rPr>
        <w:t>,</w:t>
      </w:r>
      <w:r w:rsidRPr="0055473B">
        <w:rPr>
          <w:rFonts w:ascii="Calibri" w:eastAsia="Calibri" w:hAnsi="Calibri" w:cs="Times New Roman"/>
          <w:sz w:val="24"/>
          <w:szCs w:val="24"/>
        </w:rPr>
        <w:t xml:space="preserve"> seguendo il principio visto sopra della copertura integrale dei costi</w:t>
      </w:r>
      <w:r w:rsidR="0055473B" w:rsidRPr="0055473B">
        <w:rPr>
          <w:rFonts w:ascii="Calibri" w:eastAsia="Calibri" w:hAnsi="Calibri" w:cs="Times New Roman"/>
          <w:sz w:val="24"/>
          <w:szCs w:val="24"/>
        </w:rPr>
        <w:t>,</w:t>
      </w:r>
      <w:r w:rsidRPr="0055473B">
        <w:rPr>
          <w:rFonts w:ascii="Calibri" w:eastAsia="Calibri" w:hAnsi="Calibri" w:cs="Times New Roman"/>
          <w:sz w:val="24"/>
          <w:szCs w:val="24"/>
        </w:rPr>
        <w:t xml:space="preserve"> intesi come sommatoria dei costi generali e dei costi variabili, come riportati</w:t>
      </w:r>
      <w:r w:rsidR="0055473B">
        <w:rPr>
          <w:rFonts w:ascii="Calibri" w:eastAsia="Calibri" w:hAnsi="Calibri" w:cs="Times New Roman"/>
          <w:sz w:val="24"/>
          <w:szCs w:val="24"/>
        </w:rPr>
        <w:t xml:space="preserve"> nella seguente tabella</w:t>
      </w:r>
      <w:r w:rsidRPr="0055473B">
        <w:rPr>
          <w:rFonts w:ascii="Calibri" w:eastAsia="Calibri" w:hAnsi="Calibri" w:cs="Times New Roman"/>
          <w:sz w:val="24"/>
          <w:szCs w:val="24"/>
        </w:rPr>
        <w:t>:</w:t>
      </w:r>
    </w:p>
    <w:p w:rsidR="0055473B" w:rsidRPr="0055473B" w:rsidRDefault="0055473B" w:rsidP="003D7E4E">
      <w:pPr>
        <w:spacing w:line="360" w:lineRule="auto"/>
        <w:contextualSpacing/>
        <w:jc w:val="both"/>
        <w:rPr>
          <w:rFonts w:ascii="Calibri" w:eastAsia="Calibri" w:hAnsi="Calibri" w:cs="Times New Roman"/>
          <w:sz w:val="24"/>
          <w:szCs w:val="24"/>
        </w:rPr>
      </w:pPr>
    </w:p>
    <w:tbl>
      <w:tblPr>
        <w:tblW w:w="15012" w:type="dxa"/>
        <w:tblInd w:w="-497" w:type="dxa"/>
        <w:tblCellMar>
          <w:left w:w="70" w:type="dxa"/>
          <w:right w:w="70" w:type="dxa"/>
        </w:tblCellMar>
        <w:tblLook w:val="04A0"/>
      </w:tblPr>
      <w:tblGrid>
        <w:gridCol w:w="7335"/>
        <w:gridCol w:w="2021"/>
        <w:gridCol w:w="3400"/>
        <w:gridCol w:w="2256"/>
      </w:tblGrid>
      <w:tr w:rsidR="003D7E4E" w:rsidRPr="003D7E4E" w:rsidTr="000A0FE3">
        <w:trPr>
          <w:trHeight w:val="402"/>
        </w:trPr>
        <w:tc>
          <w:tcPr>
            <w:tcW w:w="7335" w:type="dxa"/>
            <w:tcBorders>
              <w:top w:val="single" w:sz="4" w:space="0" w:color="auto"/>
              <w:left w:val="single" w:sz="4" w:space="0" w:color="auto"/>
              <w:bottom w:val="single" w:sz="4" w:space="0" w:color="auto"/>
              <w:right w:val="single" w:sz="4" w:space="0" w:color="auto"/>
            </w:tcBorders>
            <w:shd w:val="clear" w:color="000000" w:fill="FFFF00"/>
            <w:hideMark/>
          </w:tcPr>
          <w:p w:rsidR="003D7E4E" w:rsidRPr="003D7E4E" w:rsidRDefault="003D7E4E" w:rsidP="003D7E4E">
            <w:pPr>
              <w:spacing w:after="0" w:line="240" w:lineRule="auto"/>
              <w:jc w:val="center"/>
              <w:rPr>
                <w:rFonts w:ascii="Calibri" w:eastAsia="Times New Roman" w:hAnsi="Calibri" w:cs="Times New Roman"/>
                <w:b/>
                <w:bCs/>
                <w:color w:val="000000"/>
                <w:sz w:val="28"/>
                <w:szCs w:val="28"/>
                <w:lang w:eastAsia="it-IT"/>
              </w:rPr>
            </w:pPr>
            <w:bookmarkStart w:id="0" w:name="RANGE!A1:B18"/>
            <w:r w:rsidRPr="003D7E4E">
              <w:rPr>
                <w:rFonts w:ascii="Calibri" w:eastAsia="Times New Roman" w:hAnsi="Calibri" w:cs="Times New Roman"/>
                <w:b/>
                <w:bCs/>
                <w:color w:val="000000"/>
                <w:sz w:val="28"/>
                <w:szCs w:val="28"/>
                <w:lang w:eastAsia="it-IT"/>
              </w:rPr>
              <w:t>Costi servizio TARI 201</w:t>
            </w:r>
            <w:bookmarkEnd w:id="0"/>
            <w:r w:rsidR="000A0FE3">
              <w:rPr>
                <w:rFonts w:ascii="Calibri" w:eastAsia="Times New Roman" w:hAnsi="Calibri" w:cs="Times New Roman"/>
                <w:b/>
                <w:bCs/>
                <w:color w:val="000000"/>
                <w:sz w:val="28"/>
                <w:szCs w:val="28"/>
                <w:lang w:eastAsia="it-IT"/>
              </w:rPr>
              <w:t>7</w:t>
            </w:r>
          </w:p>
        </w:tc>
        <w:tc>
          <w:tcPr>
            <w:tcW w:w="2021" w:type="dxa"/>
            <w:tcBorders>
              <w:top w:val="single" w:sz="4" w:space="0" w:color="auto"/>
              <w:left w:val="nil"/>
              <w:bottom w:val="single" w:sz="4" w:space="0" w:color="auto"/>
              <w:right w:val="single" w:sz="4" w:space="0" w:color="auto"/>
            </w:tcBorders>
            <w:shd w:val="clear" w:color="000000" w:fill="FFFF00"/>
            <w:noWrap/>
            <w:vAlign w:val="bottom"/>
            <w:hideMark/>
          </w:tcPr>
          <w:p w:rsidR="003D7E4E" w:rsidRPr="003D7E4E" w:rsidRDefault="003D7E4E" w:rsidP="003D7E4E">
            <w:pPr>
              <w:spacing w:after="0" w:line="240" w:lineRule="auto"/>
              <w:jc w:val="center"/>
              <w:rPr>
                <w:rFonts w:ascii="Calibri" w:eastAsia="Times New Roman" w:hAnsi="Calibri" w:cs="Times New Roman"/>
                <w:b/>
                <w:bCs/>
                <w:color w:val="000000"/>
                <w:sz w:val="28"/>
                <w:szCs w:val="28"/>
                <w:lang w:eastAsia="it-IT"/>
              </w:rPr>
            </w:pPr>
            <w:r w:rsidRPr="003D7E4E">
              <w:rPr>
                <w:rFonts w:ascii="Calibri" w:eastAsia="Times New Roman" w:hAnsi="Calibri" w:cs="Times New Roman"/>
                <w:b/>
                <w:bCs/>
                <w:color w:val="000000"/>
                <w:sz w:val="28"/>
                <w:szCs w:val="28"/>
                <w:lang w:eastAsia="it-IT"/>
              </w:rPr>
              <w:t>Importo</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jc w:val="center"/>
              <w:rPr>
                <w:rFonts w:ascii="Calibri" w:eastAsia="Times New Roman" w:hAnsi="Calibri" w:cs="Times New Roman"/>
                <w:b/>
                <w:bCs/>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jc w:val="center"/>
              <w:rPr>
                <w:rFonts w:ascii="Calibri" w:eastAsia="Times New Roman" w:hAnsi="Calibri" w:cs="Times New Roman"/>
                <w:b/>
                <w:bCs/>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 xml:space="preserve">Costi </w:t>
            </w:r>
            <w:proofErr w:type="spellStart"/>
            <w:r w:rsidRPr="003D7E4E">
              <w:rPr>
                <w:rFonts w:ascii="Calibri" w:eastAsia="Times New Roman" w:hAnsi="Calibri" w:cs="Times New Roman"/>
                <w:color w:val="000000"/>
                <w:sz w:val="28"/>
                <w:szCs w:val="28"/>
                <w:lang w:eastAsia="it-IT"/>
              </w:rPr>
              <w:t>Spazzamento</w:t>
            </w:r>
            <w:proofErr w:type="spellEnd"/>
            <w:r w:rsidRPr="003D7E4E">
              <w:rPr>
                <w:rFonts w:ascii="Calibri" w:eastAsia="Times New Roman" w:hAnsi="Calibri" w:cs="Times New Roman"/>
                <w:color w:val="000000"/>
                <w:sz w:val="28"/>
                <w:szCs w:val="28"/>
                <w:lang w:eastAsia="it-IT"/>
              </w:rPr>
              <w:t xml:space="preserve"> e Lavaggio strade e piazza pubbliche</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29.045,00</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Costi Amministrativi attività di Accertamento, Riscossione, Contenzioso</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17.340,00</w:t>
            </w:r>
          </w:p>
        </w:tc>
        <w:tc>
          <w:tcPr>
            <w:tcW w:w="5656" w:type="dxa"/>
            <w:gridSpan w:val="2"/>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Costi generali di gestione</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0,00</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Costi comuni diversi</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10.000,00</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Altri Costi</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0,00</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Costi d'uso del capitale</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3.404,00</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jc w:val="right"/>
              <w:rPr>
                <w:rFonts w:ascii="Calibri" w:eastAsia="Times New Roman" w:hAnsi="Calibri" w:cs="Times New Roman"/>
                <w:b/>
                <w:bCs/>
                <w:color w:val="000000"/>
                <w:sz w:val="28"/>
                <w:szCs w:val="28"/>
                <w:lang w:eastAsia="it-IT"/>
              </w:rPr>
            </w:pPr>
            <w:r w:rsidRPr="003D7E4E">
              <w:rPr>
                <w:rFonts w:ascii="Calibri" w:eastAsia="Times New Roman" w:hAnsi="Calibri" w:cs="Times New Roman"/>
                <w:b/>
                <w:bCs/>
                <w:color w:val="000000"/>
                <w:sz w:val="28"/>
                <w:szCs w:val="28"/>
                <w:lang w:eastAsia="it-IT"/>
              </w:rPr>
              <w:t>Totale COSTI FISSI</w:t>
            </w:r>
          </w:p>
        </w:tc>
        <w:tc>
          <w:tcPr>
            <w:tcW w:w="2021" w:type="dxa"/>
            <w:tcBorders>
              <w:top w:val="nil"/>
              <w:left w:val="nil"/>
              <w:bottom w:val="single" w:sz="4" w:space="0" w:color="auto"/>
              <w:right w:val="single" w:sz="4" w:space="0" w:color="auto"/>
            </w:tcBorders>
            <w:shd w:val="clear" w:color="000000" w:fill="FFFF00"/>
            <w:noWrap/>
            <w:vAlign w:val="bottom"/>
            <w:hideMark/>
          </w:tcPr>
          <w:p w:rsidR="003D7E4E" w:rsidRPr="003D7E4E" w:rsidRDefault="003D7E4E" w:rsidP="003D7E4E">
            <w:pPr>
              <w:spacing w:after="0" w:line="240" w:lineRule="auto"/>
              <w:jc w:val="right"/>
              <w:rPr>
                <w:rFonts w:ascii="Calibri" w:eastAsia="Times New Roman" w:hAnsi="Calibri" w:cs="Times New Roman"/>
                <w:b/>
                <w:bCs/>
                <w:color w:val="000000"/>
                <w:sz w:val="28"/>
                <w:szCs w:val="28"/>
                <w:lang w:eastAsia="it-IT"/>
              </w:rPr>
            </w:pPr>
            <w:r w:rsidRPr="003D7E4E">
              <w:rPr>
                <w:rFonts w:ascii="Calibri" w:eastAsia="Times New Roman" w:hAnsi="Calibri" w:cs="Times New Roman"/>
                <w:b/>
                <w:bCs/>
                <w:color w:val="000000"/>
                <w:sz w:val="28"/>
                <w:szCs w:val="28"/>
                <w:lang w:eastAsia="it-IT"/>
              </w:rPr>
              <w:t>59.789,00</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b/>
                <w:bCs/>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b/>
                <w:bCs/>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Costi di raccolta e trasporto RSU</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sz w:val="28"/>
                <w:szCs w:val="28"/>
                <w:lang w:eastAsia="it-IT"/>
              </w:rPr>
            </w:pPr>
            <w:r w:rsidRPr="003D7E4E">
              <w:rPr>
                <w:rFonts w:ascii="Calibri" w:eastAsia="Times New Roman" w:hAnsi="Calibri" w:cs="Times New Roman"/>
                <w:sz w:val="28"/>
                <w:szCs w:val="28"/>
                <w:lang w:eastAsia="it-IT"/>
              </w:rPr>
              <w:t>143.369,00</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Costi di Trattamento e Smaltimento RSU</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80.000,00</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Costi di raccolta differenziata</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7.200,00</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Costi di Trattamento e Riciclo</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2.000,00</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jc w:val="right"/>
              <w:rPr>
                <w:rFonts w:ascii="Calibri" w:eastAsia="Times New Roman" w:hAnsi="Calibri" w:cs="Times New Roman"/>
                <w:b/>
                <w:bCs/>
                <w:color w:val="000000"/>
                <w:sz w:val="28"/>
                <w:szCs w:val="28"/>
                <w:lang w:eastAsia="it-IT"/>
              </w:rPr>
            </w:pPr>
            <w:r w:rsidRPr="003D7E4E">
              <w:rPr>
                <w:rFonts w:ascii="Calibri" w:eastAsia="Times New Roman" w:hAnsi="Calibri" w:cs="Times New Roman"/>
                <w:b/>
                <w:bCs/>
                <w:color w:val="000000"/>
                <w:sz w:val="28"/>
                <w:szCs w:val="28"/>
                <w:lang w:eastAsia="it-IT"/>
              </w:rPr>
              <w:t>Totale COSTI VARIABILI</w:t>
            </w:r>
          </w:p>
        </w:tc>
        <w:tc>
          <w:tcPr>
            <w:tcW w:w="2021" w:type="dxa"/>
            <w:tcBorders>
              <w:top w:val="nil"/>
              <w:left w:val="nil"/>
              <w:bottom w:val="single" w:sz="4" w:space="0" w:color="auto"/>
              <w:right w:val="single" w:sz="4" w:space="0" w:color="auto"/>
            </w:tcBorders>
            <w:shd w:val="clear" w:color="000000" w:fill="FFFF00"/>
            <w:noWrap/>
            <w:vAlign w:val="bottom"/>
            <w:hideMark/>
          </w:tcPr>
          <w:p w:rsidR="003D7E4E" w:rsidRPr="003D7E4E" w:rsidRDefault="003D7E4E" w:rsidP="003D7E4E">
            <w:pPr>
              <w:spacing w:after="0" w:line="240" w:lineRule="auto"/>
              <w:jc w:val="right"/>
              <w:rPr>
                <w:rFonts w:ascii="Calibri" w:eastAsia="Times New Roman" w:hAnsi="Calibri" w:cs="Times New Roman"/>
                <w:b/>
                <w:bCs/>
                <w:color w:val="000000"/>
                <w:sz w:val="28"/>
                <w:szCs w:val="28"/>
                <w:lang w:eastAsia="it-IT"/>
              </w:rPr>
            </w:pPr>
            <w:r w:rsidRPr="003D7E4E">
              <w:rPr>
                <w:rFonts w:ascii="Calibri" w:eastAsia="Times New Roman" w:hAnsi="Calibri" w:cs="Times New Roman"/>
                <w:b/>
                <w:bCs/>
                <w:color w:val="000000"/>
                <w:sz w:val="28"/>
                <w:szCs w:val="28"/>
                <w:lang w:eastAsia="it-IT"/>
              </w:rPr>
              <w:t>232.569,00</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Percentuale costi da imputare alle utenze DOMESTICHE</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55,00</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Percentuale costi da imputare alle utenze NON DOMESTICHE</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45,00</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0A0FE3" w:rsidP="003D7E4E">
            <w:pPr>
              <w:spacing w:after="0" w:line="240" w:lineRule="auto"/>
              <w:rPr>
                <w:rFonts w:ascii="Calibri" w:eastAsia="Times New Roman" w:hAnsi="Calibri" w:cs="Times New Roman"/>
                <w:color w:val="000000"/>
                <w:sz w:val="28"/>
                <w:szCs w:val="28"/>
                <w:lang w:eastAsia="it-IT"/>
              </w:rPr>
            </w:pPr>
            <w:r>
              <w:rPr>
                <w:rFonts w:ascii="Calibri" w:eastAsia="Times New Roman" w:hAnsi="Calibri" w:cs="Times New Roman"/>
                <w:color w:val="000000"/>
                <w:sz w:val="28"/>
                <w:szCs w:val="28"/>
                <w:lang w:eastAsia="it-IT"/>
              </w:rPr>
              <w:t>Quantità</w:t>
            </w:r>
            <w:r w:rsidR="003D7E4E" w:rsidRPr="003D7E4E">
              <w:rPr>
                <w:rFonts w:ascii="Calibri" w:eastAsia="Times New Roman" w:hAnsi="Calibri" w:cs="Times New Roman"/>
                <w:color w:val="000000"/>
                <w:sz w:val="28"/>
                <w:szCs w:val="28"/>
                <w:lang w:eastAsia="it-IT"/>
              </w:rPr>
              <w:t xml:space="preserve"> di rifiuti prodotta (Kg)</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1.472.231</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Occupante medio per domestiche non residenti</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2</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r w:rsidR="003D7E4E" w:rsidRPr="003D7E4E" w:rsidTr="000A0FE3">
        <w:trPr>
          <w:trHeight w:val="402"/>
        </w:trPr>
        <w:tc>
          <w:tcPr>
            <w:tcW w:w="7335" w:type="dxa"/>
            <w:tcBorders>
              <w:top w:val="nil"/>
              <w:left w:val="single" w:sz="4" w:space="0" w:color="auto"/>
              <w:bottom w:val="single" w:sz="4" w:space="0" w:color="auto"/>
              <w:right w:val="single" w:sz="4" w:space="0" w:color="auto"/>
            </w:tcBorders>
            <w:shd w:val="clear" w:color="auto" w:fill="auto"/>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Numero residenti</w:t>
            </w:r>
          </w:p>
        </w:tc>
        <w:tc>
          <w:tcPr>
            <w:tcW w:w="2021" w:type="dxa"/>
            <w:tcBorders>
              <w:top w:val="nil"/>
              <w:left w:val="nil"/>
              <w:bottom w:val="single" w:sz="4" w:space="0" w:color="auto"/>
              <w:right w:val="single" w:sz="4" w:space="0" w:color="auto"/>
            </w:tcBorders>
            <w:shd w:val="clear" w:color="auto" w:fill="auto"/>
            <w:noWrap/>
            <w:vAlign w:val="bottom"/>
            <w:hideMark/>
          </w:tcPr>
          <w:p w:rsidR="003D7E4E" w:rsidRPr="003D7E4E" w:rsidRDefault="003D7E4E" w:rsidP="003D7E4E">
            <w:pPr>
              <w:spacing w:after="0" w:line="240" w:lineRule="auto"/>
              <w:jc w:val="right"/>
              <w:rPr>
                <w:rFonts w:ascii="Calibri" w:eastAsia="Times New Roman" w:hAnsi="Calibri" w:cs="Times New Roman"/>
                <w:color w:val="000000"/>
                <w:sz w:val="28"/>
                <w:szCs w:val="28"/>
                <w:lang w:eastAsia="it-IT"/>
              </w:rPr>
            </w:pPr>
            <w:r w:rsidRPr="003D7E4E">
              <w:rPr>
                <w:rFonts w:ascii="Calibri" w:eastAsia="Times New Roman" w:hAnsi="Calibri" w:cs="Times New Roman"/>
                <w:color w:val="000000"/>
                <w:sz w:val="28"/>
                <w:szCs w:val="28"/>
                <w:lang w:eastAsia="it-IT"/>
              </w:rPr>
              <w:t>3166</w:t>
            </w:r>
          </w:p>
        </w:tc>
        <w:tc>
          <w:tcPr>
            <w:tcW w:w="3400"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c>
          <w:tcPr>
            <w:tcW w:w="2256" w:type="dxa"/>
            <w:tcBorders>
              <w:top w:val="nil"/>
              <w:left w:val="nil"/>
              <w:bottom w:val="nil"/>
              <w:right w:val="nil"/>
            </w:tcBorders>
            <w:shd w:val="clear" w:color="auto" w:fill="auto"/>
            <w:noWrap/>
            <w:vAlign w:val="bottom"/>
            <w:hideMark/>
          </w:tcPr>
          <w:p w:rsidR="003D7E4E" w:rsidRPr="003D7E4E" w:rsidRDefault="003D7E4E" w:rsidP="003D7E4E">
            <w:pPr>
              <w:spacing w:after="0" w:line="240" w:lineRule="auto"/>
              <w:rPr>
                <w:rFonts w:ascii="Calibri" w:eastAsia="Times New Roman" w:hAnsi="Calibri" w:cs="Times New Roman"/>
                <w:color w:val="000000"/>
                <w:sz w:val="28"/>
                <w:szCs w:val="28"/>
                <w:lang w:eastAsia="it-IT"/>
              </w:rPr>
            </w:pPr>
          </w:p>
        </w:tc>
      </w:tr>
    </w:tbl>
    <w:p w:rsidR="003D7E4E" w:rsidRDefault="003D7E4E"/>
    <w:p w:rsidR="00107708" w:rsidRPr="0055473B" w:rsidRDefault="00107708" w:rsidP="0055473B">
      <w:pPr>
        <w:jc w:val="both"/>
        <w:rPr>
          <w:rFonts w:ascii="Calibri" w:eastAsia="Calibri" w:hAnsi="Calibri" w:cs="Times New Roman"/>
          <w:sz w:val="24"/>
          <w:szCs w:val="24"/>
        </w:rPr>
      </w:pPr>
      <w:r w:rsidRPr="0055473B">
        <w:rPr>
          <w:rFonts w:ascii="Calibri" w:eastAsia="Calibri" w:hAnsi="Calibri" w:cs="Times New Roman"/>
          <w:sz w:val="24"/>
          <w:szCs w:val="24"/>
        </w:rPr>
        <w:t xml:space="preserve">In base ai dati sopra esposti, gli importi </w:t>
      </w:r>
      <w:r w:rsidR="0055473B">
        <w:rPr>
          <w:rFonts w:ascii="Calibri" w:eastAsia="Calibri" w:hAnsi="Calibri" w:cs="Times New Roman"/>
          <w:sz w:val="24"/>
          <w:szCs w:val="24"/>
        </w:rPr>
        <w:t>dovranno essere necessariamente coperti</w:t>
      </w:r>
      <w:r w:rsidRPr="0055473B">
        <w:rPr>
          <w:rFonts w:ascii="Calibri" w:eastAsia="Calibri" w:hAnsi="Calibri" w:cs="Times New Roman"/>
          <w:sz w:val="24"/>
          <w:szCs w:val="24"/>
        </w:rPr>
        <w:t xml:space="preserve"> integralmente con l’applicazione delle tariffe all’utenza.</w:t>
      </w:r>
    </w:p>
    <w:p w:rsidR="00107708" w:rsidRPr="00107708" w:rsidRDefault="00107708" w:rsidP="00107708">
      <w:pPr>
        <w:spacing w:line="360" w:lineRule="auto"/>
        <w:jc w:val="both"/>
        <w:rPr>
          <w:rFonts w:ascii="Calibri" w:hAnsi="Calibri"/>
          <w:b/>
          <w:sz w:val="32"/>
          <w:szCs w:val="26"/>
        </w:rPr>
      </w:pPr>
      <w:r>
        <w:rPr>
          <w:rFonts w:ascii="Calibri" w:hAnsi="Calibri"/>
          <w:b/>
          <w:sz w:val="32"/>
          <w:szCs w:val="32"/>
        </w:rPr>
        <w:t>3</w:t>
      </w:r>
      <w:r w:rsidRPr="00BC1EEA">
        <w:rPr>
          <w:rFonts w:ascii="Calibri" w:hAnsi="Calibri"/>
          <w:b/>
          <w:sz w:val="32"/>
          <w:szCs w:val="32"/>
        </w:rPr>
        <w:t>.</w:t>
      </w:r>
      <w:r w:rsidRPr="00BC1EEA">
        <w:rPr>
          <w:rFonts w:ascii="Calibri" w:hAnsi="Calibri"/>
          <w:b/>
          <w:sz w:val="32"/>
          <w:szCs w:val="26"/>
        </w:rPr>
        <w:t xml:space="preserve"> Conclusioni</w:t>
      </w:r>
    </w:p>
    <w:p w:rsidR="00107708" w:rsidRPr="0055473B" w:rsidRDefault="00107708" w:rsidP="0055473B">
      <w:pPr>
        <w:jc w:val="both"/>
        <w:rPr>
          <w:rFonts w:ascii="Calibri" w:eastAsia="Calibri" w:hAnsi="Calibri" w:cs="Times New Roman"/>
          <w:sz w:val="24"/>
          <w:szCs w:val="24"/>
        </w:rPr>
      </w:pPr>
      <w:r w:rsidRPr="0055473B">
        <w:rPr>
          <w:rFonts w:ascii="Calibri" w:eastAsia="Calibri" w:hAnsi="Calibri" w:cs="Times New Roman"/>
          <w:sz w:val="24"/>
          <w:szCs w:val="24"/>
        </w:rPr>
        <w:t xml:space="preserve">I costi del servizio riportati nel presente documento fanno riferimento alle risultanze previsionali per l’anno in corso. </w:t>
      </w:r>
    </w:p>
    <w:p w:rsidR="00107708" w:rsidRDefault="00107708" w:rsidP="0055473B">
      <w:pPr>
        <w:jc w:val="both"/>
        <w:rPr>
          <w:rFonts w:ascii="Calibri" w:eastAsia="Calibri" w:hAnsi="Calibri" w:cs="Times New Roman"/>
          <w:sz w:val="24"/>
          <w:szCs w:val="24"/>
        </w:rPr>
      </w:pPr>
      <w:r w:rsidRPr="0055473B">
        <w:rPr>
          <w:rFonts w:ascii="Calibri" w:eastAsia="Calibri" w:hAnsi="Calibri" w:cs="Times New Roman"/>
          <w:sz w:val="24"/>
          <w:szCs w:val="24"/>
        </w:rPr>
        <w:t>Le risultanze di quanto contenuto nel presente Piano Finanziario saranno funzionali all’amministrazione comunale, al fine di determinare il gettito complessivo TARI e la ripartizione dello stesso tra utenze domestiche e non domestiche.</w:t>
      </w:r>
    </w:p>
    <w:p w:rsidR="00604592" w:rsidRPr="00C00D12" w:rsidRDefault="00BC4CE0" w:rsidP="0055473B">
      <w:pPr>
        <w:jc w:val="both"/>
        <w:rPr>
          <w:rFonts w:ascii="Calibri" w:eastAsia="Calibri" w:hAnsi="Calibri" w:cs="Times New Roman"/>
          <w:sz w:val="24"/>
          <w:szCs w:val="24"/>
        </w:rPr>
      </w:pPr>
      <w:r>
        <w:rPr>
          <w:rFonts w:ascii="Calibri" w:eastAsia="Calibri" w:hAnsi="Calibri" w:cs="Times New Roman"/>
          <w:sz w:val="24"/>
          <w:szCs w:val="24"/>
        </w:rPr>
        <w:lastRenderedPageBreak/>
        <w:t>Prudenzialmente il Comune per l’anno 2017 ha deciso di confermare i costi e le tariffe in vigore per l’anno 2016, dando atto che eventuali scostamenti tra i costi preventivati e quelli effettivamente sostenuti</w:t>
      </w:r>
      <w:r w:rsidR="00E04217">
        <w:rPr>
          <w:rFonts w:ascii="Calibri" w:eastAsia="Calibri" w:hAnsi="Calibri" w:cs="Times New Roman"/>
          <w:sz w:val="24"/>
          <w:szCs w:val="24"/>
        </w:rPr>
        <w:t>,</w:t>
      </w:r>
      <w:r>
        <w:rPr>
          <w:rFonts w:ascii="Calibri" w:eastAsia="Calibri" w:hAnsi="Calibri" w:cs="Times New Roman"/>
          <w:sz w:val="24"/>
          <w:szCs w:val="24"/>
        </w:rPr>
        <w:t xml:space="preserve"> saranno colmati </w:t>
      </w:r>
      <w:r w:rsidR="00C3655A">
        <w:rPr>
          <w:rFonts w:ascii="Calibri" w:eastAsia="Calibri" w:hAnsi="Calibri" w:cs="Times New Roman"/>
          <w:sz w:val="24"/>
          <w:szCs w:val="24"/>
        </w:rPr>
        <w:t xml:space="preserve">con </w:t>
      </w:r>
      <w:r w:rsidR="00C00D12" w:rsidRPr="00C00D12">
        <w:rPr>
          <w:rFonts w:ascii="Calibri" w:eastAsia="Calibri" w:hAnsi="Calibri" w:cs="Times New Roman"/>
          <w:sz w:val="24"/>
          <w:szCs w:val="24"/>
        </w:rPr>
        <w:t>i tra</w:t>
      </w:r>
      <w:r w:rsidR="00C00D12">
        <w:rPr>
          <w:rFonts w:ascii="Calibri" w:eastAsia="Calibri" w:hAnsi="Calibri" w:cs="Times New Roman"/>
          <w:sz w:val="24"/>
          <w:szCs w:val="24"/>
        </w:rPr>
        <w:t>sferimenti statali per le minori entrate e le maggiori uscite</w:t>
      </w:r>
      <w:r w:rsidR="00604592" w:rsidRPr="00C00D12">
        <w:rPr>
          <w:rFonts w:ascii="Calibri" w:eastAsia="Calibri" w:hAnsi="Calibri" w:cs="Times New Roman"/>
          <w:sz w:val="24"/>
          <w:szCs w:val="24"/>
        </w:rPr>
        <w:t>.</w:t>
      </w:r>
    </w:p>
    <w:p w:rsidR="00BC4CE0" w:rsidRPr="0055473B" w:rsidRDefault="00BC4CE0" w:rsidP="0055473B">
      <w:pPr>
        <w:jc w:val="both"/>
        <w:rPr>
          <w:rFonts w:ascii="Calibri" w:eastAsia="Calibri" w:hAnsi="Calibri" w:cs="Times New Roman"/>
          <w:sz w:val="24"/>
          <w:szCs w:val="24"/>
        </w:rPr>
      </w:pPr>
      <w:r>
        <w:rPr>
          <w:rFonts w:ascii="Calibri" w:eastAsia="Calibri" w:hAnsi="Calibri" w:cs="Times New Roman"/>
          <w:sz w:val="24"/>
          <w:szCs w:val="24"/>
        </w:rPr>
        <w:t>Tale situazione di criticità che si verrà a verificare nell’anno in corso, è dovuta agli eventi sismici intercorsi nell’anno 2016; come è noto le numerose ordinanze di sgombero comporteranno, soprattutto per le seconde case e per l’autonoma sistemazione</w:t>
      </w:r>
      <w:r w:rsidR="00E04217">
        <w:rPr>
          <w:rFonts w:ascii="Calibri" w:eastAsia="Calibri" w:hAnsi="Calibri" w:cs="Times New Roman"/>
          <w:sz w:val="24"/>
          <w:szCs w:val="24"/>
        </w:rPr>
        <w:t xml:space="preserve"> dei cittadini</w:t>
      </w:r>
      <w:r>
        <w:rPr>
          <w:rFonts w:ascii="Calibri" w:eastAsia="Calibri" w:hAnsi="Calibri" w:cs="Times New Roman"/>
          <w:sz w:val="24"/>
          <w:szCs w:val="24"/>
        </w:rPr>
        <w:t xml:space="preserve"> fuori comune</w:t>
      </w:r>
      <w:r w:rsidR="00DB08EA">
        <w:rPr>
          <w:rFonts w:ascii="Calibri" w:eastAsia="Calibri" w:hAnsi="Calibri" w:cs="Times New Roman"/>
          <w:sz w:val="24"/>
          <w:szCs w:val="24"/>
        </w:rPr>
        <w:t xml:space="preserve"> ovvero nel territorio comunale presso altri nuclei familiari e/o case tenute a disposizione dai proprietari</w:t>
      </w:r>
      <w:r>
        <w:rPr>
          <w:rFonts w:ascii="Calibri" w:eastAsia="Calibri" w:hAnsi="Calibri" w:cs="Times New Roman"/>
          <w:sz w:val="24"/>
          <w:szCs w:val="24"/>
        </w:rPr>
        <w:t>,  una diminuzione di gettito</w:t>
      </w:r>
      <w:r w:rsidR="00DB08EA">
        <w:rPr>
          <w:rFonts w:ascii="Calibri" w:eastAsia="Calibri" w:hAnsi="Calibri" w:cs="Times New Roman"/>
          <w:sz w:val="24"/>
          <w:szCs w:val="24"/>
        </w:rPr>
        <w:t>,</w:t>
      </w:r>
      <w:r>
        <w:rPr>
          <w:rFonts w:ascii="Calibri" w:eastAsia="Calibri" w:hAnsi="Calibri" w:cs="Times New Roman"/>
          <w:sz w:val="24"/>
          <w:szCs w:val="24"/>
        </w:rPr>
        <w:t xml:space="preserve"> che alla data attuale non è ancora quantificabile.</w:t>
      </w:r>
    </w:p>
    <w:p w:rsidR="00107708" w:rsidRDefault="00107708"/>
    <w:sectPr w:rsidR="00107708" w:rsidSect="00D24FA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43E83"/>
    <w:multiLevelType w:val="hybridMultilevel"/>
    <w:tmpl w:val="E57425B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E1A10AC"/>
    <w:multiLevelType w:val="hybridMultilevel"/>
    <w:tmpl w:val="2646914C"/>
    <w:lvl w:ilvl="0" w:tplc="A09AE0A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8936A9"/>
    <w:multiLevelType w:val="hybridMultilevel"/>
    <w:tmpl w:val="8782F1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83065"/>
    <w:rsid w:val="00082ED9"/>
    <w:rsid w:val="000A0FE3"/>
    <w:rsid w:val="00107708"/>
    <w:rsid w:val="00141612"/>
    <w:rsid w:val="00214CD1"/>
    <w:rsid w:val="003D7E4E"/>
    <w:rsid w:val="0055473B"/>
    <w:rsid w:val="00566F4B"/>
    <w:rsid w:val="005E7D1B"/>
    <w:rsid w:val="00604592"/>
    <w:rsid w:val="009A0CDC"/>
    <w:rsid w:val="00BC4CE0"/>
    <w:rsid w:val="00C00D12"/>
    <w:rsid w:val="00C3655A"/>
    <w:rsid w:val="00CF27F4"/>
    <w:rsid w:val="00D24FA9"/>
    <w:rsid w:val="00D83065"/>
    <w:rsid w:val="00DB08EA"/>
    <w:rsid w:val="00E042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4FA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D83065"/>
    <w:pPr>
      <w:pBdr>
        <w:bottom w:val="single" w:sz="8" w:space="4" w:color="4F81BD"/>
      </w:pBdr>
      <w:spacing w:before="-1" w:after="300" w:line="360" w:lineRule="auto"/>
      <w:contextualSpacing/>
    </w:pPr>
    <w:rPr>
      <w:rFonts w:ascii="Cambria" w:eastAsia="Times New Roman" w:hAnsi="Cambria" w:cs="Times New Roman"/>
      <w:color w:val="17365D"/>
      <w:spacing w:val="5"/>
      <w:kern w:val="28"/>
      <w:sz w:val="52"/>
      <w:szCs w:val="52"/>
    </w:rPr>
  </w:style>
  <w:style w:type="character" w:customStyle="1" w:styleId="TitoloCarattere">
    <w:name w:val="Titolo Carattere"/>
    <w:basedOn w:val="Carpredefinitoparagrafo"/>
    <w:link w:val="Titolo"/>
    <w:uiPriority w:val="10"/>
    <w:rsid w:val="00D83065"/>
    <w:rPr>
      <w:rFonts w:ascii="Cambria" w:eastAsia="Times New Roman" w:hAnsi="Cambria" w:cs="Times New Roman"/>
      <w:color w:val="17365D"/>
      <w:spacing w:val="5"/>
      <w:kern w:val="28"/>
      <w:sz w:val="52"/>
      <w:szCs w:val="52"/>
    </w:rPr>
  </w:style>
  <w:style w:type="paragraph" w:styleId="Testofumetto">
    <w:name w:val="Balloon Text"/>
    <w:basedOn w:val="Normale"/>
    <w:link w:val="TestofumettoCarattere"/>
    <w:uiPriority w:val="99"/>
    <w:semiHidden/>
    <w:unhideWhenUsed/>
    <w:rsid w:val="00D8306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3065"/>
    <w:rPr>
      <w:rFonts w:ascii="Tahoma" w:hAnsi="Tahoma" w:cs="Tahoma"/>
      <w:sz w:val="16"/>
      <w:szCs w:val="16"/>
    </w:rPr>
  </w:style>
  <w:style w:type="paragraph" w:styleId="Paragrafoelenco">
    <w:name w:val="List Paragraph"/>
    <w:basedOn w:val="Normale"/>
    <w:uiPriority w:val="34"/>
    <w:qFormat/>
    <w:rsid w:val="003D7E4E"/>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4155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1468</Words>
  <Characters>8371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Ufficio.Tributi</dc:creator>
  <cp:lastModifiedBy>Ufficio.Tributi</cp:lastModifiedBy>
  <cp:revision>6</cp:revision>
  <cp:lastPrinted>2017-03-31T10:34:00Z</cp:lastPrinted>
  <dcterms:created xsi:type="dcterms:W3CDTF">2017-03-31T10:34:00Z</dcterms:created>
  <dcterms:modified xsi:type="dcterms:W3CDTF">2017-04-03T10:11:00Z</dcterms:modified>
</cp:coreProperties>
</file>