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7A" w:rsidRPr="00B9447A" w:rsidRDefault="00B9447A" w:rsidP="00B9447A">
      <w:pPr>
        <w:pStyle w:val="Titolo5"/>
        <w:ind w:right="-143"/>
        <w:jc w:val="center"/>
        <w:rPr>
          <w:rFonts w:ascii="Times New Roman" w:hAnsi="Times New Roman"/>
          <w:bCs w:val="0"/>
          <w:i w:val="0"/>
          <w:sz w:val="40"/>
          <w:szCs w:val="40"/>
        </w:rPr>
      </w:pPr>
      <w:r w:rsidRPr="00B9447A">
        <w:rPr>
          <w:rFonts w:ascii="Times New Roman" w:hAnsi="Times New Roman"/>
          <w:bCs w:val="0"/>
          <w:i w:val="0"/>
          <w:sz w:val="40"/>
          <w:szCs w:val="40"/>
        </w:rPr>
        <w:t xml:space="preserve">ALLEGATO </w:t>
      </w:r>
      <w:r>
        <w:rPr>
          <w:rFonts w:ascii="Times New Roman" w:hAnsi="Times New Roman"/>
          <w:bCs w:val="0"/>
          <w:i w:val="0"/>
          <w:sz w:val="40"/>
          <w:szCs w:val="40"/>
        </w:rPr>
        <w:t>“</w:t>
      </w:r>
      <w:r w:rsidRPr="00B9447A">
        <w:rPr>
          <w:rFonts w:ascii="Times New Roman" w:hAnsi="Times New Roman"/>
          <w:bCs w:val="0"/>
          <w:i w:val="0"/>
          <w:sz w:val="40"/>
          <w:szCs w:val="40"/>
        </w:rPr>
        <w:t>A</w:t>
      </w:r>
      <w:r>
        <w:rPr>
          <w:rFonts w:ascii="Times New Roman" w:hAnsi="Times New Roman"/>
          <w:bCs w:val="0"/>
          <w:i w:val="0"/>
          <w:sz w:val="40"/>
          <w:szCs w:val="40"/>
        </w:rPr>
        <w:t xml:space="preserve">” ALLO SCHEMA </w:t>
      </w:r>
      <w:proofErr w:type="spellStart"/>
      <w:r>
        <w:rPr>
          <w:rFonts w:ascii="Times New Roman" w:hAnsi="Times New Roman"/>
          <w:bCs w:val="0"/>
          <w:i w:val="0"/>
          <w:sz w:val="40"/>
          <w:szCs w:val="40"/>
        </w:rPr>
        <w:t>DI</w:t>
      </w:r>
      <w:proofErr w:type="spellEnd"/>
      <w:r>
        <w:rPr>
          <w:rFonts w:ascii="Times New Roman" w:hAnsi="Times New Roman"/>
          <w:bCs w:val="0"/>
          <w:i w:val="0"/>
          <w:sz w:val="40"/>
          <w:szCs w:val="40"/>
        </w:rPr>
        <w:t xml:space="preserve"> CONVENZIONE</w:t>
      </w:r>
    </w:p>
    <w:p w:rsidR="00B9447A" w:rsidRDefault="00B9447A" w:rsidP="00B9447A">
      <w:pPr>
        <w:pStyle w:val="Titolo5"/>
        <w:ind w:right="-143"/>
        <w:jc w:val="both"/>
        <w:rPr>
          <w:rFonts w:ascii="Times New Roman" w:hAnsi="Times New Roman"/>
          <w:bCs w:val="0"/>
          <w:i w:val="0"/>
          <w:sz w:val="24"/>
          <w:szCs w:val="24"/>
          <w:u w:val="single"/>
        </w:rPr>
      </w:pPr>
    </w:p>
    <w:p w:rsidR="00B9447A" w:rsidRPr="000C2951" w:rsidRDefault="00B9447A" w:rsidP="00B9447A">
      <w:pPr>
        <w:pStyle w:val="Titolo5"/>
        <w:ind w:right="-143"/>
        <w:jc w:val="both"/>
        <w:rPr>
          <w:rFonts w:ascii="Times New Roman" w:hAnsi="Times New Roman"/>
          <w:i w:val="0"/>
          <w:sz w:val="24"/>
          <w:szCs w:val="24"/>
          <w:u w:val="single"/>
        </w:rPr>
      </w:pPr>
      <w:r w:rsidRPr="000C2951">
        <w:rPr>
          <w:rFonts w:ascii="Times New Roman" w:hAnsi="Times New Roman"/>
          <w:bCs w:val="0"/>
          <w:i w:val="0"/>
          <w:sz w:val="24"/>
          <w:szCs w:val="24"/>
          <w:u w:val="single"/>
        </w:rPr>
        <w:t xml:space="preserve">15) Elementi oggetto di valutazione per l’affidamento del servizio di Tesoreria </w:t>
      </w:r>
    </w:p>
    <w:p w:rsidR="00B9447A" w:rsidRDefault="00B9447A" w:rsidP="00B9447A">
      <w:pPr>
        <w:ind w:left="480" w:right="-143"/>
        <w:jc w:val="both"/>
      </w:pPr>
    </w:p>
    <w:p w:rsidR="00B9447A" w:rsidRPr="00B57730" w:rsidRDefault="00B9447A" w:rsidP="00B9447A">
      <w:pPr>
        <w:pStyle w:val="Titolo9"/>
        <w:ind w:right="-143"/>
      </w:pPr>
      <w:r>
        <w:t xml:space="preserve">A– ASPETTO TECNICO/INFORMATICO </w:t>
      </w:r>
      <w:proofErr w:type="spellStart"/>
      <w:r>
        <w:t>max</w:t>
      </w:r>
      <w:proofErr w:type="spellEnd"/>
      <w:r>
        <w:t xml:space="preserve"> 70 punti </w:t>
      </w:r>
    </w:p>
    <w:p w:rsidR="00B9447A" w:rsidRPr="000C2951" w:rsidRDefault="00B9447A" w:rsidP="00B9447A">
      <w:pPr>
        <w:pStyle w:val="Titolo7"/>
        <w:ind w:right="-143"/>
        <w:jc w:val="both"/>
        <w:rPr>
          <w:b/>
          <w:szCs w:val="22"/>
          <w:u w:val="single"/>
        </w:rPr>
      </w:pPr>
      <w:r>
        <w:rPr>
          <w:b/>
          <w:szCs w:val="22"/>
          <w:u w:val="single"/>
        </w:rPr>
        <w:t>A</w:t>
      </w:r>
      <w:r w:rsidRPr="000C2951">
        <w:rPr>
          <w:b/>
          <w:szCs w:val="22"/>
          <w:u w:val="single"/>
        </w:rPr>
        <w:t xml:space="preserve"> – ASPETTO TECNICO/INFORMATICO/ORGANIZZATIVO </w:t>
      </w:r>
    </w:p>
    <w:p w:rsidR="00B9447A" w:rsidRDefault="00B9447A" w:rsidP="00B9447A">
      <w:pPr>
        <w:ind w:right="-143"/>
        <w:jc w:val="both"/>
      </w:pPr>
    </w:p>
    <w:p w:rsidR="00B9447A" w:rsidRDefault="00B9447A" w:rsidP="00B9447A">
      <w:pPr>
        <w:pStyle w:val="Corpodeltesto"/>
        <w:ind w:right="-143"/>
        <w:jc w:val="both"/>
      </w:pPr>
      <w:r>
        <w:t xml:space="preserve">A1 – Attivazione di un </w:t>
      </w:r>
      <w:proofErr w:type="spellStart"/>
      <w:r>
        <w:t>Pos</w:t>
      </w:r>
      <w:proofErr w:type="spellEnd"/>
      <w:r>
        <w:t xml:space="preserve"> nella sede comunale;</w:t>
      </w:r>
    </w:p>
    <w:p w:rsidR="00B9447A" w:rsidRDefault="00B9447A" w:rsidP="00B9447A">
      <w:pPr>
        <w:ind w:right="-143"/>
        <w:jc w:val="both"/>
        <w:rPr>
          <w:rFonts w:ascii="TimesNewRoman" w:hAnsi="TimesNewRoman"/>
          <w:color w:val="000000"/>
        </w:rPr>
      </w:pPr>
      <w:r>
        <w:t xml:space="preserve">A2 -  </w:t>
      </w:r>
      <w:r>
        <w:rPr>
          <w:rFonts w:ascii="TimesNewRoman" w:hAnsi="TimesNewRoman" w:cs="TimesNewRoman"/>
        </w:rPr>
        <w:t xml:space="preserve">Banca </w:t>
      </w:r>
      <w:r>
        <w:rPr>
          <w:rFonts w:ascii="TimesNewRoman" w:hAnsi="TimesNewRoman"/>
          <w:color w:val="000000"/>
        </w:rPr>
        <w:t xml:space="preserve">che possiede uno sportello/agenzia in un raggio massimo di km. </w:t>
      </w:r>
      <w:r w:rsidRPr="00EB118B">
        <w:rPr>
          <w:rFonts w:ascii="TimesNewRoman" w:hAnsi="TimesNewRoman"/>
          <w:color w:val="000000"/>
        </w:rPr>
        <w:t>30</w:t>
      </w:r>
      <w:r>
        <w:rPr>
          <w:rFonts w:ascii="TimesNewRoman" w:hAnsi="TimesNewRoman"/>
          <w:color w:val="000000"/>
        </w:rPr>
        <w:t xml:space="preserve"> in linea d’aria dalla sede municipale ovvero si impegna ad aprirlo entro tre mesi dalla data di inizio del servizio;</w:t>
      </w:r>
    </w:p>
    <w:p w:rsidR="00B9447A" w:rsidRDefault="00B9447A" w:rsidP="00B9447A">
      <w:pPr>
        <w:ind w:right="-143"/>
        <w:jc w:val="both"/>
        <w:rPr>
          <w:rFonts w:ascii="TimesNewRoman" w:hAnsi="TimesNewRoman"/>
          <w:color w:val="000000"/>
          <w:sz w:val="20"/>
          <w:szCs w:val="20"/>
        </w:rPr>
      </w:pPr>
    </w:p>
    <w:p w:rsidR="00B9447A" w:rsidRDefault="00B9447A" w:rsidP="00B9447A">
      <w:pPr>
        <w:pStyle w:val="Titolo5"/>
        <w:ind w:right="-143"/>
        <w:jc w:val="both"/>
        <w:rPr>
          <w:rFonts w:ascii="Times New Roman" w:hAnsi="Times New Roman"/>
          <w:bCs w:val="0"/>
          <w:i w:val="0"/>
          <w:szCs w:val="22"/>
        </w:rPr>
      </w:pPr>
      <w:r w:rsidRPr="000C2951">
        <w:rPr>
          <w:rFonts w:ascii="Times New Roman" w:hAnsi="Times New Roman"/>
          <w:bCs w:val="0"/>
          <w:i w:val="0"/>
          <w:szCs w:val="22"/>
        </w:rPr>
        <w:t xml:space="preserve">17) </w:t>
      </w:r>
      <w:r w:rsidRPr="000C2951">
        <w:rPr>
          <w:rFonts w:ascii="Times New Roman" w:hAnsi="Times New Roman"/>
          <w:bCs w:val="0"/>
          <w:i w:val="0"/>
          <w:szCs w:val="22"/>
          <w:u w:val="single"/>
        </w:rPr>
        <w:t>Criteri per l’attribuzione dei punteggi</w:t>
      </w:r>
      <w:r w:rsidRPr="000C2951">
        <w:rPr>
          <w:rFonts w:ascii="Times New Roman" w:hAnsi="Times New Roman"/>
          <w:bCs w:val="0"/>
          <w:i w:val="0"/>
          <w:szCs w:val="22"/>
        </w:rPr>
        <w:t xml:space="preserve"> </w:t>
      </w:r>
    </w:p>
    <w:p w:rsidR="00B9447A" w:rsidRDefault="00B9447A" w:rsidP="00B9447A"/>
    <w:tbl>
      <w:tblPr>
        <w:tblW w:w="11023" w:type="dxa"/>
        <w:tblInd w:w="-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4961"/>
        <w:gridCol w:w="851"/>
        <w:gridCol w:w="4819"/>
      </w:tblGrid>
      <w:tr w:rsidR="00B9447A" w:rsidRPr="0012705C" w:rsidTr="00B9447A">
        <w:trPr>
          <w:trHeight w:val="795"/>
        </w:trPr>
        <w:tc>
          <w:tcPr>
            <w:tcW w:w="392" w:type="dxa"/>
          </w:tcPr>
          <w:p w:rsidR="00B9447A" w:rsidRPr="0012705C" w:rsidRDefault="00B9447A" w:rsidP="00BA0244">
            <w:pPr>
              <w:ind w:right="-143"/>
              <w:jc w:val="both"/>
              <w:rPr>
                <w:rFonts w:ascii="TimesNewRoman" w:hAnsi="TimesNew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B9447A" w:rsidRPr="0012705C" w:rsidRDefault="00B9447A" w:rsidP="00BA0244">
            <w:pPr>
              <w:ind w:right="-143"/>
              <w:jc w:val="both"/>
              <w:rPr>
                <w:rFonts w:ascii="TimesNewRoman" w:hAnsi="TimesNewRoman"/>
                <w:b/>
                <w:color w:val="000000"/>
              </w:rPr>
            </w:pPr>
            <w:r w:rsidRPr="0012705C">
              <w:rPr>
                <w:rFonts w:ascii="TimesNewRoman" w:hAnsi="TimesNewRoman"/>
                <w:b/>
                <w:color w:val="000000"/>
              </w:rPr>
              <w:t>Elementi di natura quantitativa –Offerta tecnica-organizzativa</w:t>
            </w:r>
          </w:p>
        </w:tc>
        <w:tc>
          <w:tcPr>
            <w:tcW w:w="851" w:type="dxa"/>
          </w:tcPr>
          <w:p w:rsidR="00B9447A" w:rsidRPr="0012705C" w:rsidRDefault="00B9447A" w:rsidP="00BA0244">
            <w:pPr>
              <w:ind w:right="-143"/>
              <w:jc w:val="both"/>
              <w:rPr>
                <w:rFonts w:ascii="TimesNewRoman" w:hAnsi="TimesNewRoman"/>
                <w:b/>
                <w:color w:val="000000"/>
              </w:rPr>
            </w:pPr>
            <w:r w:rsidRPr="0012705C">
              <w:rPr>
                <w:rFonts w:ascii="TimesNewRoman" w:hAnsi="TimesNewRoman"/>
                <w:b/>
                <w:color w:val="000000"/>
              </w:rPr>
              <w:t>Punteggio massimo</w:t>
            </w:r>
          </w:p>
        </w:tc>
        <w:tc>
          <w:tcPr>
            <w:tcW w:w="4819" w:type="dxa"/>
          </w:tcPr>
          <w:p w:rsidR="00B9447A" w:rsidRPr="0012705C" w:rsidRDefault="00B9447A" w:rsidP="00BA0244">
            <w:pPr>
              <w:ind w:right="-143"/>
              <w:jc w:val="both"/>
              <w:rPr>
                <w:rFonts w:ascii="TimesNewRoman" w:hAnsi="TimesNewRoman"/>
                <w:b/>
                <w:color w:val="000000"/>
              </w:rPr>
            </w:pPr>
            <w:r w:rsidRPr="0012705C">
              <w:rPr>
                <w:rFonts w:ascii="TimesNewRoman" w:hAnsi="TimesNewRoman"/>
                <w:b/>
                <w:color w:val="000000"/>
              </w:rPr>
              <w:t>Criterio di attribuzione del punteggio</w:t>
            </w:r>
          </w:p>
        </w:tc>
      </w:tr>
      <w:tr w:rsidR="00B9447A" w:rsidRPr="0012705C" w:rsidTr="00B9447A">
        <w:tc>
          <w:tcPr>
            <w:tcW w:w="392" w:type="dxa"/>
          </w:tcPr>
          <w:p w:rsidR="00B9447A" w:rsidRPr="0012705C" w:rsidRDefault="00B9447A" w:rsidP="00BA0244">
            <w:pPr>
              <w:ind w:right="-143"/>
              <w:jc w:val="both"/>
              <w:rPr>
                <w:rFonts w:ascii="TimesNewRoman" w:hAnsi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/>
                <w:color w:val="000000"/>
                <w:sz w:val="20"/>
                <w:szCs w:val="20"/>
              </w:rPr>
              <w:t>A</w:t>
            </w:r>
            <w:r w:rsidRPr="0012705C">
              <w:rPr>
                <w:rFonts w:ascii="TimesNewRoman" w:hAnsi="TimesNew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B9447A" w:rsidRPr="00D61267" w:rsidRDefault="00B9447A" w:rsidP="00BA0244">
            <w:pPr>
              <w:ind w:right="-143"/>
              <w:jc w:val="both"/>
              <w:rPr>
                <w:rFonts w:ascii="TimesNewRoman" w:hAnsi="TimesNewRoman"/>
              </w:rPr>
            </w:pPr>
            <w:r w:rsidRPr="00D61267">
              <w:rPr>
                <w:rFonts w:ascii="TimesNewRoman" w:hAnsi="TimesNewRoman"/>
              </w:rPr>
              <w:t xml:space="preserve"> </w:t>
            </w:r>
            <w:r>
              <w:rPr>
                <w:rFonts w:ascii="TimesNewRoman" w:hAnsi="TimesNewRoman"/>
              </w:rPr>
              <w:t xml:space="preserve">Attivazione di un </w:t>
            </w:r>
            <w:proofErr w:type="spellStart"/>
            <w:r w:rsidRPr="00D61267">
              <w:rPr>
                <w:rFonts w:ascii="TimesNewRoman" w:hAnsi="TimesNewRoman"/>
              </w:rPr>
              <w:t>Pos</w:t>
            </w:r>
            <w:proofErr w:type="spellEnd"/>
          </w:p>
          <w:p w:rsidR="00B9447A" w:rsidRPr="00D77A4B" w:rsidRDefault="00B9447A" w:rsidP="00BA0244">
            <w:pPr>
              <w:ind w:right="-143"/>
              <w:jc w:val="both"/>
              <w:rPr>
                <w:rFonts w:ascii="TimesNewRoman" w:hAnsi="TimesNewRoman"/>
              </w:rPr>
            </w:pPr>
          </w:p>
        </w:tc>
        <w:tc>
          <w:tcPr>
            <w:tcW w:w="851" w:type="dxa"/>
          </w:tcPr>
          <w:p w:rsidR="00B9447A" w:rsidRPr="0012705C" w:rsidRDefault="00B9447A" w:rsidP="00BA0244">
            <w:pPr>
              <w:ind w:right="-143"/>
              <w:jc w:val="both"/>
              <w:rPr>
                <w:rFonts w:ascii="TimesNewRoman" w:hAnsi="TimesNewRoman"/>
                <w:color w:val="000000"/>
              </w:rPr>
            </w:pPr>
            <w:r w:rsidRPr="0012705C">
              <w:rPr>
                <w:rFonts w:ascii="TimesNewRoman" w:hAnsi="TimesNewRoman"/>
                <w:color w:val="000000"/>
              </w:rPr>
              <w:t>20</w:t>
            </w:r>
          </w:p>
        </w:tc>
        <w:tc>
          <w:tcPr>
            <w:tcW w:w="4819" w:type="dxa"/>
          </w:tcPr>
          <w:p w:rsidR="00B9447A" w:rsidRDefault="00B9447A" w:rsidP="00B9447A">
            <w:pPr>
              <w:numPr>
                <w:ilvl w:val="0"/>
                <w:numId w:val="1"/>
              </w:numPr>
              <w:ind w:left="317" w:right="-143" w:hanging="284"/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  <w:color w:val="000000"/>
              </w:rPr>
              <w:t xml:space="preserve">20 </w:t>
            </w:r>
            <w:r w:rsidRPr="0012705C">
              <w:rPr>
                <w:rFonts w:ascii="TimesNewRoman" w:hAnsi="TimesNewRoman"/>
                <w:color w:val="000000"/>
              </w:rPr>
              <w:t xml:space="preserve">punti </w:t>
            </w:r>
            <w:r>
              <w:rPr>
                <w:rFonts w:ascii="TimesNewRoman" w:hAnsi="TimesNewRoman"/>
              </w:rPr>
              <w:t xml:space="preserve">verranno assegnati a chi offre </w:t>
            </w:r>
          </w:p>
          <w:p w:rsidR="00B9447A" w:rsidRDefault="00B9447A" w:rsidP="00BA0244">
            <w:pPr>
              <w:ind w:left="317" w:right="-143"/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il seguente costo:</w:t>
            </w:r>
          </w:p>
          <w:p w:rsidR="00B9447A" w:rsidRDefault="00B9447A" w:rsidP="00BA0244">
            <w:pPr>
              <w:ind w:left="317" w:right="-143"/>
              <w:jc w:val="both"/>
              <w:rPr>
                <w:rFonts w:ascii="TimesNewRoman" w:hAnsi="TimesNewRoman"/>
              </w:rPr>
            </w:pPr>
            <w:r w:rsidRPr="00D61267">
              <w:rPr>
                <w:rFonts w:ascii="TimesNewRoman" w:hAnsi="TimesNewRoman"/>
              </w:rPr>
              <w:t>€ 0 complessivo di costo di attivazione</w:t>
            </w:r>
          </w:p>
          <w:p w:rsidR="00B9447A" w:rsidRDefault="00B9447A" w:rsidP="00BA0244">
            <w:pPr>
              <w:ind w:right="-143"/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 xml:space="preserve">    + </w:t>
            </w:r>
            <w:proofErr w:type="spellStart"/>
            <w:r>
              <w:rPr>
                <w:rFonts w:ascii="TimesNewRoman" w:hAnsi="TimesNewRoman"/>
              </w:rPr>
              <w:t>*canone</w:t>
            </w:r>
            <w:proofErr w:type="spellEnd"/>
            <w:r>
              <w:rPr>
                <w:rFonts w:ascii="TimesNewRoman" w:hAnsi="TimesNewRoman"/>
              </w:rPr>
              <w:t xml:space="preserve"> annuo;</w:t>
            </w:r>
          </w:p>
          <w:p w:rsidR="00B9447A" w:rsidRDefault="00B9447A" w:rsidP="00B9447A">
            <w:pPr>
              <w:numPr>
                <w:ilvl w:val="0"/>
                <w:numId w:val="1"/>
              </w:numPr>
              <w:ind w:left="317" w:right="-143" w:hanging="284"/>
              <w:jc w:val="both"/>
              <w:rPr>
                <w:rFonts w:ascii="TimesNewRoman" w:hAnsi="TimesNewRoman"/>
              </w:rPr>
            </w:pPr>
            <w:r w:rsidRPr="00A67C35">
              <w:rPr>
                <w:rFonts w:ascii="TimesNewRoman" w:hAnsi="TimesNewRoman"/>
              </w:rPr>
              <w:t xml:space="preserve">10 punti a chi offre </w:t>
            </w:r>
            <w:r>
              <w:rPr>
                <w:rFonts w:ascii="TimesNewRoman" w:hAnsi="TimesNewRoman"/>
              </w:rPr>
              <w:t>il seguente costo:</w:t>
            </w:r>
          </w:p>
          <w:p w:rsidR="00B9447A" w:rsidRPr="00C80B0A" w:rsidRDefault="00B9447A" w:rsidP="00BA0244">
            <w:pPr>
              <w:ind w:left="317" w:right="-143"/>
              <w:jc w:val="both"/>
              <w:rPr>
                <w:rFonts w:ascii="TimesNewRoman" w:hAnsi="TimesNewRoman"/>
              </w:rPr>
            </w:pPr>
            <w:r w:rsidRPr="00C80B0A">
              <w:rPr>
                <w:rFonts w:ascii="TimesNewRoman" w:hAnsi="TimesNewRoman"/>
              </w:rPr>
              <w:t>fino a € 100 complessivo di costo</w:t>
            </w:r>
          </w:p>
          <w:p w:rsidR="00B9447A" w:rsidRPr="00A67C35" w:rsidRDefault="00B9447A" w:rsidP="00BA0244">
            <w:pPr>
              <w:ind w:left="317" w:right="-143"/>
              <w:jc w:val="both"/>
              <w:rPr>
                <w:rFonts w:ascii="TimesNewRoman" w:hAnsi="TimesNewRoman"/>
              </w:rPr>
            </w:pPr>
            <w:r w:rsidRPr="00D61267">
              <w:rPr>
                <w:rFonts w:ascii="TimesNewRoman" w:hAnsi="TimesNewRoman"/>
              </w:rPr>
              <w:t xml:space="preserve"> di attivazione</w:t>
            </w:r>
            <w:r>
              <w:rPr>
                <w:rFonts w:ascii="TimesNewRoman" w:hAnsi="TimesNewRoman"/>
              </w:rPr>
              <w:t xml:space="preserve"> + </w:t>
            </w:r>
            <w:proofErr w:type="spellStart"/>
            <w:r>
              <w:rPr>
                <w:rFonts w:ascii="TimesNewRoman" w:hAnsi="TimesNewRoman"/>
              </w:rPr>
              <w:t>*canone</w:t>
            </w:r>
            <w:proofErr w:type="spellEnd"/>
            <w:r>
              <w:rPr>
                <w:rFonts w:ascii="TimesNewRoman" w:hAnsi="TimesNewRoman"/>
              </w:rPr>
              <w:t xml:space="preserve"> annuo;</w:t>
            </w:r>
          </w:p>
          <w:p w:rsidR="00B9447A" w:rsidRDefault="00B9447A" w:rsidP="00BA0244">
            <w:pPr>
              <w:ind w:left="360" w:right="-143"/>
              <w:jc w:val="both"/>
              <w:rPr>
                <w:rFonts w:ascii="TimesNewRoman" w:hAnsi="TimesNewRoman"/>
              </w:rPr>
            </w:pPr>
          </w:p>
          <w:p w:rsidR="00B9447A" w:rsidRDefault="00B9447A" w:rsidP="00B9447A">
            <w:pPr>
              <w:numPr>
                <w:ilvl w:val="0"/>
                <w:numId w:val="1"/>
              </w:numPr>
              <w:tabs>
                <w:tab w:val="left" w:pos="317"/>
              </w:tabs>
              <w:ind w:left="33" w:right="-143" w:firstLine="0"/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5 punti a chi offre il seguente costo:</w:t>
            </w:r>
          </w:p>
          <w:p w:rsidR="00B9447A" w:rsidRDefault="00B9447A" w:rsidP="00BA0244">
            <w:pPr>
              <w:ind w:left="317" w:right="-143"/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 xml:space="preserve">da € 100,00 fino ad un costo </w:t>
            </w:r>
          </w:p>
          <w:p w:rsidR="00B9447A" w:rsidRDefault="00B9447A" w:rsidP="00BA0244">
            <w:pPr>
              <w:ind w:left="317" w:right="-143"/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 xml:space="preserve">massimo di €150 </w:t>
            </w:r>
            <w:r w:rsidRPr="00D61267">
              <w:rPr>
                <w:rFonts w:ascii="TimesNewRoman" w:hAnsi="TimesNewRoman"/>
              </w:rPr>
              <w:t>complessivo di costo</w:t>
            </w:r>
          </w:p>
          <w:p w:rsidR="00B9447A" w:rsidRPr="009455FD" w:rsidRDefault="00B9447A" w:rsidP="00BA0244">
            <w:pPr>
              <w:ind w:left="317" w:right="-143"/>
              <w:jc w:val="both"/>
              <w:rPr>
                <w:rFonts w:ascii="TimesNewRoman" w:hAnsi="TimesNewRoman"/>
              </w:rPr>
            </w:pPr>
            <w:r w:rsidRPr="00D61267">
              <w:rPr>
                <w:rFonts w:ascii="TimesNewRoman" w:hAnsi="TimesNewRoman"/>
              </w:rPr>
              <w:t xml:space="preserve"> di attivazione</w:t>
            </w:r>
            <w:r>
              <w:rPr>
                <w:rFonts w:ascii="TimesNewRoman" w:hAnsi="TimesNewRoman"/>
              </w:rPr>
              <w:t xml:space="preserve"> + </w:t>
            </w:r>
            <w:proofErr w:type="spellStart"/>
            <w:r>
              <w:rPr>
                <w:rFonts w:ascii="TimesNewRoman" w:hAnsi="TimesNewRoman"/>
              </w:rPr>
              <w:t>*canone</w:t>
            </w:r>
            <w:proofErr w:type="spellEnd"/>
            <w:r>
              <w:rPr>
                <w:rFonts w:ascii="TimesNewRoman" w:hAnsi="TimesNewRoman"/>
              </w:rPr>
              <w:t xml:space="preserve"> annuo</w:t>
            </w:r>
            <w:r w:rsidRPr="006D6766">
              <w:rPr>
                <w:rFonts w:ascii="TimesNewRoman" w:hAnsi="TimesNewRoman"/>
                <w:color w:val="000000"/>
              </w:rPr>
              <w:t xml:space="preserve"> </w:t>
            </w:r>
          </w:p>
          <w:p w:rsidR="00B9447A" w:rsidRDefault="00B9447A" w:rsidP="00B9447A">
            <w:pPr>
              <w:numPr>
                <w:ilvl w:val="0"/>
                <w:numId w:val="1"/>
              </w:numPr>
              <w:tabs>
                <w:tab w:val="left" w:pos="317"/>
              </w:tabs>
              <w:ind w:left="317" w:right="-143" w:hanging="284"/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0 punti a chi offre il seguente costo:</w:t>
            </w:r>
          </w:p>
          <w:p w:rsidR="00B9447A" w:rsidRDefault="00B9447A" w:rsidP="00BA0244">
            <w:pPr>
              <w:ind w:left="317" w:right="-143"/>
              <w:jc w:val="both"/>
              <w:rPr>
                <w:rFonts w:ascii="TimesNewRoman" w:hAnsi="TimesNewRoman"/>
              </w:rPr>
            </w:pPr>
            <w:r w:rsidRPr="00B514D0">
              <w:rPr>
                <w:rFonts w:ascii="TimesNewRoman" w:hAnsi="TimesNewRoman"/>
              </w:rPr>
              <w:t xml:space="preserve"> oltre </w:t>
            </w:r>
            <w:r>
              <w:rPr>
                <w:rFonts w:ascii="TimesNewRoman" w:hAnsi="TimesNewRoman"/>
              </w:rPr>
              <w:t xml:space="preserve">€ 150 </w:t>
            </w:r>
            <w:r w:rsidRPr="00D61267">
              <w:rPr>
                <w:rFonts w:ascii="TimesNewRoman" w:hAnsi="TimesNewRoman"/>
              </w:rPr>
              <w:t>complessivo di costo</w:t>
            </w:r>
          </w:p>
          <w:p w:rsidR="00B9447A" w:rsidRPr="009455FD" w:rsidRDefault="00B9447A" w:rsidP="00BA0244">
            <w:pPr>
              <w:ind w:left="317" w:right="-143"/>
              <w:jc w:val="both"/>
              <w:rPr>
                <w:rFonts w:ascii="TimesNewRoman" w:hAnsi="TimesNewRoman"/>
              </w:rPr>
            </w:pPr>
            <w:r w:rsidRPr="00D61267">
              <w:rPr>
                <w:rFonts w:ascii="TimesNewRoman" w:hAnsi="TimesNewRoman"/>
              </w:rPr>
              <w:t xml:space="preserve"> di attivazione</w:t>
            </w:r>
            <w:r>
              <w:rPr>
                <w:rFonts w:ascii="TimesNewRoman" w:hAnsi="TimesNewRoman"/>
              </w:rPr>
              <w:t xml:space="preserve"> + </w:t>
            </w:r>
            <w:proofErr w:type="spellStart"/>
            <w:r>
              <w:rPr>
                <w:rFonts w:ascii="TimesNewRoman" w:hAnsi="TimesNewRoman"/>
              </w:rPr>
              <w:t>*canone</w:t>
            </w:r>
            <w:proofErr w:type="spellEnd"/>
            <w:r>
              <w:rPr>
                <w:rFonts w:ascii="TimesNewRoman" w:hAnsi="TimesNewRoman"/>
              </w:rPr>
              <w:t xml:space="preserve"> annuo</w:t>
            </w:r>
            <w:r w:rsidRPr="006D6766">
              <w:rPr>
                <w:rFonts w:ascii="TimesNewRoman" w:hAnsi="TimesNewRoman"/>
                <w:color w:val="000000"/>
              </w:rPr>
              <w:t xml:space="preserve"> </w:t>
            </w:r>
          </w:p>
          <w:p w:rsidR="00B9447A" w:rsidRPr="00B514D0" w:rsidRDefault="00B9447A" w:rsidP="00BA0244">
            <w:pPr>
              <w:tabs>
                <w:tab w:val="left" w:pos="317"/>
              </w:tabs>
              <w:ind w:left="33" w:right="-143"/>
              <w:jc w:val="both"/>
              <w:rPr>
                <w:rFonts w:ascii="TimesNewRoman" w:hAnsi="TimesNewRoman"/>
              </w:rPr>
            </w:pPr>
          </w:p>
          <w:p w:rsidR="00B9447A" w:rsidRPr="00B514D0" w:rsidRDefault="00B9447A" w:rsidP="00BA0244">
            <w:pPr>
              <w:ind w:left="360" w:right="-143"/>
              <w:jc w:val="both"/>
              <w:rPr>
                <w:rFonts w:ascii="TimesNewRoman" w:hAnsi="TimesNewRoman"/>
                <w:color w:val="000000"/>
              </w:rPr>
            </w:pPr>
          </w:p>
          <w:p w:rsidR="00B9447A" w:rsidRPr="00A67C35" w:rsidRDefault="00B9447A" w:rsidP="00BA0244">
            <w:pPr>
              <w:ind w:left="360" w:right="-143"/>
              <w:jc w:val="both"/>
              <w:rPr>
                <w:rFonts w:ascii="TimesNewRoman" w:hAnsi="TimesNewRoman"/>
              </w:rPr>
            </w:pPr>
            <w:proofErr w:type="spellStart"/>
            <w:r w:rsidRPr="00A67C35">
              <w:rPr>
                <w:rFonts w:ascii="TimesNewRoman" w:hAnsi="TimesNewRoman"/>
              </w:rPr>
              <w:t>*canone</w:t>
            </w:r>
            <w:proofErr w:type="spellEnd"/>
            <w:r w:rsidRPr="00A67C35">
              <w:rPr>
                <w:rFonts w:ascii="TimesNewRoman" w:hAnsi="TimesNewRoman"/>
              </w:rPr>
              <w:t xml:space="preserve"> annuale </w:t>
            </w:r>
            <w:proofErr w:type="spellStart"/>
            <w:r w:rsidRPr="00A67C35">
              <w:rPr>
                <w:rFonts w:ascii="TimesNewRoman" w:hAnsi="TimesNewRoman"/>
              </w:rPr>
              <w:t>=canone</w:t>
            </w:r>
            <w:proofErr w:type="spellEnd"/>
            <w:r w:rsidRPr="00A67C35">
              <w:rPr>
                <w:rFonts w:ascii="TimesNewRoman" w:hAnsi="TimesNewRoman"/>
              </w:rPr>
              <w:t xml:space="preserve"> mensile </w:t>
            </w:r>
          </w:p>
          <w:p w:rsidR="00B9447A" w:rsidRPr="00D61267" w:rsidRDefault="00B9447A" w:rsidP="00BA0244">
            <w:pPr>
              <w:ind w:right="-143"/>
              <w:jc w:val="both"/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</w:rPr>
              <w:t xml:space="preserve">      </w:t>
            </w:r>
            <w:r w:rsidRPr="00A67C35">
              <w:rPr>
                <w:rFonts w:ascii="TimesNewRoman" w:hAnsi="TimesNewRoman"/>
              </w:rPr>
              <w:t>+ commissione per singole operazioni</w:t>
            </w:r>
          </w:p>
          <w:p w:rsidR="00B9447A" w:rsidRPr="0012705C" w:rsidRDefault="00B9447A" w:rsidP="00BA0244">
            <w:pPr>
              <w:ind w:left="360" w:right="-143"/>
              <w:jc w:val="both"/>
              <w:rPr>
                <w:rFonts w:ascii="TimesNewRoman" w:hAnsi="TimesNewRoman"/>
                <w:color w:val="000000"/>
              </w:rPr>
            </w:pPr>
          </w:p>
        </w:tc>
      </w:tr>
      <w:tr w:rsidR="00B9447A" w:rsidRPr="0012705C" w:rsidTr="00B9447A">
        <w:tc>
          <w:tcPr>
            <w:tcW w:w="392" w:type="dxa"/>
          </w:tcPr>
          <w:p w:rsidR="00B9447A" w:rsidRPr="0012705C" w:rsidRDefault="00B9447A" w:rsidP="00BA0244">
            <w:pPr>
              <w:ind w:right="-143"/>
              <w:jc w:val="both"/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A</w:t>
            </w:r>
            <w:r w:rsidRPr="0012705C">
              <w:rPr>
                <w:rFonts w:ascii="TimesNewRoman" w:hAnsi="TimesNewRoman"/>
                <w:color w:val="000000"/>
              </w:rPr>
              <w:t>2</w:t>
            </w:r>
          </w:p>
        </w:tc>
        <w:tc>
          <w:tcPr>
            <w:tcW w:w="4961" w:type="dxa"/>
          </w:tcPr>
          <w:p w:rsidR="00B9447A" w:rsidRDefault="00B9447A" w:rsidP="00BA0244">
            <w:pPr>
              <w:ind w:right="-143"/>
              <w:jc w:val="both"/>
              <w:rPr>
                <w:rFonts w:ascii="TimesNewRoman" w:hAnsi="TimesNewRoman"/>
                <w:color w:val="000000"/>
              </w:rPr>
            </w:pPr>
            <w:r w:rsidRPr="0012705C">
              <w:rPr>
                <w:rFonts w:ascii="TimesNewRoman" w:hAnsi="TimesNewRoman"/>
              </w:rPr>
              <w:t>Po</w:t>
            </w:r>
            <w:r w:rsidRPr="0012705C">
              <w:rPr>
                <w:rFonts w:ascii="TimesNewRoman" w:hAnsi="TimesNewRoman"/>
                <w:color w:val="000000"/>
              </w:rPr>
              <w:t>ssesso di uno sportello/agenzia</w:t>
            </w:r>
          </w:p>
          <w:p w:rsidR="00B9447A" w:rsidRDefault="00B9447A" w:rsidP="00BA0244">
            <w:pPr>
              <w:ind w:right="-143"/>
              <w:jc w:val="both"/>
              <w:rPr>
                <w:rFonts w:ascii="TimesNewRoman" w:hAnsi="TimesNewRoman"/>
                <w:color w:val="000000"/>
              </w:rPr>
            </w:pPr>
            <w:r w:rsidRPr="0012705C">
              <w:rPr>
                <w:rFonts w:ascii="TimesNewRoman" w:hAnsi="TimesNewRoman"/>
                <w:color w:val="000000"/>
              </w:rPr>
              <w:t>in un raggio di km. 30 in linea d’aria dalla</w:t>
            </w:r>
          </w:p>
          <w:p w:rsidR="00B9447A" w:rsidRDefault="00B9447A" w:rsidP="00BA0244">
            <w:pPr>
              <w:ind w:right="-143"/>
              <w:jc w:val="both"/>
              <w:rPr>
                <w:rFonts w:ascii="TimesNewRoman" w:hAnsi="TimesNewRoman"/>
                <w:color w:val="000000"/>
              </w:rPr>
            </w:pPr>
            <w:r w:rsidRPr="0012705C">
              <w:rPr>
                <w:rFonts w:ascii="TimesNewRoman" w:hAnsi="TimesNewRoman"/>
                <w:color w:val="000000"/>
              </w:rPr>
              <w:t xml:space="preserve">sede municipale ovvero </w:t>
            </w:r>
          </w:p>
          <w:p w:rsidR="00B9447A" w:rsidRDefault="00B9447A" w:rsidP="00BA0244">
            <w:pPr>
              <w:ind w:right="-143"/>
              <w:jc w:val="both"/>
              <w:rPr>
                <w:rFonts w:ascii="TimesNewRoman" w:hAnsi="TimesNewRoman"/>
                <w:color w:val="000000"/>
              </w:rPr>
            </w:pPr>
            <w:r w:rsidRPr="0012705C">
              <w:rPr>
                <w:rFonts w:ascii="TimesNewRoman" w:hAnsi="TimesNewRoman"/>
                <w:color w:val="000000"/>
              </w:rPr>
              <w:t>si impegna ad aprirlo entro tre mes</w:t>
            </w:r>
            <w:r>
              <w:rPr>
                <w:rFonts w:ascii="TimesNewRoman" w:hAnsi="TimesNewRoman"/>
                <w:color w:val="000000"/>
              </w:rPr>
              <w:t>i</w:t>
            </w:r>
            <w:r w:rsidRPr="0012705C">
              <w:rPr>
                <w:rFonts w:ascii="TimesNewRoman" w:hAnsi="TimesNewRoman"/>
                <w:color w:val="000000"/>
              </w:rPr>
              <w:t xml:space="preserve"> dalla</w:t>
            </w:r>
          </w:p>
          <w:p w:rsidR="00B9447A" w:rsidRPr="00D77A4B" w:rsidRDefault="00B9447A" w:rsidP="00BA0244">
            <w:pPr>
              <w:ind w:right="-143"/>
              <w:jc w:val="both"/>
              <w:rPr>
                <w:rFonts w:ascii="TimesNewRoman" w:hAnsi="TimesNewRoman"/>
                <w:color w:val="000000"/>
              </w:rPr>
            </w:pPr>
            <w:r w:rsidRPr="0012705C">
              <w:rPr>
                <w:rFonts w:ascii="TimesNewRoman" w:hAnsi="TimesNewRoman"/>
                <w:color w:val="000000"/>
              </w:rPr>
              <w:t xml:space="preserve"> data di inizio del servizio;</w:t>
            </w:r>
          </w:p>
        </w:tc>
        <w:tc>
          <w:tcPr>
            <w:tcW w:w="851" w:type="dxa"/>
          </w:tcPr>
          <w:p w:rsidR="00B9447A" w:rsidRPr="0012705C" w:rsidRDefault="00B9447A" w:rsidP="00BA0244">
            <w:pPr>
              <w:ind w:right="-143"/>
              <w:jc w:val="both"/>
              <w:rPr>
                <w:rFonts w:ascii="TimesNewRoman" w:hAnsi="TimesNewRoman"/>
                <w:color w:val="000000"/>
              </w:rPr>
            </w:pPr>
            <w:r w:rsidRPr="0012705C">
              <w:rPr>
                <w:rFonts w:ascii="TimesNewRoman" w:hAnsi="TimesNewRoman"/>
                <w:color w:val="000000"/>
              </w:rPr>
              <w:t>50</w:t>
            </w:r>
          </w:p>
        </w:tc>
        <w:tc>
          <w:tcPr>
            <w:tcW w:w="4819" w:type="dxa"/>
          </w:tcPr>
          <w:p w:rsidR="00B9447A" w:rsidRDefault="00B9447A" w:rsidP="00B9447A">
            <w:pPr>
              <w:numPr>
                <w:ilvl w:val="0"/>
                <w:numId w:val="1"/>
              </w:numPr>
              <w:ind w:left="175" w:right="-143" w:hanging="218"/>
              <w:rPr>
                <w:rFonts w:ascii="TimesNewRoman" w:hAnsi="TimesNewRoman"/>
                <w:color w:val="000000"/>
              </w:rPr>
            </w:pPr>
            <w:r w:rsidRPr="0012705C">
              <w:rPr>
                <w:rFonts w:ascii="TimesNewRoman" w:hAnsi="TimesNewRoman"/>
                <w:color w:val="000000"/>
              </w:rPr>
              <w:t>50 punti vengono attribuiti alla Banca che</w:t>
            </w:r>
          </w:p>
          <w:p w:rsidR="00B9447A" w:rsidRDefault="00B9447A" w:rsidP="00BA0244">
            <w:pPr>
              <w:ind w:left="317" w:right="-143"/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h</w:t>
            </w:r>
            <w:r w:rsidRPr="0012705C">
              <w:rPr>
                <w:rFonts w:ascii="TimesNewRoman" w:hAnsi="TimesNewRoman"/>
                <w:color w:val="000000"/>
              </w:rPr>
              <w:t>a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 w:rsidRPr="0012705C">
              <w:rPr>
                <w:rFonts w:ascii="TimesNewRoman" w:hAnsi="TimesNewRoman"/>
                <w:color w:val="000000"/>
              </w:rPr>
              <w:t>uno sportello/agenzia ovvero</w:t>
            </w:r>
          </w:p>
          <w:p w:rsidR="00B9447A" w:rsidRDefault="00B9447A" w:rsidP="00BA0244">
            <w:pPr>
              <w:ind w:left="317" w:right="-143"/>
              <w:rPr>
                <w:rFonts w:ascii="TimesNewRoman" w:hAnsi="TimesNewRoman"/>
                <w:color w:val="000000"/>
              </w:rPr>
            </w:pPr>
            <w:r w:rsidRPr="0012705C">
              <w:rPr>
                <w:rFonts w:ascii="TimesNewRoman" w:hAnsi="TimesNewRoman"/>
                <w:color w:val="000000"/>
              </w:rPr>
              <w:t xml:space="preserve"> si impegna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 w:rsidRPr="0012705C">
              <w:rPr>
                <w:rFonts w:ascii="TimesNewRoman" w:hAnsi="TimesNewRoman"/>
                <w:color w:val="000000"/>
              </w:rPr>
              <w:t xml:space="preserve">ad aprirlo entro 3 mesi </w:t>
            </w:r>
          </w:p>
          <w:p w:rsidR="00B9447A" w:rsidRDefault="00B9447A" w:rsidP="00BA0244">
            <w:pPr>
              <w:ind w:left="317" w:right="-143"/>
              <w:rPr>
                <w:rFonts w:ascii="TimesNewRoman" w:hAnsi="TimesNewRoman"/>
                <w:color w:val="000000"/>
              </w:rPr>
            </w:pPr>
            <w:r w:rsidRPr="0012705C">
              <w:rPr>
                <w:rFonts w:ascii="TimesNewRoman" w:hAnsi="TimesNewRoman"/>
                <w:color w:val="000000"/>
              </w:rPr>
              <w:t>dalla data di inizio del servizio,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 w:rsidRPr="0012705C">
              <w:rPr>
                <w:rFonts w:ascii="TimesNewRoman" w:hAnsi="TimesNewRoman"/>
                <w:color w:val="000000"/>
              </w:rPr>
              <w:t>che dista meno km dalla sede comunale, nel limite  massimo di 30 km.</w:t>
            </w:r>
          </w:p>
          <w:p w:rsidR="00B9447A" w:rsidRPr="0012705C" w:rsidRDefault="00B9447A" w:rsidP="00BA0244">
            <w:pPr>
              <w:ind w:right="-143"/>
              <w:jc w:val="both"/>
              <w:rPr>
                <w:rFonts w:ascii="TimesNewRoman" w:hAnsi="TimesNewRoman"/>
                <w:color w:val="000000"/>
              </w:rPr>
            </w:pPr>
          </w:p>
          <w:p w:rsidR="00B9447A" w:rsidRDefault="00B9447A" w:rsidP="00B9447A">
            <w:pPr>
              <w:numPr>
                <w:ilvl w:val="0"/>
                <w:numId w:val="1"/>
              </w:numPr>
              <w:ind w:left="175" w:right="-143" w:hanging="175"/>
              <w:jc w:val="both"/>
              <w:rPr>
                <w:rFonts w:ascii="TimesNewRoman" w:hAnsi="TimesNewRoman"/>
                <w:color w:val="000000"/>
              </w:rPr>
            </w:pPr>
            <w:r w:rsidRPr="0012705C">
              <w:rPr>
                <w:rFonts w:ascii="TimesNewRoman" w:hAnsi="TimesNewRoman"/>
                <w:color w:val="000000"/>
              </w:rPr>
              <w:t>Gli altri punteggi vengono attribuiti secondo</w:t>
            </w:r>
          </w:p>
          <w:p w:rsidR="00B9447A" w:rsidRDefault="00B9447A" w:rsidP="00BA0244">
            <w:pPr>
              <w:ind w:right="-143"/>
              <w:jc w:val="both"/>
              <w:rPr>
                <w:rFonts w:ascii="TimesNewRoman" w:hAnsi="TimesNewRoman"/>
                <w:color w:val="000000"/>
              </w:rPr>
            </w:pPr>
            <w:r w:rsidRPr="0012705C">
              <w:rPr>
                <w:rFonts w:ascii="TimesNewRoman" w:hAnsi="TimesNewRoman"/>
                <w:color w:val="000000"/>
              </w:rPr>
              <w:t xml:space="preserve"> la seguente formula:</w:t>
            </w:r>
          </w:p>
          <w:p w:rsidR="00B9447A" w:rsidRPr="0012705C" w:rsidRDefault="00B9447A" w:rsidP="00BA0244">
            <w:pPr>
              <w:ind w:right="-143"/>
              <w:jc w:val="both"/>
              <w:rPr>
                <w:rFonts w:ascii="TimesNewRoman" w:hAnsi="TimesNewRoman"/>
                <w:color w:val="000000"/>
              </w:rPr>
            </w:pPr>
          </w:p>
          <w:p w:rsidR="00B9447A" w:rsidRDefault="00B9447A" w:rsidP="00BA0244">
            <w:pPr>
              <w:ind w:right="-143"/>
              <w:jc w:val="both"/>
              <w:rPr>
                <w:rFonts w:ascii="TimesNewRoman" w:hAnsi="TimesNewRoman"/>
                <w:color w:val="000000"/>
              </w:rPr>
            </w:pPr>
            <w:r w:rsidRPr="0012705C">
              <w:rPr>
                <w:rFonts w:ascii="TimesNewRoman" w:hAnsi="TimesNewRoman"/>
                <w:b/>
                <w:color w:val="000000"/>
              </w:rPr>
              <w:t>km di distanza della banca offerente</w:t>
            </w:r>
            <w:r w:rsidRPr="0012705C">
              <w:rPr>
                <w:rFonts w:ascii="TimesNewRoman" w:hAnsi="TimesNewRoman"/>
                <w:color w:val="000000"/>
              </w:rPr>
              <w:t xml:space="preserve"> x</w:t>
            </w:r>
          </w:p>
          <w:p w:rsidR="00B9447A" w:rsidRDefault="00B9447A" w:rsidP="00BA0244">
            <w:pPr>
              <w:ind w:right="-143"/>
              <w:jc w:val="both"/>
              <w:rPr>
                <w:rFonts w:ascii="TimesNewRoman" w:hAnsi="TimesNewRoman"/>
                <w:color w:val="000000"/>
              </w:rPr>
            </w:pPr>
            <w:r w:rsidRPr="0012705C">
              <w:rPr>
                <w:rFonts w:ascii="TimesNewRoman" w:hAnsi="TimesNewRoman"/>
                <w:color w:val="000000"/>
              </w:rPr>
              <w:t xml:space="preserve"> il punteggio massimo ( </w:t>
            </w:r>
            <w:r w:rsidRPr="0012705C">
              <w:rPr>
                <w:rFonts w:ascii="TimesNewRoman" w:hAnsi="TimesNewRoman"/>
                <w:b/>
                <w:color w:val="000000"/>
              </w:rPr>
              <w:t>50</w:t>
            </w:r>
            <w:r>
              <w:rPr>
                <w:rFonts w:ascii="TimesNewRoman" w:hAnsi="TimesNewRoman"/>
                <w:color w:val="000000"/>
              </w:rPr>
              <w:t xml:space="preserve">) </w:t>
            </w:r>
          </w:p>
          <w:p w:rsidR="00B9447A" w:rsidRDefault="00B9447A" w:rsidP="00BA0244">
            <w:pPr>
              <w:ind w:right="-143"/>
              <w:jc w:val="both"/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_____________________________________</w:t>
            </w:r>
          </w:p>
          <w:p w:rsidR="00B9447A" w:rsidRDefault="00B9447A" w:rsidP="00BA0244">
            <w:pPr>
              <w:ind w:right="-143"/>
              <w:jc w:val="both"/>
              <w:rPr>
                <w:rFonts w:ascii="TimesNewRoman" w:hAnsi="TimesNewRoman"/>
                <w:b/>
                <w:color w:val="000000"/>
              </w:rPr>
            </w:pPr>
            <w:r w:rsidRPr="0012705C">
              <w:rPr>
                <w:rFonts w:ascii="TimesNewRoman" w:hAnsi="TimesNewRoman"/>
                <w:color w:val="000000"/>
              </w:rPr>
              <w:t xml:space="preserve"> </w:t>
            </w:r>
            <w:r w:rsidRPr="0012705C">
              <w:rPr>
                <w:rFonts w:ascii="TimesNewRoman" w:hAnsi="TimesNewRoman"/>
                <w:b/>
                <w:color w:val="000000"/>
              </w:rPr>
              <w:t xml:space="preserve">i km di distanza della Banca </w:t>
            </w:r>
          </w:p>
          <w:p w:rsidR="00B9447A" w:rsidRPr="00D77A4B" w:rsidRDefault="00B9447A" w:rsidP="00BA0244">
            <w:pPr>
              <w:ind w:right="-143"/>
              <w:jc w:val="both"/>
              <w:rPr>
                <w:rFonts w:ascii="TimesNewRoman" w:hAnsi="TimesNewRoman"/>
                <w:b/>
                <w:color w:val="000000"/>
              </w:rPr>
            </w:pPr>
            <w:r>
              <w:rPr>
                <w:rFonts w:ascii="TimesNewRoman" w:hAnsi="TimesNewRoman"/>
                <w:b/>
                <w:color w:val="000000"/>
              </w:rPr>
              <w:t xml:space="preserve">con sportello/agenzia </w:t>
            </w:r>
            <w:r w:rsidRPr="0012705C">
              <w:rPr>
                <w:rFonts w:ascii="TimesNewRoman" w:hAnsi="TimesNewRoman"/>
                <w:b/>
                <w:color w:val="000000"/>
              </w:rPr>
              <w:t>meno distante</w:t>
            </w:r>
            <w:r w:rsidRPr="0012705C">
              <w:rPr>
                <w:rFonts w:ascii="TimesNewRoman" w:hAnsi="TimesNewRoman"/>
                <w:color w:val="000000"/>
              </w:rPr>
              <w:t xml:space="preserve"> </w:t>
            </w:r>
          </w:p>
        </w:tc>
      </w:tr>
    </w:tbl>
    <w:p w:rsidR="00B9447A" w:rsidRPr="00C75ADA" w:rsidRDefault="00B9447A" w:rsidP="00B9447A"/>
    <w:p w:rsidR="00B9447A" w:rsidRDefault="00B9447A" w:rsidP="00B9447A">
      <w:pPr>
        <w:pStyle w:val="Titolo9"/>
        <w:ind w:right="-143"/>
      </w:pPr>
      <w:r>
        <w:t xml:space="preserve">B – ASPETTO ECONOMICO </w:t>
      </w:r>
      <w:proofErr w:type="spellStart"/>
      <w:r>
        <w:t>max</w:t>
      </w:r>
      <w:proofErr w:type="spellEnd"/>
      <w:r>
        <w:t xml:space="preserve"> 30 punti.</w:t>
      </w:r>
    </w:p>
    <w:p w:rsidR="00B9447A" w:rsidRPr="00851F42" w:rsidRDefault="00B9447A" w:rsidP="00B9447A">
      <w:pPr>
        <w:pStyle w:val="Titolo7"/>
        <w:ind w:right="-143"/>
        <w:jc w:val="both"/>
        <w:rPr>
          <w:b/>
          <w:szCs w:val="22"/>
          <w:u w:val="single"/>
        </w:rPr>
      </w:pPr>
      <w:r>
        <w:rPr>
          <w:b/>
          <w:szCs w:val="22"/>
          <w:u w:val="single"/>
        </w:rPr>
        <w:t>B</w:t>
      </w:r>
      <w:r w:rsidRPr="00851F42">
        <w:rPr>
          <w:b/>
          <w:szCs w:val="22"/>
          <w:u w:val="single"/>
        </w:rPr>
        <w:t xml:space="preserve"> – ASPETTO ECONOMICO </w:t>
      </w:r>
    </w:p>
    <w:p w:rsidR="00B9447A" w:rsidRDefault="00B9447A" w:rsidP="00B9447A">
      <w:pPr>
        <w:pStyle w:val="Titolo2"/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B1 - Tasso di interesse debitore sulle anticipazioni di tesoreria </w:t>
      </w:r>
    </w:p>
    <w:p w:rsidR="00B9447A" w:rsidRDefault="00B9447A" w:rsidP="00B9447A">
      <w:pPr>
        <w:ind w:left="480" w:right="-143"/>
        <w:jc w:val="both"/>
      </w:pPr>
      <w:r w:rsidRPr="00C75ADA">
        <w:t xml:space="preserve">L’offerta dovrà essere espressa in termini di </w:t>
      </w:r>
      <w:r w:rsidRPr="00C75ADA">
        <w:rPr>
          <w:i/>
          <w:iCs/>
        </w:rPr>
        <w:t xml:space="preserve">spread </w:t>
      </w:r>
      <w:r w:rsidRPr="00C75ADA">
        <w:t>di punti in aumento o in diminuzione, con riferimento al tasso Euribor 3 mesi, media mensile mese precedente, divisore fisso 360,  con capitalizzazione trimestrale, senza applicazione di alcuna commissione.</w:t>
      </w:r>
    </w:p>
    <w:p w:rsidR="00B9447A" w:rsidRDefault="00B9447A" w:rsidP="00B9447A">
      <w:pPr>
        <w:ind w:right="-143"/>
        <w:jc w:val="both"/>
      </w:pPr>
      <w:r>
        <w:rPr>
          <w:b/>
        </w:rPr>
        <w:t xml:space="preserve">B2  </w:t>
      </w:r>
      <w:r>
        <w:t xml:space="preserve">- </w:t>
      </w:r>
      <w:r>
        <w:rPr>
          <w:b/>
        </w:rPr>
        <w:t>Contributo annuale</w:t>
      </w:r>
      <w:r>
        <w:t>, da erogare da parte della banca al Comune, per le attività istituzionali dell’Ente.</w:t>
      </w:r>
    </w:p>
    <w:p w:rsidR="00B9447A" w:rsidRPr="00B57730" w:rsidRDefault="00B9447A" w:rsidP="00B9447A"/>
    <w:tbl>
      <w:tblPr>
        <w:tblpPr w:leftFromText="141" w:rightFromText="141" w:vertAnchor="text" w:horzAnchor="margin" w:tblpXSpec="center" w:tblpY="195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3544"/>
        <w:gridCol w:w="1701"/>
        <w:gridCol w:w="5528"/>
      </w:tblGrid>
      <w:tr w:rsidR="00B9447A" w:rsidRPr="00D224F9" w:rsidTr="00B9447A">
        <w:trPr>
          <w:trHeight w:val="795"/>
        </w:trPr>
        <w:tc>
          <w:tcPr>
            <w:tcW w:w="392" w:type="dxa"/>
          </w:tcPr>
          <w:p w:rsidR="00B9447A" w:rsidRPr="00D224F9" w:rsidRDefault="00B9447A" w:rsidP="00B9447A">
            <w:pPr>
              <w:ind w:right="-143"/>
              <w:jc w:val="both"/>
              <w:rPr>
                <w:rFonts w:ascii="TimesNewRoman" w:hAnsi="TimesNew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B9447A" w:rsidRDefault="00B9447A" w:rsidP="00B9447A">
            <w:pPr>
              <w:ind w:right="-143"/>
              <w:jc w:val="both"/>
              <w:rPr>
                <w:rFonts w:ascii="TimesNewRoman" w:hAnsi="TimesNewRoman"/>
                <w:b/>
                <w:color w:val="000000"/>
              </w:rPr>
            </w:pPr>
            <w:r w:rsidRPr="00D224F9">
              <w:rPr>
                <w:rFonts w:ascii="TimesNewRoman" w:hAnsi="TimesNewRoman"/>
                <w:b/>
                <w:color w:val="000000"/>
              </w:rPr>
              <w:t>Elementi di natura</w:t>
            </w:r>
          </w:p>
          <w:p w:rsidR="00B9447A" w:rsidRDefault="00B9447A" w:rsidP="00B9447A">
            <w:pPr>
              <w:ind w:right="-143"/>
              <w:jc w:val="both"/>
              <w:rPr>
                <w:rFonts w:ascii="TimesNewRoman" w:hAnsi="TimesNewRoman"/>
                <w:b/>
                <w:color w:val="000000"/>
              </w:rPr>
            </w:pPr>
            <w:r w:rsidRPr="00D224F9">
              <w:rPr>
                <w:rFonts w:ascii="TimesNewRoman" w:hAnsi="TimesNewRoman"/>
                <w:b/>
                <w:color w:val="000000"/>
              </w:rPr>
              <w:t xml:space="preserve"> quantitativa –Offerta</w:t>
            </w:r>
          </w:p>
          <w:p w:rsidR="00B9447A" w:rsidRPr="00D224F9" w:rsidRDefault="00B9447A" w:rsidP="00B9447A">
            <w:pPr>
              <w:ind w:right="-143"/>
              <w:jc w:val="both"/>
              <w:rPr>
                <w:rFonts w:ascii="TimesNewRoman" w:hAnsi="TimesNewRoman"/>
                <w:b/>
                <w:color w:val="000000"/>
              </w:rPr>
            </w:pPr>
            <w:r w:rsidRPr="00D224F9">
              <w:rPr>
                <w:rFonts w:ascii="TimesNewRoman" w:hAnsi="TimesNewRoman"/>
                <w:b/>
                <w:color w:val="000000"/>
              </w:rPr>
              <w:t xml:space="preserve"> </w:t>
            </w:r>
            <w:r>
              <w:rPr>
                <w:rFonts w:ascii="TimesNewRoman" w:hAnsi="TimesNewRoman"/>
                <w:b/>
                <w:color w:val="000000"/>
              </w:rPr>
              <w:t>economica</w:t>
            </w:r>
          </w:p>
        </w:tc>
        <w:tc>
          <w:tcPr>
            <w:tcW w:w="1701" w:type="dxa"/>
          </w:tcPr>
          <w:p w:rsidR="00B9447A" w:rsidRPr="00D224F9" w:rsidRDefault="00B9447A" w:rsidP="00B9447A">
            <w:pPr>
              <w:ind w:right="-143"/>
              <w:jc w:val="both"/>
              <w:rPr>
                <w:rFonts w:ascii="TimesNewRoman" w:hAnsi="TimesNewRoman"/>
                <w:b/>
                <w:color w:val="000000"/>
              </w:rPr>
            </w:pPr>
            <w:r w:rsidRPr="00D224F9">
              <w:rPr>
                <w:rFonts w:ascii="TimesNewRoman" w:hAnsi="TimesNewRoman"/>
                <w:b/>
                <w:color w:val="000000"/>
              </w:rPr>
              <w:t>Punteggio massimo</w:t>
            </w:r>
          </w:p>
        </w:tc>
        <w:tc>
          <w:tcPr>
            <w:tcW w:w="5528" w:type="dxa"/>
          </w:tcPr>
          <w:p w:rsidR="00B9447A" w:rsidRPr="00D224F9" w:rsidRDefault="00B9447A" w:rsidP="00B9447A">
            <w:pPr>
              <w:ind w:right="-143"/>
              <w:jc w:val="both"/>
              <w:rPr>
                <w:rFonts w:ascii="TimesNewRoman" w:hAnsi="TimesNewRoman"/>
                <w:b/>
                <w:color w:val="000000"/>
              </w:rPr>
            </w:pPr>
            <w:r w:rsidRPr="00D224F9">
              <w:rPr>
                <w:rFonts w:ascii="TimesNewRoman" w:hAnsi="TimesNewRoman"/>
                <w:b/>
                <w:color w:val="000000"/>
              </w:rPr>
              <w:t>Criterio di attribuzione del punteggio</w:t>
            </w:r>
          </w:p>
        </w:tc>
      </w:tr>
      <w:tr w:rsidR="00B9447A" w:rsidRPr="00D224F9" w:rsidTr="00B9447A">
        <w:tc>
          <w:tcPr>
            <w:tcW w:w="392" w:type="dxa"/>
          </w:tcPr>
          <w:p w:rsidR="00B9447A" w:rsidRPr="00D224F9" w:rsidRDefault="00B9447A" w:rsidP="00B9447A">
            <w:pPr>
              <w:ind w:right="-143"/>
              <w:jc w:val="both"/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B1</w:t>
            </w:r>
          </w:p>
        </w:tc>
        <w:tc>
          <w:tcPr>
            <w:tcW w:w="3544" w:type="dxa"/>
          </w:tcPr>
          <w:p w:rsidR="00B9447A" w:rsidRPr="00D224F9" w:rsidRDefault="00B9447A" w:rsidP="00B9447A">
            <w:pPr>
              <w:ind w:right="-143"/>
              <w:jc w:val="both"/>
              <w:rPr>
                <w:rFonts w:ascii="TimesNewRoman" w:hAnsi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/>
              </w:rPr>
              <w:t>tasso più vantaggioso per l’Ente</w:t>
            </w:r>
          </w:p>
        </w:tc>
        <w:tc>
          <w:tcPr>
            <w:tcW w:w="1701" w:type="dxa"/>
          </w:tcPr>
          <w:p w:rsidR="00B9447A" w:rsidRPr="00D224F9" w:rsidRDefault="00B9447A" w:rsidP="00B9447A">
            <w:pPr>
              <w:ind w:right="-143"/>
              <w:jc w:val="both"/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10</w:t>
            </w:r>
          </w:p>
        </w:tc>
        <w:tc>
          <w:tcPr>
            <w:tcW w:w="5528" w:type="dxa"/>
          </w:tcPr>
          <w:p w:rsidR="00B9447A" w:rsidRDefault="00B9447A" w:rsidP="00B9447A">
            <w:pPr>
              <w:numPr>
                <w:ilvl w:val="0"/>
                <w:numId w:val="1"/>
              </w:numPr>
              <w:ind w:left="175" w:right="-143" w:hanging="175"/>
              <w:jc w:val="both"/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 xml:space="preserve"> 10</w:t>
            </w:r>
            <w:r w:rsidRPr="00D224F9">
              <w:rPr>
                <w:rFonts w:ascii="TimesNewRoman" w:hAnsi="TimesNewRoman"/>
                <w:color w:val="000000"/>
              </w:rPr>
              <w:t xml:space="preserve"> punti vengono attribuiti alla Banca </w:t>
            </w:r>
          </w:p>
          <w:p w:rsidR="00B9447A" w:rsidRDefault="00B9447A" w:rsidP="00B9447A">
            <w:pPr>
              <w:ind w:right="-143"/>
              <w:jc w:val="both"/>
              <w:rPr>
                <w:rFonts w:ascii="TimesNewRoman" w:hAnsi="TimesNewRoman"/>
              </w:rPr>
            </w:pPr>
            <w:r w:rsidRPr="00D224F9">
              <w:rPr>
                <w:rFonts w:ascii="TimesNewRoman" w:hAnsi="TimesNewRoman"/>
                <w:color w:val="000000"/>
              </w:rPr>
              <w:t xml:space="preserve">che </w:t>
            </w:r>
            <w:r>
              <w:rPr>
                <w:rFonts w:ascii="TimesNewRoman" w:hAnsi="TimesNewRoman"/>
                <w:color w:val="000000"/>
              </w:rPr>
              <w:t xml:space="preserve">offre </w:t>
            </w:r>
            <w:r>
              <w:rPr>
                <w:rFonts w:ascii="TimesNewRoman" w:hAnsi="TimesNewRoman"/>
              </w:rPr>
              <w:t>un tasso più vantaggioso per l’Ente.</w:t>
            </w:r>
          </w:p>
          <w:p w:rsidR="00B9447A" w:rsidRPr="00AF29F6" w:rsidRDefault="00B9447A" w:rsidP="00B9447A">
            <w:pPr>
              <w:ind w:left="720" w:right="-143"/>
              <w:jc w:val="both"/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</w:rPr>
              <w:t xml:space="preserve"> </w:t>
            </w:r>
          </w:p>
          <w:p w:rsidR="00B61BB7" w:rsidRDefault="00B61BB7" w:rsidP="00B61BB7">
            <w:pPr>
              <w:numPr>
                <w:ilvl w:val="0"/>
                <w:numId w:val="1"/>
              </w:numPr>
              <w:ind w:left="317" w:right="-143" w:hanging="284"/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Alle altre offerte vengono attribuiti 5 punti.</w:t>
            </w:r>
          </w:p>
          <w:p w:rsidR="00B9447A" w:rsidRPr="00D224F9" w:rsidRDefault="00B9447A" w:rsidP="00B9447A">
            <w:pPr>
              <w:ind w:right="-143"/>
              <w:rPr>
                <w:rFonts w:ascii="TimesNewRoman" w:hAnsi="TimesNewRoman"/>
                <w:color w:val="000000"/>
              </w:rPr>
            </w:pPr>
          </w:p>
        </w:tc>
      </w:tr>
      <w:tr w:rsidR="00B9447A" w:rsidRPr="00D224F9" w:rsidTr="00B9447A">
        <w:tc>
          <w:tcPr>
            <w:tcW w:w="392" w:type="dxa"/>
          </w:tcPr>
          <w:p w:rsidR="00B9447A" w:rsidRPr="00D224F9" w:rsidRDefault="00B9447A" w:rsidP="00B9447A">
            <w:pPr>
              <w:ind w:right="-143"/>
              <w:jc w:val="both"/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B2</w:t>
            </w:r>
          </w:p>
        </w:tc>
        <w:tc>
          <w:tcPr>
            <w:tcW w:w="3544" w:type="dxa"/>
          </w:tcPr>
          <w:p w:rsidR="00B9447A" w:rsidRDefault="00B9447A" w:rsidP="00B9447A">
            <w:pPr>
              <w:ind w:right="-143"/>
              <w:jc w:val="both"/>
            </w:pPr>
            <w:r>
              <w:t xml:space="preserve">migliore offerta di contributo </w:t>
            </w:r>
          </w:p>
          <w:p w:rsidR="00B9447A" w:rsidRDefault="00B9447A" w:rsidP="00B9447A">
            <w:pPr>
              <w:ind w:right="-143"/>
              <w:jc w:val="both"/>
              <w:rPr>
                <w:rFonts w:ascii="TimesNewRoman" w:hAnsi="TimesNewRoman"/>
              </w:rPr>
            </w:pPr>
            <w:r>
              <w:t>annuale  per attività istituzionali</w:t>
            </w:r>
          </w:p>
        </w:tc>
        <w:tc>
          <w:tcPr>
            <w:tcW w:w="1701" w:type="dxa"/>
          </w:tcPr>
          <w:p w:rsidR="00B9447A" w:rsidRDefault="00B9447A" w:rsidP="00B9447A">
            <w:pPr>
              <w:ind w:right="-143"/>
              <w:jc w:val="both"/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20</w:t>
            </w:r>
          </w:p>
        </w:tc>
        <w:tc>
          <w:tcPr>
            <w:tcW w:w="5528" w:type="dxa"/>
          </w:tcPr>
          <w:p w:rsidR="00B9447A" w:rsidRDefault="00B9447A" w:rsidP="00B9447A">
            <w:pPr>
              <w:numPr>
                <w:ilvl w:val="0"/>
                <w:numId w:val="1"/>
              </w:numPr>
              <w:ind w:left="317" w:right="-143" w:hanging="284"/>
              <w:jc w:val="both"/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20 punti vengono attribuiti alla Banca che offre</w:t>
            </w:r>
          </w:p>
          <w:p w:rsidR="00B9447A" w:rsidRDefault="00B9447A" w:rsidP="00B9447A">
            <w:pPr>
              <w:ind w:right="-143"/>
              <w:jc w:val="both"/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 xml:space="preserve"> il contributo annuale più alto. </w:t>
            </w:r>
          </w:p>
          <w:p w:rsidR="00B9447A" w:rsidRDefault="00B9447A" w:rsidP="00B9447A">
            <w:pPr>
              <w:ind w:right="-143"/>
              <w:jc w:val="both"/>
              <w:rPr>
                <w:rFonts w:ascii="TimesNewRoman" w:hAnsi="TimesNewRoman"/>
                <w:color w:val="000000"/>
              </w:rPr>
            </w:pPr>
          </w:p>
          <w:p w:rsidR="00B9447A" w:rsidRDefault="00B9447A" w:rsidP="00B9447A">
            <w:pPr>
              <w:numPr>
                <w:ilvl w:val="0"/>
                <w:numId w:val="1"/>
              </w:numPr>
              <w:ind w:left="317" w:right="-143"/>
              <w:jc w:val="both"/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 xml:space="preserve">Le altre offerte </w:t>
            </w:r>
            <w:r w:rsidRPr="00AF29F6">
              <w:rPr>
                <w:rFonts w:ascii="TimesNewRoman" w:hAnsi="TimesNewRoman"/>
                <w:color w:val="000000"/>
              </w:rPr>
              <w:t xml:space="preserve">verranno valorizzate tramite </w:t>
            </w:r>
          </w:p>
          <w:p w:rsidR="00B9447A" w:rsidRPr="00AF29F6" w:rsidRDefault="00B9447A" w:rsidP="00B9447A">
            <w:pPr>
              <w:ind w:left="317" w:right="-143"/>
              <w:jc w:val="both"/>
              <w:rPr>
                <w:rFonts w:ascii="TimesNewRoman" w:hAnsi="TimesNewRoman"/>
                <w:color w:val="000000"/>
              </w:rPr>
            </w:pPr>
            <w:r w:rsidRPr="00AF29F6">
              <w:rPr>
                <w:rFonts w:ascii="TimesNewRoman" w:hAnsi="TimesNewRoman"/>
                <w:color w:val="000000"/>
              </w:rPr>
              <w:t>la formula che segue:</w:t>
            </w:r>
          </w:p>
          <w:p w:rsidR="00B9447A" w:rsidRDefault="00B9447A" w:rsidP="00B9447A">
            <w:pPr>
              <w:ind w:right="-143"/>
              <w:jc w:val="both"/>
              <w:rPr>
                <w:rFonts w:ascii="TimesNewRoman" w:hAnsi="TimesNewRoman"/>
                <w:color w:val="000000"/>
              </w:rPr>
            </w:pPr>
          </w:p>
          <w:p w:rsidR="00B9447A" w:rsidRDefault="00B9447A" w:rsidP="00B9447A">
            <w:pPr>
              <w:ind w:right="-143"/>
              <w:jc w:val="both"/>
              <w:rPr>
                <w:rFonts w:ascii="TimesNewRoman" w:hAnsi="TimesNewRoman"/>
                <w:color w:val="000000"/>
              </w:rPr>
            </w:pPr>
            <w:r w:rsidRPr="00B03BE1">
              <w:rPr>
                <w:rFonts w:ascii="TimesNewRoman" w:hAnsi="TimesNewRoman"/>
                <w:b/>
                <w:color w:val="000000"/>
              </w:rPr>
              <w:t>contributo della Banca offerente</w:t>
            </w:r>
            <w:r>
              <w:rPr>
                <w:rFonts w:ascii="TimesNewRoman" w:hAnsi="TimesNewRoman"/>
                <w:color w:val="000000"/>
              </w:rPr>
              <w:t xml:space="preserve"> x il punteggio </w:t>
            </w:r>
          </w:p>
          <w:p w:rsidR="00B9447A" w:rsidRDefault="00B9447A" w:rsidP="00B9447A">
            <w:pPr>
              <w:pBdr>
                <w:bottom w:val="single" w:sz="12" w:space="1" w:color="auto"/>
              </w:pBdr>
              <w:ind w:right="-143"/>
              <w:jc w:val="both"/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 xml:space="preserve">massimo ( </w:t>
            </w:r>
            <w:r>
              <w:rPr>
                <w:rFonts w:ascii="TimesNewRoman" w:hAnsi="TimesNewRoman"/>
                <w:b/>
                <w:color w:val="000000"/>
              </w:rPr>
              <w:t>20</w:t>
            </w:r>
            <w:r>
              <w:rPr>
                <w:rFonts w:ascii="TimesNewRoman" w:hAnsi="TimesNewRoman"/>
                <w:color w:val="000000"/>
              </w:rPr>
              <w:t xml:space="preserve">) </w:t>
            </w:r>
          </w:p>
          <w:p w:rsidR="00B9447A" w:rsidRDefault="00B9447A" w:rsidP="00B9447A">
            <w:pPr>
              <w:ind w:right="-143"/>
              <w:jc w:val="both"/>
              <w:rPr>
                <w:rFonts w:ascii="TimesNewRoman" w:hAnsi="TimesNewRoman"/>
                <w:color w:val="000000"/>
              </w:rPr>
            </w:pPr>
          </w:p>
          <w:p w:rsidR="00B9447A" w:rsidRDefault="00B9447A" w:rsidP="00B9447A">
            <w:pPr>
              <w:ind w:right="-143"/>
              <w:jc w:val="both"/>
              <w:rPr>
                <w:rFonts w:ascii="TimesNewRoman" w:hAnsi="TimesNewRoman"/>
                <w:b/>
                <w:color w:val="000000"/>
              </w:rPr>
            </w:pPr>
            <w:r>
              <w:rPr>
                <w:rFonts w:ascii="TimesNewRoman" w:hAnsi="TimesNewRoman"/>
                <w:b/>
                <w:color w:val="000000"/>
              </w:rPr>
              <w:t xml:space="preserve">il contributo </w:t>
            </w:r>
            <w:r w:rsidRPr="00B03BE1">
              <w:rPr>
                <w:rFonts w:ascii="TimesNewRoman" w:hAnsi="TimesNewRoman"/>
                <w:b/>
                <w:color w:val="000000"/>
              </w:rPr>
              <w:t>offerto dalla Banca che ha ottenuto</w:t>
            </w:r>
          </w:p>
          <w:p w:rsidR="00B9447A" w:rsidRDefault="00B9447A" w:rsidP="00B9447A">
            <w:pPr>
              <w:ind w:right="-143"/>
              <w:jc w:val="both"/>
              <w:rPr>
                <w:rFonts w:ascii="TimesNewRoman" w:hAnsi="TimesNewRoman"/>
                <w:color w:val="000000"/>
              </w:rPr>
            </w:pPr>
            <w:r w:rsidRPr="00B03BE1">
              <w:rPr>
                <w:rFonts w:ascii="TimesNewRoman" w:hAnsi="TimesNewRoman"/>
                <w:b/>
                <w:color w:val="000000"/>
              </w:rPr>
              <w:t>il punteggio massimo</w:t>
            </w:r>
            <w:r>
              <w:rPr>
                <w:rFonts w:ascii="TimesNewRoman" w:hAnsi="TimesNewRoman"/>
                <w:color w:val="000000"/>
              </w:rPr>
              <w:t>.</w:t>
            </w:r>
          </w:p>
          <w:p w:rsidR="00B9447A" w:rsidRDefault="00B9447A" w:rsidP="00B9447A">
            <w:pPr>
              <w:ind w:right="-143"/>
              <w:jc w:val="both"/>
              <w:rPr>
                <w:rFonts w:ascii="TimesNewRoman" w:hAnsi="TimesNewRoman"/>
                <w:color w:val="000000"/>
              </w:rPr>
            </w:pPr>
          </w:p>
          <w:p w:rsidR="00B9447A" w:rsidRDefault="00B9447A" w:rsidP="00B9447A">
            <w:pPr>
              <w:ind w:right="-143"/>
              <w:jc w:val="both"/>
              <w:rPr>
                <w:rFonts w:ascii="TimesNewRoman" w:hAnsi="TimesNewRoman"/>
                <w:color w:val="000000"/>
              </w:rPr>
            </w:pPr>
          </w:p>
          <w:p w:rsidR="00B9447A" w:rsidRDefault="00B9447A" w:rsidP="00B9447A">
            <w:pPr>
              <w:ind w:right="-143"/>
              <w:jc w:val="both"/>
              <w:rPr>
                <w:rFonts w:ascii="TimesNewRoman" w:hAnsi="TimesNewRoman"/>
                <w:color w:val="000000"/>
              </w:rPr>
            </w:pPr>
          </w:p>
        </w:tc>
      </w:tr>
    </w:tbl>
    <w:p w:rsidR="00B9447A" w:rsidRDefault="00B9447A" w:rsidP="00B9447A">
      <w:pPr>
        <w:pStyle w:val="Default"/>
        <w:ind w:right="-143"/>
        <w:jc w:val="both"/>
        <w:rPr>
          <w:sz w:val="24"/>
          <w:szCs w:val="24"/>
        </w:rPr>
      </w:pPr>
    </w:p>
    <w:p w:rsidR="00B9447A" w:rsidRDefault="00B9447A" w:rsidP="00B9447A">
      <w:pPr>
        <w:ind w:right="-143"/>
        <w:jc w:val="both"/>
        <w:rPr>
          <w:rFonts w:ascii="TimesNewRoman" w:hAnsi="TimesNewRoman"/>
          <w:sz w:val="22"/>
          <w:szCs w:val="22"/>
        </w:rPr>
      </w:pPr>
    </w:p>
    <w:sectPr w:rsidR="00B9447A" w:rsidSect="00BD0F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47A" w:rsidRDefault="00B9447A" w:rsidP="00B9447A">
      <w:r>
        <w:separator/>
      </w:r>
    </w:p>
  </w:endnote>
  <w:endnote w:type="continuationSeparator" w:id="0">
    <w:p w:rsidR="00B9447A" w:rsidRDefault="00B9447A" w:rsidP="00B94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47A" w:rsidRDefault="00B9447A" w:rsidP="00B9447A">
      <w:r>
        <w:separator/>
      </w:r>
    </w:p>
  </w:footnote>
  <w:footnote w:type="continuationSeparator" w:id="0">
    <w:p w:rsidR="00B9447A" w:rsidRDefault="00B9447A" w:rsidP="00B944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11144"/>
    <w:multiLevelType w:val="hybridMultilevel"/>
    <w:tmpl w:val="3B385C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47A"/>
    <w:rsid w:val="00A0775E"/>
    <w:rsid w:val="00B61BB7"/>
    <w:rsid w:val="00B657A4"/>
    <w:rsid w:val="00B9447A"/>
    <w:rsid w:val="00BD0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4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9447A"/>
    <w:pPr>
      <w:keepNext/>
      <w:ind w:left="480" w:hanging="479"/>
      <w:jc w:val="both"/>
      <w:outlineLvl w:val="1"/>
    </w:pPr>
    <w:rPr>
      <w:rFonts w:ascii="TimesNewRoman" w:hAnsi="TimesNewRoman" w:cs="TimesNewRoman"/>
      <w:b/>
      <w:bCs/>
    </w:rPr>
  </w:style>
  <w:style w:type="paragraph" w:styleId="Titolo5">
    <w:name w:val="heading 5"/>
    <w:basedOn w:val="Normale"/>
    <w:next w:val="Normale"/>
    <w:link w:val="Titolo5Carattere"/>
    <w:qFormat/>
    <w:rsid w:val="00B9447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B9447A"/>
    <w:pPr>
      <w:spacing w:before="240" w:after="60"/>
      <w:outlineLvl w:val="6"/>
    </w:pPr>
    <w:rPr>
      <w:rFonts w:ascii="Calibri" w:hAnsi="Calibri"/>
    </w:rPr>
  </w:style>
  <w:style w:type="paragraph" w:styleId="Titolo9">
    <w:name w:val="heading 9"/>
    <w:basedOn w:val="Normale"/>
    <w:next w:val="Normale"/>
    <w:link w:val="Titolo9Carattere"/>
    <w:qFormat/>
    <w:rsid w:val="00B9447A"/>
    <w:pPr>
      <w:keepNext/>
      <w:jc w:val="both"/>
      <w:outlineLvl w:val="8"/>
    </w:pPr>
    <w:rPr>
      <w:rFonts w:ascii="TimesNewRoman" w:hAnsi="TimesNewRoman" w:cs="TimesNew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9447A"/>
    <w:rPr>
      <w:rFonts w:ascii="TimesNewRoman" w:eastAsia="Times New Roman" w:hAnsi="TimesNewRoman" w:cs="TimesNew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9447A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B9447A"/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B9447A"/>
    <w:rPr>
      <w:rFonts w:ascii="TimesNewRoman" w:eastAsia="Times New Roman" w:hAnsi="TimesNewRoman" w:cs="TimesNewRoman"/>
      <w:b/>
      <w:bCs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"/>
    <w:semiHidden/>
    <w:locked/>
    <w:rsid w:val="00B9447A"/>
    <w:rPr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semiHidden/>
    <w:rsid w:val="00B9447A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B9447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B9447A"/>
    <w:pPr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944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9447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944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9447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ragioneria1</dc:creator>
  <cp:lastModifiedBy>ragioneria1</cp:lastModifiedBy>
  <cp:revision>2</cp:revision>
  <dcterms:created xsi:type="dcterms:W3CDTF">2019-11-08T08:44:00Z</dcterms:created>
  <dcterms:modified xsi:type="dcterms:W3CDTF">2019-11-16T09:08:00Z</dcterms:modified>
</cp:coreProperties>
</file>