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7A" w:rsidRDefault="001C307A" w:rsidP="00F7362D">
      <w:pPr>
        <w:rPr>
          <w:b/>
          <w:sz w:val="28"/>
          <w:szCs w:val="28"/>
        </w:rPr>
      </w:pPr>
      <w:r>
        <w:rPr>
          <w:b/>
          <w:sz w:val="28"/>
          <w:szCs w:val="28"/>
        </w:rPr>
        <w:t xml:space="preserve">Allegato “B” </w:t>
      </w:r>
      <w:proofErr w:type="spellStart"/>
      <w:r>
        <w:rPr>
          <w:b/>
          <w:sz w:val="28"/>
          <w:szCs w:val="28"/>
        </w:rPr>
        <w:t>Dups</w:t>
      </w:r>
      <w:proofErr w:type="spellEnd"/>
      <w:r>
        <w:rPr>
          <w:b/>
          <w:sz w:val="28"/>
          <w:szCs w:val="28"/>
        </w:rPr>
        <w:t xml:space="preserve"> 2020-2022</w:t>
      </w:r>
    </w:p>
    <w:p w:rsidR="001C307A" w:rsidRDefault="001C307A" w:rsidP="00BE629E">
      <w:pPr>
        <w:jc w:val="center"/>
        <w:rPr>
          <w:b/>
          <w:sz w:val="28"/>
          <w:szCs w:val="28"/>
        </w:rPr>
      </w:pPr>
    </w:p>
    <w:p w:rsidR="00BE629E" w:rsidRPr="00BE629E" w:rsidRDefault="00BE629E" w:rsidP="00BE629E">
      <w:pPr>
        <w:jc w:val="center"/>
        <w:rPr>
          <w:b/>
          <w:sz w:val="28"/>
          <w:szCs w:val="28"/>
        </w:rPr>
      </w:pPr>
      <w:r w:rsidRPr="00BE629E">
        <w:rPr>
          <w:b/>
          <w:sz w:val="28"/>
          <w:szCs w:val="28"/>
        </w:rPr>
        <w:t>PIANO TRIENNALE FABBISOGNO DEL PERSONALE (P.T.F.P.) 20</w:t>
      </w:r>
      <w:r w:rsidR="00E22C12">
        <w:rPr>
          <w:b/>
          <w:sz w:val="28"/>
          <w:szCs w:val="28"/>
        </w:rPr>
        <w:t>20</w:t>
      </w:r>
      <w:r w:rsidRPr="00BE629E">
        <w:rPr>
          <w:b/>
          <w:sz w:val="28"/>
          <w:szCs w:val="28"/>
        </w:rPr>
        <w:t xml:space="preserve"> -202</w:t>
      </w:r>
      <w:r w:rsidR="00E22C12">
        <w:rPr>
          <w:b/>
          <w:sz w:val="28"/>
          <w:szCs w:val="28"/>
        </w:rPr>
        <w:t>2</w:t>
      </w:r>
    </w:p>
    <w:p w:rsidR="00BE629E" w:rsidRDefault="00BE629E" w:rsidP="003717FE">
      <w:pPr>
        <w:jc w:val="both"/>
      </w:pPr>
      <w:r>
        <w:t>Tenuto conto delle disposizioni vigenti, delle indicazioni date dal Dipartimento della Funzione Pubblica, dell’entità di questo Ente, del numero di dipendenti in servizio, delle professionalità e competenze di cui si dispone, si redige il presente documento di analisi e di rilevazione del fabbisogno di risorse umane.</w:t>
      </w:r>
    </w:p>
    <w:p w:rsidR="00BE629E" w:rsidRDefault="00BE629E" w:rsidP="003717FE">
      <w:pPr>
        <w:jc w:val="both"/>
      </w:pPr>
      <w:r>
        <w:t>L’organizzazione interna è suddivisa in quattro aree: amministrativa, tecnica, vigilanza e finanziaria.</w:t>
      </w:r>
    </w:p>
    <w:p w:rsidR="00BE629E" w:rsidRDefault="00BE629E" w:rsidP="003717FE">
      <w:pPr>
        <w:jc w:val="both"/>
      </w:pPr>
      <w:r>
        <w:t>All</w:t>
      </w:r>
      <w:r w:rsidR="00C66FE5">
        <w:t xml:space="preserve">o stato attuale alle </w:t>
      </w:r>
      <w:r>
        <w:t>are</w:t>
      </w:r>
      <w:r w:rsidR="00C66FE5">
        <w:t>e</w:t>
      </w:r>
      <w:r>
        <w:t xml:space="preserve"> </w:t>
      </w:r>
      <w:r w:rsidR="0074181A">
        <w:t xml:space="preserve">di vigilanza e finanziaria </w:t>
      </w:r>
      <w:r w:rsidR="00C66FE5">
        <w:t xml:space="preserve">sono </w:t>
      </w:r>
      <w:r>
        <w:t>prepost</w:t>
      </w:r>
      <w:r w:rsidR="00C66FE5">
        <w:t>e</w:t>
      </w:r>
      <w:r>
        <w:t xml:space="preserve"> </w:t>
      </w:r>
      <w:r w:rsidR="0074181A">
        <w:t xml:space="preserve">a ciascuna </w:t>
      </w:r>
      <w:r>
        <w:t>una unità di personale di livello apicale (Cat. D),</w:t>
      </w:r>
      <w:r w:rsidR="0074181A">
        <w:t xml:space="preserve"> </w:t>
      </w:r>
      <w:r>
        <w:t xml:space="preserve">a cui è affidata la </w:t>
      </w:r>
      <w:r w:rsidR="004C4ED7">
        <w:t>r</w:t>
      </w:r>
      <w:r>
        <w:t>esponsabilità della gestione. All’area tecnic</w:t>
      </w:r>
      <w:r w:rsidR="0074181A">
        <w:t>a</w:t>
      </w:r>
      <w:r>
        <w:t xml:space="preserve"> è preposta</w:t>
      </w:r>
      <w:r w:rsidR="0074181A">
        <w:t xml:space="preserve"> </w:t>
      </w:r>
      <w:r>
        <w:t xml:space="preserve">una unità di personale inquadrata in Cat. </w:t>
      </w:r>
      <w:r w:rsidR="0074181A">
        <w:t xml:space="preserve">D part time a 18 ore </w:t>
      </w:r>
      <w:r w:rsidR="002133F6">
        <w:t>con contratto art.110 del TUEL</w:t>
      </w:r>
      <w:r>
        <w:t xml:space="preserve"> a cui è attribuita la </w:t>
      </w:r>
      <w:r w:rsidR="004C4ED7">
        <w:t>r</w:t>
      </w:r>
      <w:r>
        <w:t>esponsabilità</w:t>
      </w:r>
      <w:r w:rsidR="002133F6">
        <w:t>,</w:t>
      </w:r>
      <w:r w:rsidR="004C4ED7">
        <w:t xml:space="preserve"> un’unità di personale di cat. C full </w:t>
      </w:r>
      <w:proofErr w:type="gramStart"/>
      <w:r w:rsidR="004C4ED7">
        <w:t>time,  istruttore</w:t>
      </w:r>
      <w:proofErr w:type="gramEnd"/>
      <w:r w:rsidR="004C4ED7">
        <w:t xml:space="preserve"> tecnico</w:t>
      </w:r>
      <w:r w:rsidR="00C66FE5">
        <w:t xml:space="preserve"> mentre </w:t>
      </w:r>
      <w:r w:rsidR="00580524">
        <w:t xml:space="preserve">per quanto riguarda </w:t>
      </w:r>
      <w:r w:rsidR="00C66FE5">
        <w:t xml:space="preserve">l’area amministrativa </w:t>
      </w:r>
      <w:r w:rsidR="00580524">
        <w:t xml:space="preserve">la responsabilità </w:t>
      </w:r>
      <w:r w:rsidR="00C66FE5">
        <w:t>è affidata al Segretario Comunale.</w:t>
      </w:r>
    </w:p>
    <w:p w:rsidR="00C66FE5" w:rsidRPr="00815E55" w:rsidRDefault="00815E55" w:rsidP="00BE629E">
      <w:pPr>
        <w:rPr>
          <w:b/>
          <w:u w:val="single"/>
        </w:rPr>
      </w:pPr>
      <w:r w:rsidRPr="00815E55">
        <w:rPr>
          <w:b/>
          <w:u w:val="single"/>
        </w:rPr>
        <w:t>Personale in servizio al 31.12.201</w:t>
      </w:r>
      <w:r w:rsidR="0049485F">
        <w:rPr>
          <w:b/>
          <w:u w:val="single"/>
        </w:rPr>
        <w:t>8</w:t>
      </w:r>
    </w:p>
    <w:tbl>
      <w:tblPr>
        <w:tblW w:w="5000" w:type="pct"/>
        <w:jc w:val="center"/>
        <w:tblCellMar>
          <w:top w:w="7" w:type="dxa"/>
          <w:left w:w="0" w:type="dxa"/>
          <w:right w:w="48" w:type="dxa"/>
        </w:tblCellMar>
        <w:tblLook w:val="04A0" w:firstRow="1" w:lastRow="0" w:firstColumn="1" w:lastColumn="0" w:noHBand="0" w:noVBand="1"/>
      </w:tblPr>
      <w:tblGrid>
        <w:gridCol w:w="3407"/>
        <w:gridCol w:w="2130"/>
        <w:gridCol w:w="2138"/>
        <w:gridCol w:w="1953"/>
      </w:tblGrid>
      <w:tr w:rsidR="00C66FE5" w:rsidRPr="00C66FE5" w:rsidTr="0049485F">
        <w:trPr>
          <w:trHeight w:val="562"/>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6FE5" w:rsidRPr="00C66FE5" w:rsidRDefault="00C66FE5" w:rsidP="00C66FE5">
            <w:pPr>
              <w:spacing w:before="120" w:after="120"/>
              <w:ind w:right="-1"/>
              <w:mirrorIndents/>
              <w:jc w:val="center"/>
              <w:rPr>
                <w:rFonts w:ascii="Arial" w:eastAsia="Times New Roman" w:hAnsi="Arial" w:cs="Arial"/>
                <w:b/>
                <w:color w:val="000000"/>
                <w:sz w:val="20"/>
                <w:szCs w:val="20"/>
                <w:lang w:eastAsia="it-IT"/>
              </w:rPr>
            </w:pPr>
            <w:r w:rsidRPr="00C66FE5">
              <w:rPr>
                <w:rFonts w:ascii="Arial" w:eastAsia="Times New Roman" w:hAnsi="Arial" w:cs="Arial"/>
                <w:b/>
                <w:color w:val="000000"/>
                <w:sz w:val="20"/>
                <w:szCs w:val="20"/>
                <w:lang w:eastAsia="it-IT"/>
              </w:rPr>
              <w:t>Categoria</w:t>
            </w:r>
          </w:p>
        </w:tc>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6FE5" w:rsidRPr="00C66FE5" w:rsidRDefault="00C66FE5" w:rsidP="00C66FE5">
            <w:pPr>
              <w:spacing w:before="120" w:after="120"/>
              <w:ind w:left="40" w:right="-1"/>
              <w:mirrorIndents/>
              <w:jc w:val="center"/>
              <w:rPr>
                <w:rFonts w:ascii="Arial" w:eastAsia="Times New Roman" w:hAnsi="Arial" w:cs="Arial"/>
                <w:b/>
                <w:color w:val="000000"/>
                <w:sz w:val="20"/>
                <w:szCs w:val="20"/>
                <w:lang w:eastAsia="it-IT"/>
              </w:rPr>
            </w:pPr>
            <w:r w:rsidRPr="00C66FE5">
              <w:rPr>
                <w:rFonts w:ascii="Arial" w:eastAsia="Times New Roman" w:hAnsi="Arial" w:cs="Arial"/>
                <w:b/>
                <w:color w:val="000000"/>
                <w:sz w:val="20"/>
                <w:szCs w:val="20"/>
                <w:lang w:eastAsia="it-IT"/>
              </w:rPr>
              <w:t>Numero</w:t>
            </w:r>
          </w:p>
        </w:tc>
        <w:tc>
          <w:tcPr>
            <w:tcW w:w="21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6FE5" w:rsidRPr="00C66FE5" w:rsidRDefault="00C66FE5" w:rsidP="00C66FE5">
            <w:pPr>
              <w:spacing w:before="120" w:after="120"/>
              <w:ind w:left="95" w:right="-1"/>
              <w:mirrorIndents/>
              <w:jc w:val="center"/>
              <w:rPr>
                <w:rFonts w:ascii="Arial" w:eastAsia="Times New Roman" w:hAnsi="Arial" w:cs="Arial"/>
                <w:b/>
                <w:color w:val="000000"/>
                <w:sz w:val="20"/>
                <w:szCs w:val="20"/>
                <w:lang w:eastAsia="it-IT"/>
              </w:rPr>
            </w:pPr>
            <w:r w:rsidRPr="00C66FE5">
              <w:rPr>
                <w:rFonts w:ascii="Arial" w:eastAsia="Times New Roman" w:hAnsi="Arial" w:cs="Arial"/>
                <w:b/>
                <w:color w:val="000000"/>
                <w:sz w:val="20"/>
                <w:szCs w:val="20"/>
                <w:lang w:eastAsia="it-IT"/>
              </w:rPr>
              <w:t>Tempo indeterminato</w:t>
            </w:r>
          </w:p>
        </w:tc>
        <w:tc>
          <w:tcPr>
            <w:tcW w:w="19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6FE5" w:rsidRPr="00C66FE5" w:rsidRDefault="00C66FE5" w:rsidP="00C66FE5">
            <w:pPr>
              <w:spacing w:before="120" w:after="120"/>
              <w:ind w:left="46" w:right="-1"/>
              <w:mirrorIndents/>
              <w:jc w:val="center"/>
              <w:rPr>
                <w:rFonts w:ascii="Arial" w:eastAsia="Times New Roman" w:hAnsi="Arial" w:cs="Arial"/>
                <w:b/>
                <w:color w:val="000000"/>
                <w:sz w:val="20"/>
                <w:szCs w:val="20"/>
                <w:lang w:eastAsia="it-IT"/>
              </w:rPr>
            </w:pPr>
            <w:r w:rsidRPr="00C66FE5">
              <w:rPr>
                <w:rFonts w:ascii="Arial" w:eastAsia="Times New Roman" w:hAnsi="Arial" w:cs="Arial"/>
                <w:b/>
                <w:color w:val="000000"/>
                <w:sz w:val="20"/>
                <w:szCs w:val="20"/>
                <w:lang w:eastAsia="it-IT"/>
              </w:rPr>
              <w:t>Altre tipologie</w:t>
            </w:r>
          </w:p>
        </w:tc>
      </w:tr>
      <w:tr w:rsidR="00815E5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E55" w:rsidRPr="00C66FE5" w:rsidRDefault="00815E55" w:rsidP="00C66FE5">
            <w:pPr>
              <w:spacing w:before="120" w:after="120"/>
              <w:ind w:left="172" w:right="-1"/>
              <w:mirrorIndents/>
              <w:rPr>
                <w:rFonts w:ascii="Arial" w:eastAsia="Times New Roman" w:hAnsi="Arial" w:cs="Arial"/>
                <w:b/>
                <w:color w:val="000000"/>
                <w:sz w:val="20"/>
                <w:szCs w:val="20"/>
                <w:lang w:eastAsia="it-IT"/>
              </w:rPr>
            </w:pPr>
            <w:r>
              <w:rPr>
                <w:rFonts w:ascii="Arial" w:eastAsia="Times New Roman" w:hAnsi="Arial" w:cs="Arial"/>
                <w:b/>
                <w:color w:val="000000"/>
                <w:sz w:val="20"/>
                <w:szCs w:val="20"/>
                <w:lang w:eastAsia="it-IT"/>
              </w:rPr>
              <w:t>Segretario Comunale Cat. C</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E55" w:rsidRPr="00C66FE5" w:rsidRDefault="00815E55" w:rsidP="00C66FE5">
            <w:pPr>
              <w:spacing w:after="12" w:line="249" w:lineRule="auto"/>
              <w:ind w:left="10" w:right="-1" w:hanging="10"/>
              <w:jc w:val="center"/>
              <w:rPr>
                <w:rFonts w:ascii="Arial" w:eastAsia="Times New Roman" w:hAnsi="Arial" w:cs="Arial"/>
                <w:color w:val="000000"/>
                <w:sz w:val="20"/>
                <w:szCs w:val="20"/>
                <w:lang w:eastAsia="it-IT"/>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E55" w:rsidRPr="00C66FE5" w:rsidRDefault="00815E55" w:rsidP="00C66FE5">
            <w:pPr>
              <w:spacing w:after="12" w:line="249" w:lineRule="auto"/>
              <w:ind w:left="10" w:right="-1" w:hanging="10"/>
              <w:jc w:val="center"/>
              <w:rPr>
                <w:rFonts w:ascii="Arial" w:eastAsia="Times New Roman" w:hAnsi="Arial" w:cs="Arial"/>
                <w:color w:val="000000"/>
                <w:sz w:val="20"/>
                <w:szCs w:val="20"/>
                <w:lang w:eastAsia="it-IT"/>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E55" w:rsidRPr="00C66FE5" w:rsidRDefault="00815E55"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0,33</w:t>
            </w:r>
          </w:p>
        </w:tc>
      </w:tr>
      <w:tr w:rsidR="00C66FE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BB25AD" w:rsidP="00C66FE5">
            <w:pPr>
              <w:spacing w:before="120" w:after="120"/>
              <w:ind w:left="172" w:right="-1"/>
              <w:mirrorIndents/>
              <w:rPr>
                <w:rFonts w:ascii="Arial" w:eastAsia="Times New Roman" w:hAnsi="Arial" w:cs="Arial"/>
                <w:color w:val="000000"/>
                <w:sz w:val="20"/>
                <w:szCs w:val="20"/>
                <w:lang w:eastAsia="it-IT"/>
              </w:rPr>
            </w:pPr>
            <w:r>
              <w:rPr>
                <w:rFonts w:ascii="Arial" w:eastAsia="Times New Roman" w:hAnsi="Arial" w:cs="Arial"/>
                <w:b/>
                <w:color w:val="000000"/>
                <w:sz w:val="20"/>
                <w:szCs w:val="20"/>
                <w:lang w:eastAsia="it-IT"/>
              </w:rPr>
              <w:t xml:space="preserve">Posizione economica </w:t>
            </w:r>
            <w:r w:rsidR="00C66FE5" w:rsidRPr="00C66FE5">
              <w:rPr>
                <w:rFonts w:ascii="Arial" w:eastAsia="Times New Roman" w:hAnsi="Arial" w:cs="Arial"/>
                <w:b/>
                <w:color w:val="000000"/>
                <w:sz w:val="20"/>
                <w:szCs w:val="20"/>
                <w:lang w:eastAsia="it-IT"/>
              </w:rPr>
              <w:t>D</w:t>
            </w:r>
            <w:r w:rsidR="0049485F">
              <w:rPr>
                <w:rFonts w:ascii="Arial" w:eastAsia="Times New Roman" w:hAnsi="Arial" w:cs="Arial"/>
                <w:b/>
                <w:color w:val="000000"/>
                <w:sz w:val="20"/>
                <w:szCs w:val="20"/>
                <w:lang w:eastAsia="it-IT"/>
              </w:rPr>
              <w:t>3</w:t>
            </w:r>
            <w:r>
              <w:rPr>
                <w:rFonts w:ascii="Arial" w:eastAsia="Times New Roman" w:hAnsi="Arial" w:cs="Arial"/>
                <w:b/>
                <w:color w:val="000000"/>
                <w:sz w:val="20"/>
                <w:szCs w:val="20"/>
                <w:lang w:eastAsia="it-IT"/>
              </w:rPr>
              <w:t xml:space="preserve"> categoria di accesso D1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Arial" w:eastAsia="Times New Roman" w:hAnsi="Arial" w:cs="Arial"/>
                <w:color w:val="000000"/>
                <w:sz w:val="20"/>
                <w:szCs w:val="20"/>
                <w:lang w:eastAsia="it-IT"/>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Arial" w:eastAsia="Times New Roman" w:hAnsi="Arial" w:cs="Arial"/>
                <w:color w:val="000000"/>
                <w:sz w:val="20"/>
                <w:szCs w:val="20"/>
                <w:lang w:eastAsia="it-IT"/>
              </w:rPr>
              <w:t>1</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left="10" w:right="-1" w:hanging="10"/>
              <w:jc w:val="center"/>
              <w:rPr>
                <w:rFonts w:ascii="Times New Roman" w:eastAsia="Times New Roman" w:hAnsi="Times New Roman" w:cs="Times New Roman"/>
                <w:color w:val="000000"/>
                <w:sz w:val="24"/>
                <w:lang w:eastAsia="it-IT"/>
              </w:rPr>
            </w:pPr>
          </w:p>
        </w:tc>
      </w:tr>
      <w:tr w:rsidR="0049485F"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before="120" w:after="120"/>
              <w:ind w:left="172" w:right="-1"/>
              <w:mirrorIndents/>
              <w:rPr>
                <w:rFonts w:ascii="Arial" w:eastAsia="Times New Roman" w:hAnsi="Arial" w:cs="Arial"/>
                <w:b/>
                <w:color w:val="000000"/>
                <w:sz w:val="20"/>
                <w:szCs w:val="20"/>
                <w:lang w:eastAsia="it-IT"/>
              </w:rPr>
            </w:pPr>
            <w:r w:rsidRPr="0049485F">
              <w:rPr>
                <w:rFonts w:ascii="Arial" w:eastAsia="Times New Roman" w:hAnsi="Arial" w:cs="Arial"/>
                <w:b/>
                <w:color w:val="000000"/>
                <w:sz w:val="20"/>
                <w:szCs w:val="20"/>
                <w:lang w:eastAsia="it-IT"/>
              </w:rPr>
              <w:t>Posizione economica D</w:t>
            </w:r>
            <w:r>
              <w:rPr>
                <w:rFonts w:ascii="Arial" w:eastAsia="Times New Roman" w:hAnsi="Arial" w:cs="Arial"/>
                <w:b/>
                <w:color w:val="000000"/>
                <w:sz w:val="20"/>
                <w:szCs w:val="20"/>
                <w:lang w:eastAsia="it-IT"/>
              </w:rPr>
              <w:t>2</w:t>
            </w:r>
            <w:r w:rsidRPr="0049485F">
              <w:rPr>
                <w:rFonts w:ascii="Arial" w:eastAsia="Times New Roman" w:hAnsi="Arial" w:cs="Arial"/>
                <w:b/>
                <w:color w:val="000000"/>
                <w:sz w:val="20"/>
                <w:szCs w:val="20"/>
                <w:lang w:eastAsia="it-IT"/>
              </w:rPr>
              <w:t xml:space="preserve"> categoria di accesso D1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right="-1"/>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left="10" w:right="-1" w:hanging="10"/>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left="10" w:right="-1" w:hanging="10"/>
              <w:jc w:val="center"/>
              <w:rPr>
                <w:rFonts w:ascii="Arial" w:eastAsia="Times New Roman" w:hAnsi="Arial" w:cs="Arial"/>
                <w:color w:val="000000"/>
                <w:sz w:val="20"/>
                <w:szCs w:val="20"/>
                <w:lang w:eastAsia="it-IT"/>
              </w:rPr>
            </w:pPr>
          </w:p>
        </w:tc>
      </w:tr>
      <w:tr w:rsidR="00C66FE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241B9C" w:rsidRDefault="00C66FE5" w:rsidP="00C66FE5">
            <w:pPr>
              <w:spacing w:before="120" w:after="120"/>
              <w:ind w:left="172" w:right="-1"/>
              <w:mirrorIndents/>
              <w:rPr>
                <w:rFonts w:ascii="Arial" w:eastAsia="Times New Roman" w:hAnsi="Arial" w:cs="Arial"/>
                <w:color w:val="000000"/>
                <w:sz w:val="20"/>
                <w:szCs w:val="20"/>
                <w:lang w:val="en-US" w:eastAsia="it-IT"/>
              </w:rPr>
            </w:pPr>
            <w:r w:rsidRPr="00241B9C">
              <w:rPr>
                <w:rFonts w:ascii="Arial" w:eastAsia="Times New Roman" w:hAnsi="Arial" w:cs="Arial"/>
                <w:b/>
                <w:color w:val="000000"/>
                <w:sz w:val="20"/>
                <w:szCs w:val="20"/>
                <w:lang w:val="en-US" w:eastAsia="it-IT"/>
              </w:rPr>
              <w:t xml:space="preserve">Cat.D1 </w:t>
            </w:r>
            <w:r w:rsidR="0049485F" w:rsidRPr="00241B9C">
              <w:rPr>
                <w:rFonts w:ascii="Arial" w:eastAsia="Times New Roman" w:hAnsi="Arial" w:cs="Arial"/>
                <w:b/>
                <w:color w:val="000000"/>
                <w:sz w:val="20"/>
                <w:szCs w:val="20"/>
                <w:lang w:val="en-US" w:eastAsia="it-IT"/>
              </w:rPr>
              <w:t xml:space="preserve">part time 110 </w:t>
            </w:r>
            <w:proofErr w:type="spellStart"/>
            <w:r w:rsidR="0049485F" w:rsidRPr="00241B9C">
              <w:rPr>
                <w:rFonts w:ascii="Arial" w:eastAsia="Times New Roman" w:hAnsi="Arial" w:cs="Arial"/>
                <w:b/>
                <w:color w:val="000000"/>
                <w:sz w:val="20"/>
                <w:szCs w:val="20"/>
                <w:lang w:val="en-US" w:eastAsia="it-IT"/>
              </w:rPr>
              <w:t>tuel</w:t>
            </w:r>
            <w:proofErr w:type="spellEnd"/>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right="-1"/>
              <w:jc w:val="center"/>
              <w:rPr>
                <w:rFonts w:ascii="Times New Roman" w:eastAsia="Times New Roman" w:hAnsi="Times New Roman" w:cs="Times New Roman"/>
                <w:color w:val="000000"/>
                <w:sz w:val="24"/>
                <w:lang w:eastAsia="it-IT"/>
              </w:rPr>
            </w:pPr>
            <w:r w:rsidRPr="00C66FE5">
              <w:rPr>
                <w:rFonts w:ascii="Arial" w:eastAsia="Times New Roman" w:hAnsi="Arial" w:cs="Arial"/>
                <w:color w:val="000000"/>
                <w:sz w:val="20"/>
                <w:szCs w:val="20"/>
                <w:lang w:eastAsia="it-IT"/>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left="10" w:right="-1" w:hanging="10"/>
              <w:jc w:val="center"/>
              <w:rPr>
                <w:rFonts w:ascii="Times New Roman" w:eastAsia="Times New Roman" w:hAnsi="Times New Roman" w:cs="Times New Roman"/>
                <w:color w:val="000000"/>
                <w:sz w:val="24"/>
                <w:lang w:eastAsia="it-IT"/>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3D16D3"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0,50</w:t>
            </w:r>
          </w:p>
        </w:tc>
      </w:tr>
      <w:tr w:rsidR="0049485F"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before="120" w:after="120"/>
              <w:ind w:left="172" w:right="-1"/>
              <w:mirrorIndents/>
              <w:rPr>
                <w:rFonts w:ascii="Arial" w:eastAsia="Times New Roman" w:hAnsi="Arial" w:cs="Arial"/>
                <w:b/>
                <w:color w:val="000000"/>
                <w:sz w:val="20"/>
                <w:szCs w:val="20"/>
                <w:lang w:eastAsia="it-IT"/>
              </w:rPr>
            </w:pPr>
            <w:proofErr w:type="spellStart"/>
            <w:r>
              <w:rPr>
                <w:rFonts w:ascii="Arial" w:eastAsia="Times New Roman" w:hAnsi="Arial" w:cs="Arial"/>
                <w:b/>
                <w:color w:val="000000"/>
                <w:sz w:val="20"/>
                <w:szCs w:val="20"/>
                <w:lang w:eastAsia="it-IT"/>
              </w:rPr>
              <w:t>Cat</w:t>
            </w:r>
            <w:proofErr w:type="spellEnd"/>
            <w:r>
              <w:rPr>
                <w:rFonts w:ascii="Arial" w:eastAsia="Times New Roman" w:hAnsi="Arial" w:cs="Arial"/>
                <w:b/>
                <w:color w:val="000000"/>
                <w:sz w:val="20"/>
                <w:szCs w:val="20"/>
                <w:lang w:eastAsia="it-IT"/>
              </w:rPr>
              <w:t xml:space="preserve"> D1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4</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85F" w:rsidRPr="00C66FE5" w:rsidRDefault="0049485F" w:rsidP="00C66FE5">
            <w:pPr>
              <w:spacing w:after="12" w:line="249" w:lineRule="auto"/>
              <w:ind w:left="10" w:right="-1" w:hanging="10"/>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C66FE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before="120" w:after="120"/>
              <w:ind w:left="172" w:right="-1"/>
              <w:mirrorIndents/>
              <w:rPr>
                <w:rFonts w:ascii="Arial" w:eastAsia="Times New Roman" w:hAnsi="Arial" w:cs="Arial"/>
                <w:color w:val="000000"/>
                <w:sz w:val="20"/>
                <w:szCs w:val="20"/>
                <w:lang w:eastAsia="it-IT"/>
              </w:rPr>
            </w:pPr>
            <w:r w:rsidRPr="00C66FE5">
              <w:rPr>
                <w:rFonts w:ascii="Arial" w:eastAsia="Times New Roman" w:hAnsi="Arial" w:cs="Arial"/>
                <w:b/>
                <w:color w:val="000000"/>
                <w:sz w:val="20"/>
                <w:szCs w:val="20"/>
                <w:lang w:eastAsia="it-IT"/>
              </w:rPr>
              <w:t>Cat.C</w:t>
            </w:r>
            <w:r w:rsidR="00BB25AD">
              <w:rPr>
                <w:rFonts w:ascii="Arial" w:eastAsia="Times New Roman" w:hAnsi="Arial" w:cs="Arial"/>
                <w:b/>
                <w:color w:val="000000"/>
                <w:sz w:val="20"/>
                <w:szCs w:val="20"/>
                <w:lang w:eastAsia="it-IT"/>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1</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left="10" w:right="-1" w:hanging="10"/>
              <w:jc w:val="center"/>
              <w:rPr>
                <w:rFonts w:ascii="Times New Roman" w:eastAsia="Times New Roman" w:hAnsi="Times New Roman" w:cs="Times New Roman"/>
                <w:color w:val="000000"/>
                <w:sz w:val="24"/>
                <w:lang w:eastAsia="it-IT"/>
              </w:rPr>
            </w:pPr>
          </w:p>
        </w:tc>
      </w:tr>
      <w:tr w:rsidR="00C66FE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BB25AD" w:rsidP="00C66FE5">
            <w:pPr>
              <w:spacing w:before="120" w:after="120"/>
              <w:ind w:left="172" w:right="-1"/>
              <w:mirrorIndents/>
              <w:rPr>
                <w:rFonts w:ascii="Arial" w:eastAsia="Times New Roman" w:hAnsi="Arial" w:cs="Arial"/>
                <w:color w:val="000000"/>
                <w:sz w:val="20"/>
                <w:szCs w:val="20"/>
                <w:lang w:eastAsia="it-IT"/>
              </w:rPr>
            </w:pPr>
            <w:r>
              <w:rPr>
                <w:rFonts w:ascii="Arial" w:eastAsia="Times New Roman" w:hAnsi="Arial" w:cs="Arial"/>
                <w:b/>
                <w:color w:val="000000"/>
                <w:sz w:val="20"/>
                <w:szCs w:val="20"/>
                <w:lang w:eastAsia="it-IT"/>
              </w:rPr>
              <w:t>Posizione economica B7 categoria di accesso B3</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2</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2</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left="10" w:right="-1" w:hanging="10"/>
              <w:jc w:val="center"/>
              <w:rPr>
                <w:rFonts w:ascii="Times New Roman" w:eastAsia="Times New Roman" w:hAnsi="Times New Roman" w:cs="Times New Roman"/>
                <w:color w:val="000000"/>
                <w:sz w:val="24"/>
                <w:lang w:eastAsia="it-IT"/>
              </w:rPr>
            </w:pPr>
          </w:p>
        </w:tc>
      </w:tr>
      <w:tr w:rsidR="00C66FE5" w:rsidRPr="00C66FE5" w:rsidTr="0049485F">
        <w:trPr>
          <w:trHeight w:val="286"/>
          <w:jc w:val="center"/>
        </w:trPr>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C66FE5" w:rsidRPr="00C66FE5" w:rsidRDefault="00C66FE5" w:rsidP="00C66FE5">
            <w:pPr>
              <w:spacing w:before="120" w:after="120"/>
              <w:ind w:right="-1"/>
              <w:mirrorIndents/>
              <w:jc w:val="right"/>
              <w:rPr>
                <w:rFonts w:ascii="Arial" w:eastAsia="Times New Roman" w:hAnsi="Arial" w:cs="Arial"/>
                <w:b/>
                <w:color w:val="000000"/>
                <w:sz w:val="20"/>
                <w:szCs w:val="20"/>
                <w:lang w:eastAsia="it-IT"/>
              </w:rPr>
            </w:pPr>
            <w:r w:rsidRPr="00C66FE5">
              <w:rPr>
                <w:rFonts w:ascii="Arial" w:eastAsia="Times New Roman" w:hAnsi="Arial" w:cs="Arial"/>
                <w:b/>
                <w:color w:val="000000"/>
                <w:sz w:val="20"/>
                <w:szCs w:val="20"/>
                <w:lang w:eastAsia="it-IT"/>
              </w:rPr>
              <w:t xml:space="preserve">TOTALE </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49485F"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Arial" w:eastAsia="Times New Roman" w:hAnsi="Arial" w:cs="Arial"/>
                <w:color w:val="000000"/>
                <w:sz w:val="20"/>
                <w:szCs w:val="20"/>
                <w:lang w:eastAsia="it-IT"/>
              </w:rPr>
              <w:t>10</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C66FE5" w:rsidP="00C66FE5">
            <w:pPr>
              <w:spacing w:after="12" w:line="249" w:lineRule="auto"/>
              <w:ind w:left="10" w:right="-1" w:hanging="10"/>
              <w:jc w:val="center"/>
              <w:rPr>
                <w:rFonts w:ascii="Times New Roman" w:eastAsia="Times New Roman" w:hAnsi="Times New Roman" w:cs="Times New Roman"/>
                <w:color w:val="000000"/>
                <w:sz w:val="24"/>
                <w:lang w:eastAsia="it-IT"/>
              </w:rPr>
            </w:pPr>
            <w:r w:rsidRPr="00C66FE5">
              <w:rPr>
                <w:rFonts w:ascii="Arial" w:eastAsia="Times New Roman" w:hAnsi="Arial" w:cs="Arial"/>
                <w:color w:val="000000"/>
                <w:sz w:val="20"/>
                <w:szCs w:val="20"/>
                <w:lang w:eastAsia="it-IT"/>
              </w:rPr>
              <w:t>5</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FE5" w:rsidRPr="00C66FE5" w:rsidRDefault="003D16D3" w:rsidP="00C66FE5">
            <w:pPr>
              <w:spacing w:after="12" w:line="249" w:lineRule="auto"/>
              <w:ind w:left="10" w:right="-1" w:hanging="10"/>
              <w:jc w:val="center"/>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4,83</w:t>
            </w:r>
          </w:p>
        </w:tc>
      </w:tr>
    </w:tbl>
    <w:p w:rsidR="00815E55" w:rsidRDefault="00815E55" w:rsidP="00BE629E">
      <w:pPr>
        <w:rPr>
          <w:rFonts w:ascii="Arial" w:hAnsi="Arial" w:cs="Arial"/>
          <w:color w:val="393939"/>
          <w:shd w:val="clear" w:color="auto" w:fill="FFFFFF"/>
        </w:rPr>
      </w:pPr>
    </w:p>
    <w:p w:rsidR="00FF77B6" w:rsidRDefault="00D83776" w:rsidP="00BE629E">
      <w:pPr>
        <w:rPr>
          <w:rFonts w:ascii="Arial" w:hAnsi="Arial" w:cs="Arial"/>
          <w:color w:val="393939"/>
          <w:shd w:val="clear" w:color="auto" w:fill="FFFFFF"/>
        </w:rPr>
      </w:pPr>
      <w:r w:rsidRPr="00D83776">
        <w:rPr>
          <w:noProof/>
          <w:lang w:eastAsia="it-IT"/>
        </w:rPr>
        <w:lastRenderedPageBreak/>
        <w:drawing>
          <wp:inline distT="0" distB="0" distL="0" distR="0">
            <wp:extent cx="6120130" cy="285305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853055"/>
                    </a:xfrm>
                    <a:prstGeom prst="rect">
                      <a:avLst/>
                    </a:prstGeom>
                    <a:noFill/>
                    <a:ln>
                      <a:noFill/>
                    </a:ln>
                  </pic:spPr>
                </pic:pic>
              </a:graphicData>
            </a:graphic>
          </wp:inline>
        </w:drawing>
      </w:r>
    </w:p>
    <w:p w:rsidR="00FF77B6" w:rsidRDefault="00FF77B6" w:rsidP="00BE629E">
      <w:pPr>
        <w:rPr>
          <w:rFonts w:ascii="Arial" w:hAnsi="Arial" w:cs="Arial"/>
          <w:color w:val="393939"/>
          <w:shd w:val="clear" w:color="auto" w:fill="FFFFFF"/>
        </w:rPr>
      </w:pPr>
    </w:p>
    <w:p w:rsidR="00C66FE5" w:rsidRDefault="00815E55" w:rsidP="00815E55">
      <w:pPr>
        <w:jc w:val="both"/>
        <w:rPr>
          <w:shd w:val="clear" w:color="auto" w:fill="FFFFFF"/>
        </w:rPr>
      </w:pPr>
      <w:r>
        <w:rPr>
          <w:shd w:val="clear" w:color="auto" w:fill="FFFFFF"/>
        </w:rPr>
        <w:t xml:space="preserve">L’ente essendo un comune sotto i 1000 abitanti, deve rispettare il limite di spesa del personale del 2008 (articolo 1, comma 562, legge n. 296/2006 e </w:t>
      </w:r>
      <w:proofErr w:type="spellStart"/>
      <w:r>
        <w:rPr>
          <w:shd w:val="clear" w:color="auto" w:fill="FFFFFF"/>
        </w:rPr>
        <w:t>smi</w:t>
      </w:r>
      <w:proofErr w:type="spellEnd"/>
      <w:r>
        <w:rPr>
          <w:shd w:val="clear" w:color="auto" w:fill="FFFFFF"/>
        </w:rPr>
        <w:t xml:space="preserve">). che </w:t>
      </w:r>
      <w:r w:rsidR="00580524">
        <w:rPr>
          <w:shd w:val="clear" w:color="auto" w:fill="FFFFFF"/>
        </w:rPr>
        <w:t>nel caso specifico</w:t>
      </w:r>
      <w:r>
        <w:rPr>
          <w:shd w:val="clear" w:color="auto" w:fill="FFFFFF"/>
        </w:rPr>
        <w:t xml:space="preserve"> è pari ad € </w:t>
      </w:r>
      <w:bookmarkStart w:id="0" w:name="_Hlk536705099"/>
      <w:r>
        <w:rPr>
          <w:shd w:val="clear" w:color="auto" w:fill="FFFFFF"/>
        </w:rPr>
        <w:t>405.760,00</w:t>
      </w:r>
      <w:bookmarkEnd w:id="0"/>
      <w:r>
        <w:rPr>
          <w:shd w:val="clear" w:color="auto" w:fill="FFFFFF"/>
        </w:rPr>
        <w:t>.</w:t>
      </w:r>
    </w:p>
    <w:p w:rsidR="00D26964" w:rsidRDefault="00D26964" w:rsidP="00815E55">
      <w:pPr>
        <w:jc w:val="both"/>
      </w:pPr>
      <w:r w:rsidRPr="00D83776">
        <w:t>Nell’anno 201</w:t>
      </w:r>
      <w:r w:rsidR="00D83776" w:rsidRPr="00D83776">
        <w:t>8</w:t>
      </w:r>
      <w:r w:rsidR="0049485F" w:rsidRPr="00D83776">
        <w:t>(ultimo anno con consuntivo approvato)</w:t>
      </w:r>
      <w:r w:rsidRPr="00D83776">
        <w:t xml:space="preserve"> la spesa sostenuta per il personale ai fini dei limiti normativi di cui sopra è stata di € </w:t>
      </w:r>
      <w:r w:rsidR="00D83776" w:rsidRPr="00D83776">
        <w:t>232.476,19</w:t>
      </w:r>
      <w:r w:rsidRPr="00D83776">
        <w:t>.</w:t>
      </w:r>
      <w:r>
        <w:t xml:space="preserve"> </w:t>
      </w:r>
    </w:p>
    <w:p w:rsidR="00D26964" w:rsidRDefault="00BB25AD" w:rsidP="00815E55">
      <w:pPr>
        <w:jc w:val="both"/>
        <w:rPr>
          <w:rFonts w:eastAsia="Times New Roman" w:cstheme="minorHAnsi"/>
          <w:lang w:eastAsia="it-IT"/>
        </w:rPr>
      </w:pPr>
      <w:r>
        <w:t>Q</w:t>
      </w:r>
      <w:r w:rsidR="00D26964">
        <w:t xml:space="preserve">uesto ente </w:t>
      </w:r>
      <w:r w:rsidR="0049485F">
        <w:t>tra l’</w:t>
      </w:r>
      <w:r w:rsidR="00D26964">
        <w:t xml:space="preserve">anno 2017 </w:t>
      </w:r>
      <w:r w:rsidR="0049485F">
        <w:t xml:space="preserve">e l’anno 2018 </w:t>
      </w:r>
      <w:r w:rsidR="00D26964">
        <w:t xml:space="preserve">ha assunto n. </w:t>
      </w:r>
      <w:r w:rsidR="0049485F">
        <w:t>4</w:t>
      </w:r>
      <w:r w:rsidR="00D26964">
        <w:t xml:space="preserve"> unità di cat. D1 </w:t>
      </w:r>
      <w:r w:rsidR="00580524">
        <w:t xml:space="preserve">a tempo determinato, </w:t>
      </w:r>
      <w:r w:rsidR="00D26964">
        <w:t xml:space="preserve">sopra individuate tra altre tipologie, </w:t>
      </w:r>
      <w:r>
        <w:t xml:space="preserve">ai sensi </w:t>
      </w:r>
      <w:r w:rsidRPr="00BB25AD">
        <w:rPr>
          <w:rFonts w:cstheme="minorHAnsi"/>
        </w:rPr>
        <w:t>del</w:t>
      </w:r>
      <w:r w:rsidRPr="00BB25AD">
        <w:rPr>
          <w:rFonts w:eastAsia="Times New Roman" w:cstheme="minorHAnsi"/>
          <w:lang w:eastAsia="it-IT"/>
        </w:rPr>
        <w:t xml:space="preserve">l’art. 50 bis della L. 229, del 15.12.2016 </w:t>
      </w:r>
      <w:r w:rsidRPr="00BB25AD">
        <w:rPr>
          <w:rFonts w:eastAsia="Times New Roman" w:cstheme="minorHAnsi"/>
          <w:i/>
          <w:lang w:eastAsia="it-IT"/>
        </w:rPr>
        <w:t>“Conversione in legge, con modificazioni, del decreto legge 17 ottobre 2016, n. 189, recante interventi urgenti in favore delle popolazioni colpite dal sisma del 24 agosto 2016”</w:t>
      </w:r>
      <w:r w:rsidRPr="00BB25AD">
        <w:rPr>
          <w:rFonts w:eastAsia="Times New Roman" w:cstheme="minorHAnsi"/>
          <w:lang w:eastAsia="it-IT"/>
        </w:rPr>
        <w:t xml:space="preserve"> che prevede la possibilità per i comuni colpiti dal sisma del 2016 di </w:t>
      </w:r>
      <w:r w:rsidRPr="00BB25AD">
        <w:rPr>
          <w:rFonts w:eastAsia="Times New Roman" w:cstheme="minorHAnsi"/>
          <w:i/>
          <w:lang w:eastAsia="it-IT"/>
        </w:rPr>
        <w:t>“… assumere con contratti di lavoro a tempo determinato, in deroga ai vincoli di contenimento della spesa del personale di cui all’art. 9, comma 28, del decreto legge 31.05.2010, n. 78, convertito con modificazioni, e di cui all’art. 1, commi 557 e 562, della L. 296/2006 (…)ulteriori unità di personale …”</w:t>
      </w:r>
      <w:r w:rsidR="00E90BF8">
        <w:rPr>
          <w:rFonts w:eastAsia="Times New Roman" w:cstheme="minorHAnsi"/>
          <w:lang w:eastAsia="it-IT"/>
        </w:rPr>
        <w:t xml:space="preserve"> .</w:t>
      </w:r>
      <w:r w:rsidR="00241B9C">
        <w:rPr>
          <w:rFonts w:eastAsia="Times New Roman" w:cstheme="minorHAnsi"/>
          <w:lang w:eastAsia="it-IT"/>
        </w:rPr>
        <w:t xml:space="preserve"> I suddetti rapporti a tempo determinato sono stati prorogati sino al 31.12.2020, così come previsto dalla L. 145/2018.</w:t>
      </w:r>
    </w:p>
    <w:p w:rsidR="00E90BF8" w:rsidRDefault="00E90BF8" w:rsidP="00815E55">
      <w:pPr>
        <w:jc w:val="both"/>
      </w:pPr>
    </w:p>
    <w:p w:rsidR="00FF77B6" w:rsidRDefault="00FF77B6" w:rsidP="00FF77B6">
      <w:pPr>
        <w:jc w:val="both"/>
        <w:rPr>
          <w:b/>
          <w:u w:val="single"/>
        </w:rPr>
      </w:pPr>
      <w:r w:rsidRPr="00E90BF8">
        <w:rPr>
          <w:b/>
          <w:u w:val="single"/>
        </w:rPr>
        <w:t>Previsione di spesa al 31.12.201</w:t>
      </w:r>
      <w:r w:rsidR="00E22C12">
        <w:rPr>
          <w:b/>
          <w:u w:val="single"/>
        </w:rPr>
        <w:t>9</w:t>
      </w:r>
      <w:r w:rsidRPr="00E90BF8">
        <w:rPr>
          <w:b/>
          <w:u w:val="single"/>
        </w:rPr>
        <w:t xml:space="preserve"> personale in servizio</w:t>
      </w:r>
    </w:p>
    <w:p w:rsidR="00E90BF8" w:rsidRDefault="00093922" w:rsidP="00815E55">
      <w:pPr>
        <w:jc w:val="both"/>
      </w:pPr>
      <w:r w:rsidRPr="00093922">
        <w:rPr>
          <w:noProof/>
          <w:lang w:eastAsia="it-IT"/>
        </w:rPr>
        <w:drawing>
          <wp:inline distT="0" distB="0" distL="0" distR="0">
            <wp:extent cx="6120130" cy="187960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879600"/>
                    </a:xfrm>
                    <a:prstGeom prst="rect">
                      <a:avLst/>
                    </a:prstGeom>
                    <a:noFill/>
                    <a:ln>
                      <a:noFill/>
                    </a:ln>
                  </pic:spPr>
                </pic:pic>
              </a:graphicData>
            </a:graphic>
          </wp:inline>
        </w:drawing>
      </w:r>
    </w:p>
    <w:p w:rsidR="002033F4" w:rsidRDefault="002033F4">
      <w:pPr>
        <w:rPr>
          <w:rFonts w:ascii="Arial" w:eastAsia="Times New Roman" w:hAnsi="Arial" w:cs="Arial"/>
          <w:b/>
          <w:color w:val="000000"/>
          <w:sz w:val="20"/>
          <w:szCs w:val="20"/>
          <w:u w:val="single"/>
          <w:lang w:eastAsia="it-IT"/>
        </w:rPr>
      </w:pPr>
      <w:r>
        <w:rPr>
          <w:rFonts w:ascii="Arial" w:eastAsia="Times New Roman" w:hAnsi="Arial" w:cs="Arial"/>
          <w:b/>
          <w:color w:val="000000"/>
          <w:sz w:val="20"/>
          <w:szCs w:val="20"/>
          <w:u w:val="single"/>
          <w:lang w:eastAsia="it-IT"/>
        </w:rPr>
        <w:br w:type="page"/>
      </w:r>
    </w:p>
    <w:p w:rsidR="00093922" w:rsidRDefault="00093922" w:rsidP="00FF77B6">
      <w:pPr>
        <w:spacing w:before="240" w:after="240"/>
        <w:ind w:right="-1"/>
        <w:mirrorIndents/>
        <w:rPr>
          <w:rFonts w:ascii="Arial" w:eastAsia="Times New Roman" w:hAnsi="Arial" w:cs="Arial"/>
          <w:b/>
          <w:color w:val="000000"/>
          <w:sz w:val="20"/>
          <w:szCs w:val="20"/>
          <w:u w:val="single"/>
          <w:lang w:eastAsia="it-IT"/>
        </w:rPr>
      </w:pPr>
      <w:bookmarkStart w:id="1" w:name="_GoBack"/>
      <w:bookmarkEnd w:id="1"/>
    </w:p>
    <w:p w:rsidR="00FF77B6" w:rsidRPr="00CA34AB" w:rsidRDefault="00FF77B6" w:rsidP="00FF77B6">
      <w:pPr>
        <w:spacing w:before="240" w:after="240"/>
        <w:ind w:right="-1"/>
        <w:mirrorIndents/>
        <w:rPr>
          <w:rFonts w:ascii="Arial" w:eastAsia="Times New Roman" w:hAnsi="Arial" w:cs="Arial"/>
          <w:b/>
          <w:color w:val="000000"/>
          <w:sz w:val="20"/>
          <w:szCs w:val="20"/>
          <w:u w:val="single"/>
          <w:lang w:eastAsia="it-IT"/>
        </w:rPr>
      </w:pPr>
      <w:bookmarkStart w:id="2" w:name="_Hlk27217885"/>
      <w:r w:rsidRPr="00CA34AB">
        <w:rPr>
          <w:rFonts w:ascii="Arial" w:eastAsia="Times New Roman" w:hAnsi="Arial" w:cs="Arial"/>
          <w:b/>
          <w:color w:val="000000"/>
          <w:sz w:val="20"/>
          <w:szCs w:val="20"/>
          <w:u w:val="single"/>
          <w:lang w:eastAsia="it-IT"/>
        </w:rPr>
        <w:t xml:space="preserve">Andamento della spesa di personale nell’ultimo </w:t>
      </w:r>
      <w:r w:rsidR="0081243F">
        <w:rPr>
          <w:rFonts w:ascii="Arial" w:eastAsia="Times New Roman" w:hAnsi="Arial" w:cs="Arial"/>
          <w:b/>
          <w:color w:val="000000"/>
          <w:sz w:val="20"/>
          <w:szCs w:val="20"/>
          <w:u w:val="single"/>
          <w:lang w:eastAsia="it-IT"/>
        </w:rPr>
        <w:t>triennio</w:t>
      </w:r>
    </w:p>
    <w:p w:rsidR="00934278" w:rsidRDefault="00934278" w:rsidP="00934278">
      <w:pPr>
        <w:autoSpaceDE w:val="0"/>
        <w:autoSpaceDN w:val="0"/>
        <w:adjustRightInd w:val="0"/>
        <w:spacing w:after="0" w:line="240" w:lineRule="auto"/>
        <w:rPr>
          <w:rFonts w:ascii="CIDFont+F2" w:hAnsi="CIDFont+F2" w:cs="CIDFont+F2"/>
          <w:color w:val="1F497D"/>
          <w:sz w:val="24"/>
          <w:szCs w:val="24"/>
        </w:rPr>
      </w:pPr>
      <w:r>
        <w:rPr>
          <w:rFonts w:ascii="CIDFont+F2" w:hAnsi="CIDFont+F2" w:cs="CIDFont+F2"/>
          <w:color w:val="1F497D"/>
          <w:sz w:val="24"/>
          <w:szCs w:val="24"/>
        </w:rPr>
        <w:t>Spese di personale</w:t>
      </w:r>
      <w:r>
        <w:rPr>
          <w:rFonts w:ascii="CIDFont+F2" w:hAnsi="CIDFont+F2" w:cs="CIDFont+F2"/>
          <w:color w:val="1F497D"/>
          <w:sz w:val="24"/>
          <w:szCs w:val="24"/>
        </w:rPr>
        <w:t xml:space="preserve"> come da piano indicatori sintetici dei consuntivi:</w:t>
      </w:r>
    </w:p>
    <w:bookmarkEnd w:id="2"/>
    <w:p w:rsidR="00934278" w:rsidRDefault="00934278"/>
    <w:tbl>
      <w:tblPr>
        <w:tblStyle w:val="Grigliatabella"/>
        <w:tblW w:w="0" w:type="auto"/>
        <w:tblLook w:val="04A0" w:firstRow="1" w:lastRow="0" w:firstColumn="1" w:lastColumn="0" w:noHBand="0" w:noVBand="1"/>
      </w:tblPr>
      <w:tblGrid>
        <w:gridCol w:w="2087"/>
        <w:gridCol w:w="2507"/>
        <w:gridCol w:w="1678"/>
        <w:gridCol w:w="1678"/>
        <w:gridCol w:w="1678"/>
      </w:tblGrid>
      <w:tr w:rsidR="00934278" w:rsidTr="00934278">
        <w:tc>
          <w:tcPr>
            <w:tcW w:w="2087" w:type="dxa"/>
          </w:tcPr>
          <w:p w:rsidR="00934278" w:rsidRDefault="00934278" w:rsidP="00934278">
            <w:pPr>
              <w:autoSpaceDE w:val="0"/>
              <w:autoSpaceDN w:val="0"/>
              <w:adjustRightInd w:val="0"/>
              <w:rPr>
                <w:rFonts w:ascii="CIDFont+F1" w:hAnsi="CIDFont+F1" w:cs="CIDFont+F1"/>
                <w:color w:val="000000"/>
                <w:sz w:val="20"/>
                <w:szCs w:val="20"/>
              </w:rPr>
            </w:pPr>
            <w:bookmarkStart w:id="3" w:name="_Hlk27217860"/>
          </w:p>
        </w:tc>
        <w:tc>
          <w:tcPr>
            <w:tcW w:w="2507" w:type="dxa"/>
          </w:tcPr>
          <w:p w:rsidR="00934278" w:rsidRDefault="00934278" w:rsidP="00934278">
            <w:pPr>
              <w:autoSpaceDE w:val="0"/>
              <w:autoSpaceDN w:val="0"/>
              <w:adjustRightInd w:val="0"/>
              <w:rPr>
                <w:rFonts w:ascii="CIDFont+F1" w:hAnsi="CIDFont+F1" w:cs="CIDFont+F1"/>
                <w:color w:val="000000"/>
                <w:sz w:val="20"/>
                <w:szCs w:val="20"/>
              </w:rPr>
            </w:pPr>
          </w:p>
        </w:tc>
        <w:tc>
          <w:tcPr>
            <w:tcW w:w="1678" w:type="dxa"/>
          </w:tcPr>
          <w:p w:rsidR="00934278" w:rsidRDefault="00934278">
            <w:r>
              <w:t>2018</w:t>
            </w:r>
          </w:p>
        </w:tc>
        <w:tc>
          <w:tcPr>
            <w:tcW w:w="1678" w:type="dxa"/>
          </w:tcPr>
          <w:p w:rsidR="00934278" w:rsidRDefault="00934278">
            <w:r>
              <w:t>2017</w:t>
            </w:r>
          </w:p>
        </w:tc>
        <w:tc>
          <w:tcPr>
            <w:tcW w:w="1678" w:type="dxa"/>
          </w:tcPr>
          <w:p w:rsidR="00934278" w:rsidRDefault="00934278">
            <w:r>
              <w:t>2016</w:t>
            </w:r>
          </w:p>
        </w:tc>
      </w:tr>
      <w:tr w:rsidR="00934278" w:rsidTr="00934278">
        <w:tc>
          <w:tcPr>
            <w:tcW w:w="2087" w:type="dxa"/>
          </w:tcPr>
          <w:p w:rsidR="00934278" w:rsidRDefault="00934278" w:rsidP="00934278">
            <w:pPr>
              <w:autoSpaceDE w:val="0"/>
              <w:autoSpaceDN w:val="0"/>
              <w:adjustRightInd w:val="0"/>
              <w:rPr>
                <w:rFonts w:ascii="CIDFont+F1" w:hAnsi="CIDFont+F1" w:cs="CIDFont+F1"/>
                <w:color w:val="000000"/>
                <w:sz w:val="20"/>
                <w:szCs w:val="20"/>
              </w:rPr>
            </w:pPr>
            <w:r>
              <w:rPr>
                <w:rFonts w:ascii="CIDFont+F1" w:hAnsi="CIDFont+F1" w:cs="CIDFont+F1"/>
                <w:color w:val="000000"/>
                <w:sz w:val="20"/>
                <w:szCs w:val="20"/>
              </w:rPr>
              <w:t xml:space="preserve">1 </w:t>
            </w:r>
            <w:proofErr w:type="spellStart"/>
            <w:r>
              <w:rPr>
                <w:rFonts w:ascii="CIDFont+F1" w:hAnsi="CIDFont+F1" w:cs="CIDFont+F1"/>
                <w:color w:val="000000"/>
                <w:sz w:val="20"/>
                <w:szCs w:val="20"/>
              </w:rPr>
              <w:t>Incidenza</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della</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spesa</w:t>
            </w:r>
            <w:proofErr w:type="spellEnd"/>
            <w:r>
              <w:rPr>
                <w:rFonts w:ascii="CIDFont+F1" w:hAnsi="CIDFont+F1" w:cs="CIDFont+F1"/>
                <w:color w:val="000000"/>
                <w:sz w:val="20"/>
                <w:szCs w:val="20"/>
              </w:rPr>
              <w:t xml:space="preserve"> di </w:t>
            </w:r>
            <w:proofErr w:type="spellStart"/>
            <w:r>
              <w:rPr>
                <w:rFonts w:ascii="CIDFont+F1" w:hAnsi="CIDFont+F1" w:cs="CIDFont+F1"/>
                <w:color w:val="000000"/>
                <w:sz w:val="20"/>
                <w:szCs w:val="20"/>
              </w:rPr>
              <w:t>personale</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sulla</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spesa</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corrente</w:t>
            </w:r>
            <w:proofErr w:type="spellEnd"/>
          </w:p>
          <w:p w:rsidR="00934278" w:rsidRDefault="00934278"/>
        </w:tc>
        <w:tc>
          <w:tcPr>
            <w:tcW w:w="2507" w:type="dxa"/>
          </w:tcPr>
          <w:p w:rsidR="00934278" w:rsidRDefault="00934278" w:rsidP="00934278">
            <w:pPr>
              <w:autoSpaceDE w:val="0"/>
              <w:autoSpaceDN w:val="0"/>
              <w:adjustRightInd w:val="0"/>
              <w:rPr>
                <w:b/>
                <w:u w:val="single"/>
              </w:rPr>
            </w:pPr>
            <w:r>
              <w:rPr>
                <w:rFonts w:ascii="CIDFont+F1" w:hAnsi="CIDFont+F1" w:cs="CIDFont+F1"/>
                <w:color w:val="000000"/>
                <w:sz w:val="20"/>
                <w:szCs w:val="20"/>
              </w:rPr>
              <w:t>4.Impegni (</w:t>
            </w:r>
            <w:proofErr w:type="spellStart"/>
            <w:r>
              <w:rPr>
                <w:rFonts w:ascii="CIDFont+F1" w:hAnsi="CIDFont+F1" w:cs="CIDFont+F1"/>
                <w:color w:val="000000"/>
                <w:sz w:val="20"/>
                <w:szCs w:val="20"/>
              </w:rPr>
              <w:t>Macroaggregato</w:t>
            </w:r>
            <w:proofErr w:type="spellEnd"/>
            <w:r>
              <w:rPr>
                <w:rFonts w:ascii="CIDFont+F1" w:hAnsi="CIDFont+F1" w:cs="CIDFont+F1"/>
                <w:color w:val="000000"/>
                <w:sz w:val="20"/>
                <w:szCs w:val="20"/>
              </w:rPr>
              <w:t xml:space="preserve"> 1.1 "Redditi di </w:t>
            </w:r>
            <w:proofErr w:type="spellStart"/>
            <w:r>
              <w:rPr>
                <w:rFonts w:ascii="CIDFont+F1" w:hAnsi="CIDFont+F1" w:cs="CIDFont+F1"/>
                <w:color w:val="000000"/>
                <w:sz w:val="20"/>
                <w:szCs w:val="20"/>
              </w:rPr>
              <w:t>lavoro</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dipendente</w:t>
            </w:r>
            <w:proofErr w:type="spellEnd"/>
            <w:r>
              <w:rPr>
                <w:rFonts w:ascii="CIDFont+F1" w:hAnsi="CIDFont+F1" w:cs="CIDFont+F1"/>
                <w:color w:val="000000"/>
                <w:sz w:val="20"/>
                <w:szCs w:val="20"/>
              </w:rPr>
              <w:t xml:space="preserve">" + pdc1.02.01.01.000 "IRAP" + FPV personale in uscita 1.1 – FPV </w:t>
            </w:r>
            <w:proofErr w:type="spellStart"/>
            <w:r>
              <w:rPr>
                <w:rFonts w:ascii="CIDFont+F1" w:hAnsi="CIDFont+F1" w:cs="CIDFont+F1"/>
                <w:color w:val="000000"/>
                <w:sz w:val="20"/>
                <w:szCs w:val="20"/>
              </w:rPr>
              <w:t>personale</w:t>
            </w:r>
            <w:proofErr w:type="spellEnd"/>
            <w:r>
              <w:rPr>
                <w:rFonts w:ascii="CIDFont+F1" w:hAnsi="CIDFont+F1" w:cs="CIDFont+F1"/>
                <w:color w:val="000000"/>
                <w:sz w:val="20"/>
                <w:szCs w:val="20"/>
              </w:rPr>
              <w:t xml:space="preserve"> in</w:t>
            </w:r>
            <w:r>
              <w:rPr>
                <w:rFonts w:ascii="CIDFont+F1" w:hAnsi="CIDFont+F1" w:cs="CIDFont+F1"/>
                <w:color w:val="000000"/>
                <w:sz w:val="20"/>
                <w:szCs w:val="20"/>
              </w:rPr>
              <w:t xml:space="preserve"> </w:t>
            </w:r>
            <w:proofErr w:type="spellStart"/>
            <w:r>
              <w:rPr>
                <w:rFonts w:ascii="CIDFont+F1" w:hAnsi="CIDFont+F1" w:cs="CIDFont+F1"/>
                <w:color w:val="000000"/>
                <w:sz w:val="20"/>
                <w:szCs w:val="20"/>
              </w:rPr>
              <w:t>entrata</w:t>
            </w:r>
            <w:proofErr w:type="spellEnd"/>
            <w:r>
              <w:rPr>
                <w:rFonts w:ascii="CIDFont+F1" w:hAnsi="CIDFont+F1" w:cs="CIDFont+F1"/>
                <w:color w:val="000000"/>
                <w:sz w:val="20"/>
                <w:szCs w:val="20"/>
              </w:rPr>
              <w:t xml:space="preserve"> concernente il </w:t>
            </w:r>
            <w:proofErr w:type="spellStart"/>
            <w:r>
              <w:rPr>
                <w:rFonts w:ascii="CIDFont+F1" w:hAnsi="CIDFont+F1" w:cs="CIDFont+F1"/>
                <w:color w:val="000000"/>
                <w:sz w:val="20"/>
                <w:szCs w:val="20"/>
              </w:rPr>
              <w:t>Macroaggregato</w:t>
            </w:r>
            <w:proofErr w:type="spellEnd"/>
            <w:r>
              <w:rPr>
                <w:rFonts w:ascii="CIDFont+F1" w:hAnsi="CIDFont+F1" w:cs="CIDFont+F1"/>
                <w:color w:val="000000"/>
                <w:sz w:val="20"/>
                <w:szCs w:val="20"/>
              </w:rPr>
              <w:t xml:space="preserve"> 1.1) / (Impegni Spesa corrente –FCDE corrente + FPV concernente il </w:t>
            </w:r>
            <w:proofErr w:type="spellStart"/>
            <w:r>
              <w:rPr>
                <w:rFonts w:ascii="CIDFont+F1" w:hAnsi="CIDFont+F1" w:cs="CIDFont+F1"/>
                <w:color w:val="000000"/>
                <w:sz w:val="20"/>
                <w:szCs w:val="20"/>
              </w:rPr>
              <w:t>Macroaggregato</w:t>
            </w:r>
            <w:proofErr w:type="spellEnd"/>
            <w:r>
              <w:rPr>
                <w:rFonts w:ascii="CIDFont+F1" w:hAnsi="CIDFont+F1" w:cs="CIDFont+F1"/>
                <w:color w:val="000000"/>
                <w:sz w:val="20"/>
                <w:szCs w:val="20"/>
              </w:rPr>
              <w:t xml:space="preserve"> 1.1 – FPV di </w:t>
            </w:r>
            <w:proofErr w:type="spellStart"/>
            <w:r>
              <w:rPr>
                <w:rFonts w:ascii="CIDFont+F1" w:hAnsi="CIDFont+F1" w:cs="CIDFont+F1"/>
                <w:color w:val="000000"/>
                <w:sz w:val="20"/>
                <w:szCs w:val="20"/>
              </w:rPr>
              <w:t>entrataconcernente</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il</w:t>
            </w:r>
            <w:proofErr w:type="spellEnd"/>
            <w:r>
              <w:rPr>
                <w:rFonts w:ascii="CIDFont+F1" w:hAnsi="CIDFont+F1" w:cs="CIDFont+F1"/>
                <w:color w:val="000000"/>
                <w:sz w:val="20"/>
                <w:szCs w:val="20"/>
              </w:rPr>
              <w:t xml:space="preserve"> </w:t>
            </w:r>
            <w:proofErr w:type="spellStart"/>
            <w:r>
              <w:rPr>
                <w:rFonts w:ascii="CIDFont+F1" w:hAnsi="CIDFont+F1" w:cs="CIDFont+F1"/>
                <w:color w:val="000000"/>
                <w:sz w:val="20"/>
                <w:szCs w:val="20"/>
              </w:rPr>
              <w:t>Macroaggregato</w:t>
            </w:r>
            <w:proofErr w:type="spellEnd"/>
            <w:r>
              <w:rPr>
                <w:rFonts w:ascii="CIDFont+F1" w:hAnsi="CIDFont+F1" w:cs="CIDFont+F1"/>
                <w:color w:val="000000"/>
                <w:sz w:val="20"/>
                <w:szCs w:val="20"/>
              </w:rPr>
              <w:t xml:space="preserve"> 1.1)</w:t>
            </w:r>
          </w:p>
          <w:p w:rsidR="00934278" w:rsidRDefault="00934278"/>
        </w:tc>
        <w:tc>
          <w:tcPr>
            <w:tcW w:w="1678" w:type="dxa"/>
          </w:tcPr>
          <w:p w:rsidR="00934278" w:rsidRDefault="00934278">
            <w:r>
              <w:t>50,93</w:t>
            </w:r>
          </w:p>
        </w:tc>
        <w:tc>
          <w:tcPr>
            <w:tcW w:w="1678" w:type="dxa"/>
          </w:tcPr>
          <w:p w:rsidR="00934278" w:rsidRDefault="00934278">
            <w:r>
              <w:t>55,04</w:t>
            </w:r>
          </w:p>
        </w:tc>
        <w:tc>
          <w:tcPr>
            <w:tcW w:w="1678" w:type="dxa"/>
          </w:tcPr>
          <w:p w:rsidR="00934278" w:rsidRDefault="00934278">
            <w:r>
              <w:t>55,29</w:t>
            </w:r>
          </w:p>
        </w:tc>
      </w:tr>
      <w:bookmarkEnd w:id="3"/>
    </w:tbl>
    <w:p w:rsidR="00934278" w:rsidRDefault="00934278"/>
    <w:p w:rsidR="00934278" w:rsidRDefault="00934278"/>
    <w:p w:rsidR="00934278" w:rsidRDefault="00934278"/>
    <w:p w:rsidR="00934278" w:rsidRDefault="00934278"/>
    <w:p w:rsidR="00934278" w:rsidRDefault="00934278"/>
    <w:p w:rsidR="00934278" w:rsidRDefault="00934278"/>
    <w:p w:rsidR="00FF77B6" w:rsidRDefault="00FF77B6">
      <w:r>
        <w:br w:type="page"/>
      </w:r>
    </w:p>
    <w:p w:rsidR="00815E55" w:rsidRPr="00815E55" w:rsidRDefault="00815E55" w:rsidP="00BE629E">
      <w:pPr>
        <w:rPr>
          <w:b/>
          <w:u w:val="single"/>
        </w:rPr>
      </w:pPr>
      <w:r w:rsidRPr="00815E55">
        <w:rPr>
          <w:b/>
          <w:u w:val="single"/>
        </w:rPr>
        <w:lastRenderedPageBreak/>
        <w:t>Cessazioni ed assunzioni a partire dagli ultimi dieci anni</w:t>
      </w:r>
    </w:p>
    <w:p w:rsidR="00E735A4" w:rsidRDefault="00815E55" w:rsidP="00815E55">
      <w:pPr>
        <w:spacing w:line="252" w:lineRule="auto"/>
        <w:jc w:val="both"/>
        <w:rPr>
          <w:rFonts w:eastAsiaTheme="minorEastAsia"/>
        </w:rPr>
      </w:pPr>
      <w:r w:rsidRPr="00815E55">
        <w:rPr>
          <w:rFonts w:eastAsiaTheme="minorEastAsia"/>
        </w:rPr>
        <w:t xml:space="preserve">Nell’arco di 10 anni le assunzioni </w:t>
      </w:r>
      <w:r w:rsidR="00580524">
        <w:rPr>
          <w:rFonts w:eastAsiaTheme="minorEastAsia"/>
        </w:rPr>
        <w:t xml:space="preserve">a tempo indeterminato </w:t>
      </w:r>
      <w:r w:rsidRPr="00815E55">
        <w:rPr>
          <w:rFonts w:eastAsiaTheme="minorEastAsia"/>
        </w:rPr>
        <w:t xml:space="preserve">sono state </w:t>
      </w:r>
      <w:r w:rsidR="00D26964">
        <w:rPr>
          <w:rFonts w:eastAsiaTheme="minorEastAsia"/>
        </w:rPr>
        <w:t xml:space="preserve">di </w:t>
      </w:r>
      <w:r w:rsidR="002C704B">
        <w:rPr>
          <w:rFonts w:eastAsiaTheme="minorEastAsia"/>
        </w:rPr>
        <w:t>1</w:t>
      </w:r>
      <w:r w:rsidR="00D26964">
        <w:rPr>
          <w:rFonts w:eastAsiaTheme="minorEastAsia"/>
        </w:rPr>
        <w:t xml:space="preserve"> unità </w:t>
      </w:r>
      <w:r w:rsidRPr="00815E55">
        <w:rPr>
          <w:rFonts w:eastAsiaTheme="minorEastAsia"/>
        </w:rPr>
        <w:t xml:space="preserve">e le cessazioni </w:t>
      </w:r>
      <w:r w:rsidR="00D26964">
        <w:rPr>
          <w:rFonts w:eastAsiaTheme="minorEastAsia"/>
        </w:rPr>
        <w:t xml:space="preserve">di </w:t>
      </w:r>
      <w:r w:rsidR="00E735A4">
        <w:rPr>
          <w:rFonts w:eastAsiaTheme="minorEastAsia"/>
        </w:rPr>
        <w:t>4</w:t>
      </w:r>
      <w:r w:rsidR="00D26964">
        <w:rPr>
          <w:rFonts w:eastAsiaTheme="minorEastAsia"/>
        </w:rPr>
        <w:t xml:space="preserve"> unità</w:t>
      </w:r>
      <w:r w:rsidR="00E735A4">
        <w:rPr>
          <w:rFonts w:eastAsiaTheme="minorEastAsia"/>
        </w:rPr>
        <w:t xml:space="preserve">. Nell’anno 2018 si è verificata una cessazione dal servizio per mobilità la quale non può essere computata quale risparmio utile per definire la disponibilità finanziaria </w:t>
      </w:r>
      <w:r w:rsidR="001E6E8D">
        <w:rPr>
          <w:rFonts w:eastAsiaTheme="minorEastAsia"/>
        </w:rPr>
        <w:t xml:space="preserve">da destinare alle assunzioni in relazione ai limiti normativi definiti per il turn over. </w:t>
      </w:r>
    </w:p>
    <w:tbl>
      <w:tblPr>
        <w:tblW w:w="9310" w:type="dxa"/>
        <w:jc w:val="center"/>
        <w:tblCellMar>
          <w:left w:w="70" w:type="dxa"/>
          <w:right w:w="70" w:type="dxa"/>
        </w:tblCellMar>
        <w:tblLook w:val="04A0" w:firstRow="1" w:lastRow="0" w:firstColumn="1" w:lastColumn="0" w:noHBand="0" w:noVBand="1"/>
      </w:tblPr>
      <w:tblGrid>
        <w:gridCol w:w="1069"/>
        <w:gridCol w:w="587"/>
        <w:gridCol w:w="640"/>
        <w:gridCol w:w="680"/>
        <w:gridCol w:w="660"/>
        <w:gridCol w:w="620"/>
        <w:gridCol w:w="620"/>
        <w:gridCol w:w="680"/>
        <w:gridCol w:w="587"/>
        <w:gridCol w:w="660"/>
        <w:gridCol w:w="680"/>
        <w:gridCol w:w="587"/>
        <w:gridCol w:w="620"/>
        <w:gridCol w:w="620"/>
      </w:tblGrid>
      <w:tr w:rsidR="009F748B" w:rsidRPr="00815E55" w:rsidTr="009F748B">
        <w:trPr>
          <w:trHeight w:val="290"/>
          <w:jc w:val="center"/>
        </w:trPr>
        <w:tc>
          <w:tcPr>
            <w:tcW w:w="1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both"/>
              <w:rPr>
                <w:rFonts w:ascii="Calibri" w:eastAsia="Times New Roman" w:hAnsi="Calibri" w:cs="Calibri"/>
                <w:color w:val="000000"/>
                <w:lang w:eastAsia="it-IT"/>
              </w:rPr>
            </w:pPr>
            <w:r w:rsidRPr="00815E55">
              <w:rPr>
                <w:rFonts w:ascii="Calibri" w:eastAsia="Times New Roman" w:hAnsi="Calibri" w:cs="Calibri"/>
                <w:color w:val="000000"/>
                <w:lang w:eastAsia="it-IT"/>
              </w:rPr>
              <w:t>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2008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2009</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2011</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2012</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2014</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2016</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2017</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2018</w:t>
            </w:r>
          </w:p>
        </w:tc>
        <w:tc>
          <w:tcPr>
            <w:tcW w:w="620" w:type="dxa"/>
            <w:tcBorders>
              <w:top w:val="single" w:sz="4" w:space="0" w:color="auto"/>
              <w:left w:val="nil"/>
              <w:bottom w:val="single" w:sz="4" w:space="0" w:color="auto"/>
              <w:right w:val="single" w:sz="12" w:space="0" w:color="auto"/>
            </w:tcBorders>
          </w:tcPr>
          <w:p w:rsidR="009F748B" w:rsidRPr="00815E55" w:rsidRDefault="009F748B" w:rsidP="00815E55">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2019</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both"/>
              <w:rPr>
                <w:rFonts w:ascii="Calibri" w:eastAsia="Times New Roman" w:hAnsi="Calibri" w:cs="Calibri"/>
                <w:color w:val="000000"/>
                <w:lang w:eastAsia="it-IT"/>
              </w:rPr>
            </w:pPr>
            <w:r w:rsidRPr="00815E55">
              <w:rPr>
                <w:rFonts w:ascii="Calibri" w:eastAsia="Times New Roman" w:hAnsi="Calibri" w:cs="Calibri"/>
                <w:color w:val="000000"/>
                <w:lang w:eastAsia="it-IT"/>
              </w:rPr>
              <w:t>tot</w:t>
            </w:r>
          </w:p>
        </w:tc>
      </w:tr>
      <w:tr w:rsidR="009F748B" w:rsidRPr="00815E55" w:rsidTr="009F748B">
        <w:trPr>
          <w:trHeight w:val="290"/>
          <w:jc w:val="center"/>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both"/>
              <w:rPr>
                <w:rFonts w:ascii="Calibri" w:eastAsia="Times New Roman" w:hAnsi="Calibri" w:cs="Calibri"/>
                <w:color w:val="000000"/>
                <w:lang w:eastAsia="it-IT"/>
              </w:rPr>
            </w:pPr>
            <w:r w:rsidRPr="00815E55">
              <w:rPr>
                <w:rFonts w:ascii="Calibri" w:eastAsia="Times New Roman" w:hAnsi="Calibri" w:cs="Calibri"/>
                <w:color w:val="000000"/>
                <w:lang w:eastAsia="it-IT"/>
              </w:rPr>
              <w:t>assunzioni</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4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6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2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2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6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1</w:t>
            </w:r>
          </w:p>
        </w:tc>
        <w:tc>
          <w:tcPr>
            <w:tcW w:w="620" w:type="dxa"/>
            <w:tcBorders>
              <w:top w:val="nil"/>
              <w:left w:val="nil"/>
              <w:bottom w:val="single" w:sz="4" w:space="0" w:color="auto"/>
              <w:right w:val="single" w:sz="12" w:space="0" w:color="auto"/>
            </w:tcBorders>
          </w:tcPr>
          <w:p w:rsidR="009F748B" w:rsidRPr="00815E55" w:rsidRDefault="009F748B" w:rsidP="00815E55">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0</w:t>
            </w:r>
          </w:p>
        </w:tc>
        <w:tc>
          <w:tcPr>
            <w:tcW w:w="620" w:type="dxa"/>
            <w:tcBorders>
              <w:top w:val="nil"/>
              <w:left w:val="single" w:sz="12"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1</w:t>
            </w:r>
          </w:p>
        </w:tc>
      </w:tr>
      <w:tr w:rsidR="009F748B" w:rsidRPr="00815E55" w:rsidTr="009F748B">
        <w:trPr>
          <w:trHeight w:val="290"/>
          <w:jc w:val="center"/>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both"/>
              <w:rPr>
                <w:rFonts w:ascii="Calibri" w:eastAsia="Times New Roman" w:hAnsi="Calibri" w:cs="Calibri"/>
                <w:color w:val="000000"/>
                <w:lang w:eastAsia="it-IT"/>
              </w:rPr>
            </w:pPr>
            <w:r w:rsidRPr="00815E55">
              <w:rPr>
                <w:rFonts w:ascii="Calibri" w:eastAsia="Times New Roman" w:hAnsi="Calibri" w:cs="Calibri"/>
                <w:color w:val="000000"/>
                <w:lang w:eastAsia="it-IT"/>
              </w:rPr>
              <w:t>cessazioni</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4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1</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6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2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2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6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sidRPr="00815E55">
              <w:rPr>
                <w:rFonts w:ascii="Calibri" w:eastAsia="Times New Roman" w:hAnsi="Calibri" w:cs="Calibri"/>
                <w:color w:val="000000"/>
                <w:lang w:eastAsia="it-IT"/>
              </w:rPr>
              <w:t>2</w:t>
            </w:r>
          </w:p>
        </w:tc>
        <w:tc>
          <w:tcPr>
            <w:tcW w:w="587" w:type="dxa"/>
            <w:tcBorders>
              <w:top w:val="nil"/>
              <w:left w:val="nil"/>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1</w:t>
            </w:r>
          </w:p>
        </w:tc>
        <w:tc>
          <w:tcPr>
            <w:tcW w:w="620" w:type="dxa"/>
            <w:tcBorders>
              <w:top w:val="nil"/>
              <w:left w:val="nil"/>
              <w:bottom w:val="single" w:sz="4" w:space="0" w:color="auto"/>
              <w:right w:val="single" w:sz="12" w:space="0" w:color="auto"/>
            </w:tcBorders>
          </w:tcPr>
          <w:p w:rsidR="009F748B" w:rsidRDefault="009F748B" w:rsidP="00815E55">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0</w:t>
            </w:r>
          </w:p>
        </w:tc>
        <w:tc>
          <w:tcPr>
            <w:tcW w:w="620" w:type="dxa"/>
            <w:tcBorders>
              <w:top w:val="nil"/>
              <w:left w:val="single" w:sz="12" w:space="0" w:color="auto"/>
              <w:bottom w:val="single" w:sz="4" w:space="0" w:color="auto"/>
              <w:right w:val="single" w:sz="4" w:space="0" w:color="auto"/>
            </w:tcBorders>
            <w:shd w:val="clear" w:color="auto" w:fill="auto"/>
            <w:noWrap/>
            <w:vAlign w:val="bottom"/>
            <w:hideMark/>
          </w:tcPr>
          <w:p w:rsidR="009F748B" w:rsidRPr="00815E55" w:rsidRDefault="009F748B" w:rsidP="00815E55">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4</w:t>
            </w:r>
          </w:p>
        </w:tc>
      </w:tr>
    </w:tbl>
    <w:p w:rsidR="00580524" w:rsidRDefault="00580524" w:rsidP="00815E55">
      <w:pPr>
        <w:spacing w:line="252" w:lineRule="auto"/>
        <w:jc w:val="both"/>
        <w:rPr>
          <w:rFonts w:eastAsiaTheme="minorEastAsia"/>
        </w:rPr>
      </w:pPr>
    </w:p>
    <w:p w:rsidR="00815E55" w:rsidRPr="00815E55" w:rsidRDefault="00815E55" w:rsidP="00815E55">
      <w:pPr>
        <w:spacing w:line="252" w:lineRule="auto"/>
        <w:jc w:val="both"/>
        <w:rPr>
          <w:rFonts w:eastAsiaTheme="minorEastAsia"/>
        </w:rPr>
      </w:pPr>
      <w:r w:rsidRPr="00815E55">
        <w:rPr>
          <w:rFonts w:eastAsiaTheme="minorEastAsia"/>
        </w:rPr>
        <w:t xml:space="preserve">Le cessazioni avvenute sono relative a 3 posizioni di categoria B e </w:t>
      </w:r>
      <w:r w:rsidR="0049485F">
        <w:rPr>
          <w:rFonts w:eastAsiaTheme="minorEastAsia"/>
        </w:rPr>
        <w:t>1</w:t>
      </w:r>
      <w:r w:rsidRPr="00815E55">
        <w:rPr>
          <w:rFonts w:eastAsiaTheme="minorEastAsia"/>
        </w:rPr>
        <w:t xml:space="preserve"> di categoria D.</w:t>
      </w:r>
    </w:p>
    <w:p w:rsidR="00815E55" w:rsidRPr="00815E55" w:rsidRDefault="000E6E19" w:rsidP="00815E55">
      <w:pPr>
        <w:spacing w:line="252" w:lineRule="auto"/>
        <w:jc w:val="both"/>
        <w:rPr>
          <w:rFonts w:eastAsiaTheme="minorEastAsia"/>
        </w:rPr>
      </w:pPr>
      <w:r>
        <w:rPr>
          <w:rFonts w:eastAsiaTheme="minorEastAsia"/>
        </w:rPr>
        <w:t>L’assunzione effettuata</w:t>
      </w:r>
      <w:r w:rsidR="00815E55" w:rsidRPr="00815E55">
        <w:rPr>
          <w:rFonts w:eastAsiaTheme="minorEastAsia"/>
        </w:rPr>
        <w:t xml:space="preserve"> </w:t>
      </w:r>
      <w:r>
        <w:rPr>
          <w:rFonts w:eastAsiaTheme="minorEastAsia"/>
        </w:rPr>
        <w:t xml:space="preserve">è </w:t>
      </w:r>
      <w:r w:rsidR="00815E55" w:rsidRPr="00815E55">
        <w:rPr>
          <w:rFonts w:eastAsiaTheme="minorEastAsia"/>
        </w:rPr>
        <w:t>d</w:t>
      </w:r>
      <w:r>
        <w:rPr>
          <w:rFonts w:eastAsiaTheme="minorEastAsia"/>
        </w:rPr>
        <w:t>i</w:t>
      </w:r>
      <w:r w:rsidR="00815E55" w:rsidRPr="00815E55">
        <w:rPr>
          <w:rFonts w:eastAsiaTheme="minorEastAsia"/>
        </w:rPr>
        <w:t xml:space="preserve"> 1 unità di categoria C</w:t>
      </w:r>
    </w:p>
    <w:p w:rsidR="00D26964" w:rsidRPr="00D26964" w:rsidRDefault="00D26964" w:rsidP="00D26964">
      <w:pPr>
        <w:spacing w:line="252" w:lineRule="auto"/>
        <w:jc w:val="both"/>
        <w:rPr>
          <w:rFonts w:eastAsiaTheme="minorEastAsia"/>
        </w:rPr>
      </w:pPr>
      <w:r w:rsidRPr="00D26964">
        <w:rPr>
          <w:rFonts w:eastAsiaTheme="minorEastAsia" w:cstheme="minorHAnsi"/>
        </w:rPr>
        <w:t xml:space="preserve">Ai fini di razionalizzare le spese del personale non è stata utilizzata la capacità </w:t>
      </w:r>
      <w:proofErr w:type="spellStart"/>
      <w:r w:rsidRPr="00D26964">
        <w:rPr>
          <w:rFonts w:eastAsiaTheme="minorEastAsia" w:cstheme="minorHAnsi"/>
        </w:rPr>
        <w:t>assunzionale</w:t>
      </w:r>
      <w:proofErr w:type="spellEnd"/>
      <w:r w:rsidRPr="00D26964">
        <w:rPr>
          <w:rFonts w:eastAsiaTheme="minorEastAsia" w:cstheme="minorHAnsi"/>
        </w:rPr>
        <w:t xml:space="preserve"> prevista per i comuni sotto ai mille abitanti </w:t>
      </w:r>
      <w:r w:rsidRPr="00D26964">
        <w:rPr>
          <w:rFonts w:eastAsiaTheme="minorEastAsia"/>
        </w:rPr>
        <w:t>che è pari al 100% delle cessazioni dell’anno precedente cumulabili dal 200</w:t>
      </w:r>
      <w:r w:rsidR="000E6E19">
        <w:rPr>
          <w:rFonts w:eastAsiaTheme="minorEastAsia"/>
        </w:rPr>
        <w:t>7</w:t>
      </w:r>
      <w:r>
        <w:rPr>
          <w:rFonts w:eastAsiaTheme="minorEastAsia"/>
        </w:rPr>
        <w:t>.</w:t>
      </w:r>
    </w:p>
    <w:p w:rsidR="00815E55" w:rsidRPr="002C704B" w:rsidRDefault="002C704B" w:rsidP="00BE629E">
      <w:pPr>
        <w:rPr>
          <w:b/>
          <w:u w:val="single"/>
        </w:rPr>
      </w:pPr>
      <w:r w:rsidRPr="002C704B">
        <w:rPr>
          <w:b/>
          <w:u w:val="single"/>
        </w:rPr>
        <w:t>Rapporto popolazione/dipendenti al 31.12.201</w:t>
      </w:r>
      <w:r w:rsidR="00093922">
        <w:rPr>
          <w:b/>
          <w:u w:val="single"/>
        </w:rPr>
        <w:t>8</w:t>
      </w:r>
    </w:p>
    <w:p w:rsidR="00BE629E" w:rsidRDefault="00BE629E" w:rsidP="002C704B">
      <w:pPr>
        <w:jc w:val="both"/>
      </w:pPr>
      <w:bookmarkStart w:id="4" w:name="_Hlk536705249"/>
      <w:r>
        <w:t>Il Comune registra un rapporto popolazione/dipendenti inferiore rispetto al parametro</w:t>
      </w:r>
      <w:r w:rsidR="002C704B">
        <w:t xml:space="preserve"> </w:t>
      </w:r>
      <w:r>
        <w:t>indicato dal D.M. 10 aprile 2017 per gli enti in condizione di dissesto, per il triennio</w:t>
      </w:r>
      <w:r w:rsidR="002C704B">
        <w:t xml:space="preserve"> </w:t>
      </w:r>
      <w:r>
        <w:t>2017/2019, essendo pari a 1/</w:t>
      </w:r>
      <w:r w:rsidR="002C704B">
        <w:t>72 (popolazione residente al 31.12.1</w:t>
      </w:r>
      <w:r w:rsidR="00FC6CBF">
        <w:t>8</w:t>
      </w:r>
      <w:r w:rsidR="002C704B">
        <w:t xml:space="preserve"> (</w:t>
      </w:r>
      <w:proofErr w:type="gramStart"/>
      <w:r w:rsidR="002C704B">
        <w:t>360)-</w:t>
      </w:r>
      <w:proofErr w:type="gramEnd"/>
      <w:r w:rsidR="002C704B">
        <w:t xml:space="preserve"> dipendente in servizio a tempo indeterminato al 31.12.17 (cinque))</w:t>
      </w:r>
      <w:r>
        <w:t>, inferiore al rapporto medio previsto per la classe</w:t>
      </w:r>
      <w:r w:rsidR="002C704B">
        <w:t xml:space="preserve"> </w:t>
      </w:r>
      <w:r>
        <w:t>demografica di appartenenza(1/59)</w:t>
      </w:r>
      <w:bookmarkEnd w:id="4"/>
      <w:r>
        <w:t>.</w:t>
      </w:r>
      <w:r w:rsidR="002C704B">
        <w:t xml:space="preserve"> </w:t>
      </w:r>
    </w:p>
    <w:p w:rsidR="00F35F67" w:rsidRPr="001359C1" w:rsidRDefault="00F35F67" w:rsidP="00F35F67">
      <w:pPr>
        <w:widowControl w:val="0"/>
        <w:jc w:val="both"/>
        <w:rPr>
          <w:rFonts w:ascii="Palatino Linotype" w:hAnsi="Palatino Linotype"/>
          <w:b/>
        </w:rPr>
      </w:pPr>
      <w:r>
        <w:rPr>
          <w:rFonts w:ascii="Palatino Linotype" w:hAnsi="Palatino Linotype"/>
          <w:b/>
        </w:rPr>
        <w:t>PREVISIONE FABBISOGNO PERSONALE 20</w:t>
      </w:r>
      <w:r w:rsidR="006E033F">
        <w:rPr>
          <w:rFonts w:ascii="Palatino Linotype" w:hAnsi="Palatino Linotype"/>
          <w:b/>
        </w:rPr>
        <w:t>20</w:t>
      </w:r>
      <w:r>
        <w:rPr>
          <w:rFonts w:ascii="Palatino Linotype" w:hAnsi="Palatino Linotype"/>
          <w:b/>
        </w:rPr>
        <w:t>-202</w:t>
      </w:r>
      <w:r w:rsidR="006E033F">
        <w:rPr>
          <w:rFonts w:ascii="Palatino Linotype" w:hAnsi="Palatino Linotype"/>
          <w:b/>
        </w:rPr>
        <w:t>2</w:t>
      </w:r>
    </w:p>
    <w:p w:rsidR="00F35F67" w:rsidRDefault="006E033F" w:rsidP="00F35F67">
      <w:r w:rsidRPr="006E033F">
        <w:rPr>
          <w:noProof/>
          <w:lang w:eastAsia="it-IT"/>
        </w:rPr>
        <w:drawing>
          <wp:inline distT="0" distB="0" distL="0" distR="0">
            <wp:extent cx="6120130" cy="339280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392805"/>
                    </a:xfrm>
                    <a:prstGeom prst="rect">
                      <a:avLst/>
                    </a:prstGeom>
                    <a:noFill/>
                    <a:ln>
                      <a:noFill/>
                    </a:ln>
                  </pic:spPr>
                </pic:pic>
              </a:graphicData>
            </a:graphic>
          </wp:inline>
        </w:drawing>
      </w:r>
    </w:p>
    <w:p w:rsidR="00FF77B6" w:rsidRDefault="00FF77B6">
      <w:pPr>
        <w:rPr>
          <w:lang w:val="en-US"/>
        </w:rPr>
      </w:pPr>
      <w:r>
        <w:rPr>
          <w:lang w:val="en-US"/>
        </w:rPr>
        <w:br w:type="page"/>
      </w:r>
    </w:p>
    <w:p w:rsidR="008B2AC4" w:rsidRPr="008B2AC4" w:rsidRDefault="008B2AC4" w:rsidP="008B2AC4">
      <w:pPr>
        <w:spacing w:before="240" w:after="240"/>
        <w:ind w:right="-1"/>
        <w:mirrorIndents/>
        <w:rPr>
          <w:rFonts w:ascii="Arial" w:eastAsia="Times New Roman" w:hAnsi="Arial" w:cs="Arial"/>
          <w:color w:val="000000"/>
          <w:sz w:val="2"/>
          <w:szCs w:val="2"/>
          <w:lang w:eastAsia="it-IT"/>
        </w:rPr>
      </w:pPr>
    </w:p>
    <w:p w:rsidR="008B2AC4" w:rsidRPr="008B2AC4" w:rsidRDefault="008B2AC4" w:rsidP="008B2AC4">
      <w:pPr>
        <w:spacing w:before="120" w:after="120" w:line="249" w:lineRule="auto"/>
        <w:ind w:left="-5" w:right="-1" w:hanging="10"/>
        <w:mirrorIndents/>
        <w:jc w:val="both"/>
        <w:rPr>
          <w:rFonts w:ascii="Arial" w:eastAsia="Times New Roman" w:hAnsi="Arial" w:cs="Arial"/>
          <w:color w:val="000000"/>
          <w:sz w:val="2"/>
          <w:szCs w:val="2"/>
          <w:lang w:eastAsia="it-IT"/>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B2AC4" w:rsidRPr="008B2AC4" w:rsidTr="00F21392">
        <w:trPr>
          <w:jc w:val="center"/>
        </w:trPr>
        <w:tc>
          <w:tcPr>
            <w:tcW w:w="7938" w:type="dxa"/>
            <w:shd w:val="clear" w:color="auto" w:fill="auto"/>
          </w:tcPr>
          <w:p w:rsidR="008B2AC4" w:rsidRPr="008B2AC4" w:rsidRDefault="008B2AC4" w:rsidP="008B2AC4">
            <w:pPr>
              <w:keepNext/>
              <w:spacing w:before="120" w:after="120" w:line="247" w:lineRule="auto"/>
              <w:ind w:hanging="11"/>
              <w:mirrorIndents/>
              <w:jc w:val="center"/>
              <w:rPr>
                <w:rFonts w:ascii="Times New Roman" w:eastAsia="Times New Roman" w:hAnsi="Times New Roman" w:cs="Times New Roman"/>
                <w:b/>
                <w:color w:val="000000"/>
                <w:sz w:val="28"/>
                <w:szCs w:val="28"/>
                <w:lang w:eastAsia="it-IT"/>
              </w:rPr>
            </w:pPr>
            <w:r w:rsidRPr="008B2AC4">
              <w:rPr>
                <w:rFonts w:ascii="Times New Roman" w:eastAsia="Times New Roman" w:hAnsi="Times New Roman" w:cs="Times New Roman"/>
                <w:b/>
                <w:color w:val="000000"/>
                <w:sz w:val="28"/>
                <w:szCs w:val="28"/>
                <w:lang w:eastAsia="it-IT"/>
              </w:rPr>
              <w:t>Programmazione triennale del fabbisogno di personale</w:t>
            </w:r>
          </w:p>
        </w:tc>
      </w:tr>
    </w:tbl>
    <w:p w:rsidR="008B2AC4" w:rsidRPr="008B2AC4" w:rsidRDefault="008B2AC4" w:rsidP="008B2AC4">
      <w:pPr>
        <w:spacing w:after="0" w:line="240" w:lineRule="auto"/>
        <w:ind w:left="-5" w:right="-1" w:hanging="10"/>
        <w:mirrorIndents/>
        <w:jc w:val="both"/>
        <w:rPr>
          <w:rFonts w:ascii="Arial" w:eastAsia="Times New Roman" w:hAnsi="Arial" w:cs="Arial"/>
          <w:color w:val="000000"/>
          <w:sz w:val="20"/>
          <w:szCs w:val="20"/>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b/>
          <w:color w:val="000000"/>
          <w:sz w:val="24"/>
          <w:lang w:eastAsia="it-IT"/>
        </w:rPr>
      </w:pPr>
      <w:r w:rsidRPr="008B2AC4">
        <w:rPr>
          <w:rFonts w:ascii="Times New Roman" w:eastAsia="Times New Roman" w:hAnsi="Times New Roman" w:cs="Times New Roman"/>
          <w:b/>
          <w:color w:val="000000"/>
          <w:sz w:val="24"/>
          <w:lang w:eastAsia="it-IT"/>
        </w:rPr>
        <w:t>ANNO 20</w:t>
      </w:r>
      <w:r w:rsidR="00E22C12">
        <w:rPr>
          <w:rFonts w:ascii="Times New Roman" w:eastAsia="Times New Roman" w:hAnsi="Times New Roman" w:cs="Times New Roman"/>
          <w:b/>
          <w:color w:val="000000"/>
          <w:sz w:val="24"/>
          <w:lang w:eastAsia="it-IT"/>
        </w:rPr>
        <w:t>20</w:t>
      </w:r>
    </w:p>
    <w:p w:rsidR="008B2AC4" w:rsidRDefault="008B2AC4" w:rsidP="008B2AC4">
      <w:pPr>
        <w:spacing w:after="12" w:line="249" w:lineRule="auto"/>
        <w:ind w:left="10" w:hanging="10"/>
        <w:jc w:val="both"/>
        <w:rPr>
          <w:rFonts w:ascii="Times New Roman" w:eastAsia="Times New Roman" w:hAnsi="Times New Roman" w:cs="Times New Roman"/>
          <w:b/>
          <w:color w:val="000000"/>
          <w:sz w:val="24"/>
          <w:lang w:eastAsia="it-IT"/>
        </w:rPr>
      </w:pPr>
    </w:p>
    <w:p w:rsidR="009A4C61" w:rsidRPr="00895089" w:rsidRDefault="00895089" w:rsidP="008B2AC4">
      <w:pPr>
        <w:spacing w:after="12" w:line="249" w:lineRule="auto"/>
        <w:ind w:left="10" w:hanging="10"/>
        <w:jc w:val="both"/>
        <w:rPr>
          <w:rFonts w:ascii="Times New Roman" w:eastAsia="Times New Roman" w:hAnsi="Times New Roman" w:cs="Times New Roman"/>
          <w:color w:val="000000"/>
          <w:sz w:val="24"/>
          <w:lang w:eastAsia="it-IT"/>
        </w:rPr>
      </w:pPr>
      <w:bookmarkStart w:id="5" w:name="_Hlk26175419"/>
      <w:r w:rsidRPr="00895089">
        <w:rPr>
          <w:rFonts w:ascii="Times New Roman" w:eastAsia="Times New Roman" w:hAnsi="Times New Roman" w:cs="Times New Roman"/>
          <w:color w:val="000000"/>
          <w:sz w:val="24"/>
          <w:lang w:eastAsia="it-IT"/>
        </w:rPr>
        <w:t>Copertura posto vacante categoria B3 part-time al 50%</w:t>
      </w:r>
      <w:r w:rsidR="00E22C12">
        <w:rPr>
          <w:rFonts w:ascii="Times New Roman" w:eastAsia="Times New Roman" w:hAnsi="Times New Roman" w:cs="Times New Roman"/>
          <w:color w:val="000000"/>
          <w:sz w:val="24"/>
          <w:lang w:eastAsia="it-IT"/>
        </w:rPr>
        <w:t xml:space="preserve"> </w:t>
      </w:r>
      <w:proofErr w:type="gramStart"/>
      <w:r w:rsidR="00E22C12">
        <w:rPr>
          <w:rFonts w:ascii="Times New Roman" w:eastAsia="Times New Roman" w:hAnsi="Times New Roman" w:cs="Times New Roman"/>
          <w:color w:val="000000"/>
          <w:sz w:val="24"/>
          <w:lang w:eastAsia="it-IT"/>
        </w:rPr>
        <w:t>( assunzione</w:t>
      </w:r>
      <w:proofErr w:type="gramEnd"/>
      <w:r w:rsidR="00E22C12">
        <w:rPr>
          <w:rFonts w:ascii="Times New Roman" w:eastAsia="Times New Roman" w:hAnsi="Times New Roman" w:cs="Times New Roman"/>
          <w:color w:val="000000"/>
          <w:sz w:val="24"/>
          <w:lang w:eastAsia="it-IT"/>
        </w:rPr>
        <w:t xml:space="preserve"> già prevista per l’anno 2019 non effettuata per motivi organizzativi)</w:t>
      </w:r>
    </w:p>
    <w:p w:rsidR="00895089" w:rsidRPr="00895089" w:rsidRDefault="00895089" w:rsidP="00895089">
      <w:pPr>
        <w:jc w:val="both"/>
        <w:rPr>
          <w:rFonts w:ascii="Palatino Linotype" w:hAnsi="Palatino Linotype"/>
        </w:rPr>
      </w:pPr>
      <w:r w:rsidRPr="00895089">
        <w:rPr>
          <w:rFonts w:ascii="Palatino Linotype" w:hAnsi="Palatino Linotype"/>
        </w:rPr>
        <w:t>Previsione di spesa per trattamento fondamentale:</w:t>
      </w:r>
    </w:p>
    <w:p w:rsidR="00895089" w:rsidRPr="004C2688" w:rsidRDefault="00E22C12" w:rsidP="00895089">
      <w:pPr>
        <w:ind w:left="360"/>
        <w:jc w:val="center"/>
        <w:rPr>
          <w:rFonts w:ascii="Palatino Linotype" w:hAnsi="Palatino Linotype"/>
          <w:b/>
        </w:rPr>
      </w:pPr>
      <w:r>
        <w:rPr>
          <w:rFonts w:ascii="Palatino Linotype" w:hAnsi="Palatino Linotype"/>
          <w:b/>
        </w:rPr>
        <w:t>2020</w:t>
      </w:r>
    </w:p>
    <w:tbl>
      <w:tblPr>
        <w:tblStyle w:val="Grigliatabella"/>
        <w:tblW w:w="0" w:type="auto"/>
        <w:tblInd w:w="36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3037"/>
        <w:gridCol w:w="3110"/>
        <w:gridCol w:w="3111"/>
      </w:tblGrid>
      <w:tr w:rsidR="00895089" w:rsidRPr="000E5876" w:rsidTr="00981AA1">
        <w:tc>
          <w:tcPr>
            <w:tcW w:w="3137" w:type="dxa"/>
            <w:shd w:val="clear" w:color="auto" w:fill="CCECFF"/>
          </w:tcPr>
          <w:p w:rsidR="00895089" w:rsidRPr="00EB4ABF" w:rsidRDefault="00895089" w:rsidP="00981AA1">
            <w:pPr>
              <w:jc w:val="center"/>
              <w:rPr>
                <w:rFonts w:ascii="Palatino Linotype" w:hAnsi="Palatino Linotype"/>
                <w:lang w:val="it-IT"/>
              </w:rPr>
            </w:pPr>
            <w:r w:rsidRPr="00EB4ABF">
              <w:rPr>
                <w:rFonts w:ascii="Palatino Linotype" w:hAnsi="Palatino Linotype"/>
                <w:lang w:val="it-IT"/>
              </w:rPr>
              <w:t>CAT.GIUR.</w:t>
            </w:r>
          </w:p>
        </w:tc>
        <w:tc>
          <w:tcPr>
            <w:tcW w:w="3174" w:type="dxa"/>
            <w:shd w:val="clear" w:color="auto" w:fill="CCECFF"/>
          </w:tcPr>
          <w:p w:rsidR="00895089" w:rsidRPr="00EB4ABF" w:rsidRDefault="00895089" w:rsidP="00981AA1">
            <w:pPr>
              <w:jc w:val="center"/>
              <w:rPr>
                <w:rFonts w:ascii="Palatino Linotype" w:hAnsi="Palatino Linotype"/>
                <w:lang w:val="it-IT"/>
              </w:rPr>
            </w:pPr>
            <w:r w:rsidRPr="00EB4ABF">
              <w:rPr>
                <w:rFonts w:ascii="Palatino Linotype" w:hAnsi="Palatino Linotype"/>
                <w:lang w:val="it-IT"/>
              </w:rPr>
              <w:t>PROFILO PROFESSIONALE</w:t>
            </w:r>
          </w:p>
        </w:tc>
        <w:tc>
          <w:tcPr>
            <w:tcW w:w="3183" w:type="dxa"/>
            <w:shd w:val="clear" w:color="auto" w:fill="CCECFF"/>
          </w:tcPr>
          <w:p w:rsidR="00895089" w:rsidRPr="00EB4ABF" w:rsidRDefault="00895089" w:rsidP="00981AA1">
            <w:pPr>
              <w:jc w:val="center"/>
              <w:rPr>
                <w:rFonts w:ascii="Palatino Linotype" w:hAnsi="Palatino Linotype"/>
                <w:b/>
                <w:lang w:val="it-IT"/>
              </w:rPr>
            </w:pPr>
            <w:r>
              <w:rPr>
                <w:rFonts w:ascii="Palatino Linotype" w:hAnsi="Palatino Linotype"/>
                <w:b/>
                <w:lang w:val="it-IT"/>
              </w:rPr>
              <w:t>COSTO ANNUO COMPLESSIVO</w:t>
            </w:r>
          </w:p>
        </w:tc>
      </w:tr>
      <w:tr w:rsidR="00895089" w:rsidTr="00981AA1">
        <w:trPr>
          <w:trHeight w:val="482"/>
        </w:trPr>
        <w:tc>
          <w:tcPr>
            <w:tcW w:w="3137" w:type="dxa"/>
          </w:tcPr>
          <w:p w:rsidR="00895089" w:rsidRPr="00EB4ABF" w:rsidRDefault="00895089" w:rsidP="00981AA1">
            <w:pPr>
              <w:jc w:val="center"/>
              <w:rPr>
                <w:rFonts w:ascii="Palatino Linotype" w:hAnsi="Palatino Linotype"/>
                <w:b/>
                <w:lang w:val="it-IT"/>
              </w:rPr>
            </w:pPr>
            <w:r>
              <w:rPr>
                <w:rFonts w:ascii="Palatino Linotype" w:hAnsi="Palatino Linotype"/>
                <w:b/>
                <w:lang w:val="it-IT"/>
              </w:rPr>
              <w:t xml:space="preserve">B3 </w:t>
            </w:r>
          </w:p>
        </w:tc>
        <w:tc>
          <w:tcPr>
            <w:tcW w:w="3174" w:type="dxa"/>
          </w:tcPr>
          <w:p w:rsidR="00895089" w:rsidRPr="00EB4ABF" w:rsidRDefault="00895089" w:rsidP="00981AA1">
            <w:pPr>
              <w:jc w:val="center"/>
              <w:rPr>
                <w:rFonts w:ascii="Palatino Linotype" w:hAnsi="Palatino Linotype"/>
                <w:b/>
                <w:lang w:val="it-IT"/>
              </w:rPr>
            </w:pPr>
            <w:r>
              <w:rPr>
                <w:rFonts w:ascii="Palatino Linotype" w:hAnsi="Palatino Linotype"/>
                <w:b/>
                <w:lang w:val="it-IT"/>
              </w:rPr>
              <w:t>Operaio specializzato part-time 50%</w:t>
            </w:r>
          </w:p>
        </w:tc>
        <w:tc>
          <w:tcPr>
            <w:tcW w:w="3183" w:type="dxa"/>
          </w:tcPr>
          <w:p w:rsidR="00895089" w:rsidRPr="00EB4ABF" w:rsidRDefault="006E033F" w:rsidP="00981AA1">
            <w:pPr>
              <w:jc w:val="right"/>
              <w:rPr>
                <w:rFonts w:ascii="Palatino Linotype" w:hAnsi="Palatino Linotype"/>
                <w:b/>
                <w:lang w:val="it-IT"/>
              </w:rPr>
            </w:pPr>
            <w:r>
              <w:rPr>
                <w:rFonts w:ascii="Palatino Linotype" w:hAnsi="Palatino Linotype"/>
                <w:b/>
                <w:lang w:val="it-IT"/>
              </w:rPr>
              <w:t>15.030,20</w:t>
            </w:r>
          </w:p>
        </w:tc>
      </w:tr>
    </w:tbl>
    <w:p w:rsidR="00895089" w:rsidRPr="008B2AC4" w:rsidRDefault="00895089" w:rsidP="008B2AC4">
      <w:pPr>
        <w:spacing w:after="12" w:line="249" w:lineRule="auto"/>
        <w:ind w:left="10" w:hanging="10"/>
        <w:jc w:val="both"/>
        <w:rPr>
          <w:rFonts w:ascii="Times New Roman" w:eastAsia="Times New Roman" w:hAnsi="Times New Roman" w:cs="Times New Roman"/>
          <w:b/>
          <w:color w:val="000000"/>
          <w:sz w:val="24"/>
          <w:lang w:eastAsia="it-IT"/>
        </w:rPr>
      </w:pPr>
    </w:p>
    <w:p w:rsidR="008B2AC4" w:rsidRPr="009E4233" w:rsidRDefault="009E4233" w:rsidP="008B2AC4">
      <w:pPr>
        <w:spacing w:after="12" w:line="249" w:lineRule="auto"/>
        <w:ind w:left="10" w:hanging="10"/>
        <w:jc w:val="both"/>
        <w:rPr>
          <w:rFonts w:ascii="Times New Roman" w:eastAsia="Times New Roman" w:hAnsi="Times New Roman" w:cs="Times New Roman"/>
          <w:color w:val="000000"/>
          <w:sz w:val="24"/>
          <w:lang w:eastAsia="it-IT"/>
        </w:rPr>
      </w:pPr>
      <w:r w:rsidRPr="009E4233">
        <w:rPr>
          <w:rFonts w:ascii="Times New Roman" w:eastAsia="Times New Roman" w:hAnsi="Times New Roman" w:cs="Times New Roman"/>
          <w:color w:val="000000"/>
          <w:sz w:val="24"/>
          <w:lang w:eastAsia="it-IT"/>
        </w:rPr>
        <w:t xml:space="preserve">Rinnovo contratto </w:t>
      </w:r>
      <w:r w:rsidR="000E6E19">
        <w:rPr>
          <w:rFonts w:ascii="Times New Roman" w:eastAsia="Times New Roman" w:hAnsi="Times New Roman" w:cs="Times New Roman"/>
          <w:color w:val="000000"/>
          <w:sz w:val="24"/>
          <w:lang w:eastAsia="it-IT"/>
        </w:rPr>
        <w:t xml:space="preserve">istruttore direttivo tecnico </w:t>
      </w:r>
      <w:r w:rsidRPr="009E4233">
        <w:rPr>
          <w:rFonts w:ascii="Times New Roman" w:eastAsia="Times New Roman" w:hAnsi="Times New Roman" w:cs="Times New Roman"/>
          <w:color w:val="000000"/>
          <w:sz w:val="24"/>
          <w:lang w:eastAsia="it-IT"/>
        </w:rPr>
        <w:t>D1 part-time</w:t>
      </w:r>
      <w:r w:rsidR="000E6E19">
        <w:rPr>
          <w:rFonts w:ascii="Times New Roman" w:eastAsia="Times New Roman" w:hAnsi="Times New Roman" w:cs="Times New Roman"/>
          <w:color w:val="000000"/>
          <w:sz w:val="24"/>
          <w:lang w:eastAsia="it-IT"/>
        </w:rPr>
        <w:t xml:space="preserve"> ex art.</w:t>
      </w:r>
      <w:r w:rsidRPr="009E4233">
        <w:rPr>
          <w:rFonts w:ascii="Times New Roman" w:eastAsia="Times New Roman" w:hAnsi="Times New Roman" w:cs="Times New Roman"/>
          <w:color w:val="000000"/>
          <w:sz w:val="24"/>
          <w:lang w:eastAsia="it-IT"/>
        </w:rPr>
        <w:t xml:space="preserve"> 110 TUEL</w:t>
      </w:r>
    </w:p>
    <w:p w:rsidR="009E4233" w:rsidRPr="008B2AC4" w:rsidRDefault="009E4233" w:rsidP="008B2AC4">
      <w:pPr>
        <w:spacing w:after="12" w:line="249" w:lineRule="auto"/>
        <w:ind w:left="10" w:hanging="10"/>
        <w:jc w:val="both"/>
        <w:rPr>
          <w:rFonts w:ascii="Times New Roman" w:eastAsia="Times New Roman" w:hAnsi="Times New Roman" w:cs="Times New Roman"/>
          <w:b/>
          <w:color w:val="000000"/>
          <w:sz w:val="24"/>
          <w:lang w:eastAsia="it-IT"/>
        </w:rPr>
      </w:pPr>
    </w:p>
    <w:bookmarkEnd w:id="5"/>
    <w:p w:rsidR="008B2AC4" w:rsidRPr="008B2AC4" w:rsidRDefault="008B2AC4" w:rsidP="008B2AC4">
      <w:pPr>
        <w:spacing w:after="12" w:line="249" w:lineRule="auto"/>
        <w:ind w:left="10" w:hanging="10"/>
        <w:jc w:val="both"/>
        <w:rPr>
          <w:rFonts w:ascii="Times New Roman" w:eastAsia="Times New Roman" w:hAnsi="Times New Roman" w:cs="Times New Roman"/>
          <w:b/>
          <w:color w:val="000000"/>
          <w:sz w:val="24"/>
          <w:lang w:eastAsia="it-IT"/>
        </w:rPr>
      </w:pPr>
      <w:r w:rsidRPr="008B2AC4">
        <w:rPr>
          <w:rFonts w:ascii="Times New Roman" w:eastAsia="Times New Roman" w:hAnsi="Times New Roman" w:cs="Times New Roman"/>
          <w:b/>
          <w:color w:val="000000"/>
          <w:sz w:val="24"/>
          <w:lang w:eastAsia="it-IT"/>
        </w:rPr>
        <w:t>ANNO 202</w:t>
      </w:r>
      <w:r w:rsidR="00E22C12">
        <w:rPr>
          <w:rFonts w:ascii="Times New Roman" w:eastAsia="Times New Roman" w:hAnsi="Times New Roman" w:cs="Times New Roman"/>
          <w:b/>
          <w:color w:val="000000"/>
          <w:sz w:val="24"/>
          <w:lang w:eastAsia="it-IT"/>
        </w:rPr>
        <w:t>1</w:t>
      </w: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bookmarkStart w:id="6" w:name="_Hlk519682428"/>
      <w:r w:rsidRPr="008B2AC4">
        <w:rPr>
          <w:rFonts w:ascii="Times New Roman" w:eastAsia="Times New Roman" w:hAnsi="Times New Roman" w:cs="Times New Roman"/>
          <w:color w:val="000000"/>
          <w:sz w:val="24"/>
          <w:lang w:eastAsia="it-IT"/>
        </w:rPr>
        <w:t>Qualora consentito dalle disposizioni normative in favore delle popolazioni colpite dal sisma, è prevista la possibilità di prorogare o rinnovare i contratti in essere nell’anno 2019</w:t>
      </w:r>
      <w:r w:rsidR="00241B9C">
        <w:rPr>
          <w:rFonts w:ascii="Times New Roman" w:eastAsia="Times New Roman" w:hAnsi="Times New Roman" w:cs="Times New Roman"/>
          <w:color w:val="000000"/>
          <w:sz w:val="24"/>
          <w:lang w:eastAsia="it-IT"/>
        </w:rPr>
        <w:t xml:space="preserve"> -2020</w:t>
      </w:r>
      <w:r w:rsidRPr="008B2AC4">
        <w:rPr>
          <w:rFonts w:ascii="Times New Roman" w:eastAsia="Times New Roman" w:hAnsi="Times New Roman" w:cs="Times New Roman"/>
          <w:color w:val="000000"/>
          <w:sz w:val="24"/>
          <w:lang w:eastAsia="it-IT"/>
        </w:rPr>
        <w:t xml:space="preserve">, in deroga ai vincoli di </w:t>
      </w:r>
      <w:proofErr w:type="gramStart"/>
      <w:r w:rsidRPr="008B2AC4">
        <w:rPr>
          <w:rFonts w:ascii="Times New Roman" w:eastAsia="Times New Roman" w:hAnsi="Times New Roman" w:cs="Times New Roman"/>
          <w:color w:val="000000"/>
          <w:sz w:val="24"/>
          <w:lang w:eastAsia="it-IT"/>
        </w:rPr>
        <w:t>contenimento  della</w:t>
      </w:r>
      <w:proofErr w:type="gramEnd"/>
      <w:r w:rsidRPr="008B2AC4">
        <w:rPr>
          <w:rFonts w:ascii="Times New Roman" w:eastAsia="Times New Roman" w:hAnsi="Times New Roman" w:cs="Times New Roman"/>
          <w:color w:val="000000"/>
          <w:sz w:val="24"/>
          <w:lang w:eastAsia="it-IT"/>
        </w:rPr>
        <w:t xml:space="preserve">  spesa di personale di cui all'articolo 9, comma 28,  del  decreto-legge  31 maggio 2010, n. 78, convertito, con  modificazioni,  dalla  legge  30 luglio  2010,  n.  </w:t>
      </w:r>
      <w:proofErr w:type="gramStart"/>
      <w:r w:rsidRPr="008B2AC4">
        <w:rPr>
          <w:rFonts w:ascii="Times New Roman" w:eastAsia="Times New Roman" w:hAnsi="Times New Roman" w:cs="Times New Roman"/>
          <w:color w:val="000000"/>
          <w:sz w:val="24"/>
          <w:lang w:eastAsia="it-IT"/>
        </w:rPr>
        <w:t>122,  e</w:t>
      </w:r>
      <w:proofErr w:type="gramEnd"/>
      <w:r w:rsidRPr="008B2AC4">
        <w:rPr>
          <w:rFonts w:ascii="Times New Roman" w:eastAsia="Times New Roman" w:hAnsi="Times New Roman" w:cs="Times New Roman"/>
          <w:color w:val="000000"/>
          <w:sz w:val="24"/>
          <w:lang w:eastAsia="it-IT"/>
        </w:rPr>
        <w:t xml:space="preserve">  successive  modificazioni,   e   di   cui all'articolo 1, commi 557 e 562, della legge  27  dicembre  2006,  n. 296, secondo le modalità stabilite dal D. L. 189/216 e succ. mod. Le risorse necessarie per far fronte al pagamento delle prestazioni delle suddette unità di personale dovranno essere attinte dai fondi stanziati con la normativa speciale per il sisma 2016, per tale scopo</w:t>
      </w:r>
      <w:bookmarkEnd w:id="6"/>
      <w:r w:rsidRPr="008B2AC4">
        <w:rPr>
          <w:rFonts w:ascii="Times New Roman" w:eastAsia="Times New Roman" w:hAnsi="Times New Roman" w:cs="Times New Roman"/>
          <w:color w:val="000000"/>
          <w:sz w:val="24"/>
          <w:lang w:eastAsia="it-IT"/>
        </w:rPr>
        <w:t>.</w:t>
      </w: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9E4233" w:rsidP="008B2AC4">
      <w:pPr>
        <w:spacing w:after="12" w:line="249" w:lineRule="auto"/>
        <w:ind w:left="10" w:hanging="10"/>
        <w:jc w:val="both"/>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t>Copertura categoria B</w:t>
      </w:r>
      <w:r w:rsidR="00E22C12">
        <w:rPr>
          <w:rFonts w:ascii="Times New Roman" w:eastAsia="Times New Roman" w:hAnsi="Times New Roman" w:cs="Times New Roman"/>
          <w:color w:val="000000"/>
          <w:sz w:val="24"/>
          <w:lang w:eastAsia="it-IT"/>
        </w:rPr>
        <w:t xml:space="preserve"> e D</w:t>
      </w:r>
      <w:r>
        <w:rPr>
          <w:rFonts w:ascii="Times New Roman" w:eastAsia="Times New Roman" w:hAnsi="Times New Roman" w:cs="Times New Roman"/>
          <w:color w:val="000000"/>
          <w:sz w:val="24"/>
          <w:lang w:eastAsia="it-IT"/>
        </w:rPr>
        <w:t xml:space="preserve"> al 100% condizionata da post</w:t>
      </w:r>
      <w:r w:rsidR="00E22C12">
        <w:rPr>
          <w:rFonts w:ascii="Times New Roman" w:eastAsia="Times New Roman" w:hAnsi="Times New Roman" w:cs="Times New Roman"/>
          <w:color w:val="000000"/>
          <w:sz w:val="24"/>
          <w:lang w:eastAsia="it-IT"/>
        </w:rPr>
        <w:t>i</w:t>
      </w:r>
      <w:r>
        <w:rPr>
          <w:rFonts w:ascii="Times New Roman" w:eastAsia="Times New Roman" w:hAnsi="Times New Roman" w:cs="Times New Roman"/>
          <w:color w:val="000000"/>
          <w:sz w:val="24"/>
          <w:lang w:eastAsia="it-IT"/>
        </w:rPr>
        <w:t xml:space="preserve"> res</w:t>
      </w:r>
      <w:r w:rsidR="00241B9C">
        <w:rPr>
          <w:rFonts w:ascii="Times New Roman" w:eastAsia="Times New Roman" w:hAnsi="Times New Roman" w:cs="Times New Roman"/>
          <w:color w:val="000000"/>
          <w:sz w:val="24"/>
          <w:lang w:eastAsia="it-IT"/>
        </w:rPr>
        <w:t>i</w:t>
      </w:r>
      <w:r>
        <w:rPr>
          <w:rFonts w:ascii="Times New Roman" w:eastAsia="Times New Roman" w:hAnsi="Times New Roman" w:cs="Times New Roman"/>
          <w:color w:val="000000"/>
          <w:sz w:val="24"/>
          <w:lang w:eastAsia="it-IT"/>
        </w:rPr>
        <w:t>si vacant</w:t>
      </w:r>
      <w:r w:rsidR="00E22C12">
        <w:rPr>
          <w:rFonts w:ascii="Times New Roman" w:eastAsia="Times New Roman" w:hAnsi="Times New Roman" w:cs="Times New Roman"/>
          <w:color w:val="000000"/>
          <w:sz w:val="24"/>
          <w:lang w:eastAsia="it-IT"/>
        </w:rPr>
        <w:t>i</w:t>
      </w:r>
      <w:r>
        <w:rPr>
          <w:rFonts w:ascii="Times New Roman" w:eastAsia="Times New Roman" w:hAnsi="Times New Roman" w:cs="Times New Roman"/>
          <w:color w:val="000000"/>
          <w:sz w:val="24"/>
          <w:lang w:eastAsia="it-IT"/>
        </w:rPr>
        <w:t xml:space="preserve"> a seguito di dimissioni volontarie per collocamento a riposo del personale attualmente in servizio di pari categoria.</w:t>
      </w:r>
      <w:r w:rsidRPr="008B2AC4">
        <w:rPr>
          <w:rFonts w:ascii="Times New Roman" w:eastAsia="Times New Roman" w:hAnsi="Times New Roman" w:cs="Times New Roman"/>
          <w:color w:val="000000"/>
          <w:sz w:val="24"/>
          <w:lang w:eastAsia="it-IT"/>
        </w:rPr>
        <w:t xml:space="preserve"> </w:t>
      </w: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b/>
          <w:color w:val="000000"/>
          <w:sz w:val="24"/>
          <w:lang w:eastAsia="it-IT"/>
        </w:rPr>
      </w:pPr>
      <w:r w:rsidRPr="008B2AC4">
        <w:rPr>
          <w:rFonts w:ascii="Times New Roman" w:eastAsia="Times New Roman" w:hAnsi="Times New Roman" w:cs="Times New Roman"/>
          <w:b/>
          <w:color w:val="000000"/>
          <w:sz w:val="24"/>
          <w:lang w:eastAsia="it-IT"/>
        </w:rPr>
        <w:t>ANNO 202</w:t>
      </w:r>
      <w:r w:rsidR="00E22C12">
        <w:rPr>
          <w:rFonts w:ascii="Times New Roman" w:eastAsia="Times New Roman" w:hAnsi="Times New Roman" w:cs="Times New Roman"/>
          <w:b/>
          <w:color w:val="000000"/>
          <w:sz w:val="24"/>
          <w:lang w:eastAsia="it-IT"/>
        </w:rPr>
        <w:t>2</w:t>
      </w: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r w:rsidRPr="008B2AC4">
        <w:rPr>
          <w:rFonts w:ascii="Times New Roman" w:eastAsia="Times New Roman" w:hAnsi="Times New Roman" w:cs="Times New Roman"/>
          <w:color w:val="000000"/>
          <w:sz w:val="24"/>
          <w:lang w:eastAsia="it-IT"/>
        </w:rPr>
        <w:t>Qualora consentito dalle disposizioni normative in favore delle popolazioni colpite dal sisma, è prevista la possibilità di prorogare o rinnovare i co</w:t>
      </w:r>
      <w:r w:rsidR="00241B9C">
        <w:rPr>
          <w:rFonts w:ascii="Times New Roman" w:eastAsia="Times New Roman" w:hAnsi="Times New Roman" w:cs="Times New Roman"/>
          <w:color w:val="000000"/>
          <w:sz w:val="24"/>
          <w:lang w:eastAsia="it-IT"/>
        </w:rPr>
        <w:t>ntratti in essere nell’anno 2021</w:t>
      </w:r>
      <w:r w:rsidRPr="008B2AC4">
        <w:rPr>
          <w:rFonts w:ascii="Times New Roman" w:eastAsia="Times New Roman" w:hAnsi="Times New Roman" w:cs="Times New Roman"/>
          <w:color w:val="000000"/>
          <w:sz w:val="24"/>
          <w:lang w:eastAsia="it-IT"/>
        </w:rPr>
        <w:t xml:space="preserve"> o eventualmente assumere altrettante unità di personale, della medesima categoria D, con contratto a tempo determinato, in deroga ai vincoli di contenimento della  spesa di personale di cui all'articolo 9, comma 28,  del  decreto-legge  31 maggio 2010, n. 78, convertito, con  modificazioni,  dalla  legge  30 luglio  2010,  n.  </w:t>
      </w:r>
      <w:proofErr w:type="gramStart"/>
      <w:r w:rsidRPr="008B2AC4">
        <w:rPr>
          <w:rFonts w:ascii="Times New Roman" w:eastAsia="Times New Roman" w:hAnsi="Times New Roman" w:cs="Times New Roman"/>
          <w:color w:val="000000"/>
          <w:sz w:val="24"/>
          <w:lang w:eastAsia="it-IT"/>
        </w:rPr>
        <w:t>122,  e</w:t>
      </w:r>
      <w:proofErr w:type="gramEnd"/>
      <w:r w:rsidRPr="008B2AC4">
        <w:rPr>
          <w:rFonts w:ascii="Times New Roman" w:eastAsia="Times New Roman" w:hAnsi="Times New Roman" w:cs="Times New Roman"/>
          <w:color w:val="000000"/>
          <w:sz w:val="24"/>
          <w:lang w:eastAsia="it-IT"/>
        </w:rPr>
        <w:t xml:space="preserve">  successive  modificazioni,   e   di   cui all'articolo 1, commi 557 e 562, della legge  27  dicembre  2006,  n. 296, secondo le modalità stabilite dal D. L. 189/216 e succ. mod. Le risorse necessarie per far fronte al pagamento delle prestazioni delle suddette unità di personale dovranno essere attinte dai fondi stanziati con la normativa speciale per il sisma 2016, per tale scopo.</w:t>
      </w: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p>
    <w:p w:rsidR="008B2AC4" w:rsidRPr="008B2AC4" w:rsidRDefault="008B2AC4" w:rsidP="008B2AC4">
      <w:pPr>
        <w:spacing w:after="12" w:line="249" w:lineRule="auto"/>
        <w:ind w:left="10" w:hanging="10"/>
        <w:jc w:val="both"/>
        <w:rPr>
          <w:rFonts w:ascii="Times New Roman" w:eastAsia="Times New Roman" w:hAnsi="Times New Roman" w:cs="Times New Roman"/>
          <w:color w:val="000000"/>
          <w:sz w:val="24"/>
          <w:lang w:eastAsia="it-IT"/>
        </w:rPr>
      </w:pPr>
      <w:r w:rsidRPr="008B2AC4">
        <w:rPr>
          <w:rFonts w:ascii="Times New Roman" w:eastAsia="Times New Roman" w:hAnsi="Times New Roman" w:cs="Times New Roman"/>
          <w:color w:val="000000"/>
          <w:sz w:val="24"/>
          <w:lang w:eastAsia="it-IT"/>
        </w:rPr>
        <w:t>Non sono previste assunzioni ad eccezione della copertura dei posti che si renderanno vacanti per dimissioni, mobilità esterne e collocamento a riposo con diritto a pensione.</w:t>
      </w:r>
    </w:p>
    <w:p w:rsidR="008B2AC4" w:rsidRDefault="008B2AC4" w:rsidP="002C704B">
      <w:pPr>
        <w:jc w:val="both"/>
        <w:rPr>
          <w:b/>
          <w:u w:val="single"/>
        </w:rPr>
      </w:pPr>
    </w:p>
    <w:p w:rsidR="008B2AC4" w:rsidRPr="00E90BF8" w:rsidRDefault="008B2AC4" w:rsidP="002C704B">
      <w:pPr>
        <w:jc w:val="both"/>
        <w:rPr>
          <w:b/>
          <w:u w:val="single"/>
        </w:rPr>
      </w:pPr>
    </w:p>
    <w:sectPr w:rsidR="008B2AC4" w:rsidRPr="00E90BF8" w:rsidSect="00BB25AD">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36910"/>
    <w:multiLevelType w:val="hybridMultilevel"/>
    <w:tmpl w:val="B2F87270"/>
    <w:lvl w:ilvl="0" w:tplc="C1A69196">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9E"/>
    <w:rsid w:val="0004404F"/>
    <w:rsid w:val="0007595B"/>
    <w:rsid w:val="00093922"/>
    <w:rsid w:val="000E6E19"/>
    <w:rsid w:val="001C307A"/>
    <w:rsid w:val="001E6E8D"/>
    <w:rsid w:val="001F5533"/>
    <w:rsid w:val="002033F4"/>
    <w:rsid w:val="002133F6"/>
    <w:rsid w:val="00241B9C"/>
    <w:rsid w:val="00280097"/>
    <w:rsid w:val="002C704B"/>
    <w:rsid w:val="0031422E"/>
    <w:rsid w:val="003717FE"/>
    <w:rsid w:val="003D16D3"/>
    <w:rsid w:val="003E091D"/>
    <w:rsid w:val="004048D9"/>
    <w:rsid w:val="0049485F"/>
    <w:rsid w:val="004C4ED7"/>
    <w:rsid w:val="00501D82"/>
    <w:rsid w:val="00504946"/>
    <w:rsid w:val="00516802"/>
    <w:rsid w:val="00566EF6"/>
    <w:rsid w:val="0057455C"/>
    <w:rsid w:val="00580524"/>
    <w:rsid w:val="006E033F"/>
    <w:rsid w:val="0074181A"/>
    <w:rsid w:val="007530C0"/>
    <w:rsid w:val="007C7C17"/>
    <w:rsid w:val="0081243F"/>
    <w:rsid w:val="00815E55"/>
    <w:rsid w:val="00895089"/>
    <w:rsid w:val="008B2AC4"/>
    <w:rsid w:val="008D4639"/>
    <w:rsid w:val="00914A88"/>
    <w:rsid w:val="00921C2E"/>
    <w:rsid w:val="00934278"/>
    <w:rsid w:val="009A4C61"/>
    <w:rsid w:val="009B4B42"/>
    <w:rsid w:val="009E4233"/>
    <w:rsid w:val="009F748B"/>
    <w:rsid w:val="00A612EA"/>
    <w:rsid w:val="00AD1CDF"/>
    <w:rsid w:val="00AF643B"/>
    <w:rsid w:val="00B3690B"/>
    <w:rsid w:val="00BB25AD"/>
    <w:rsid w:val="00BE629E"/>
    <w:rsid w:val="00C66FE5"/>
    <w:rsid w:val="00C94448"/>
    <w:rsid w:val="00CA34AB"/>
    <w:rsid w:val="00D22767"/>
    <w:rsid w:val="00D26964"/>
    <w:rsid w:val="00D74F49"/>
    <w:rsid w:val="00D83776"/>
    <w:rsid w:val="00D941CC"/>
    <w:rsid w:val="00E22C12"/>
    <w:rsid w:val="00E268E1"/>
    <w:rsid w:val="00E735A4"/>
    <w:rsid w:val="00E90BF8"/>
    <w:rsid w:val="00EB1356"/>
    <w:rsid w:val="00F35F67"/>
    <w:rsid w:val="00F502E7"/>
    <w:rsid w:val="00F7362D"/>
    <w:rsid w:val="00FA2948"/>
    <w:rsid w:val="00FC6CBF"/>
    <w:rsid w:val="00FF7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DC0"/>
  <w15:docId w15:val="{1661754C-6103-44BF-9A7B-1951E8AA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1D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35F67"/>
    <w:pPr>
      <w:spacing w:beforeAutospacing="1" w:after="0" w:afterAutospacing="1"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medio1-Colore4">
    <w:name w:val="Medium Shading 1 Accent 4"/>
    <w:basedOn w:val="Tabellanormale"/>
    <w:uiPriority w:val="63"/>
    <w:rsid w:val="00F35F67"/>
    <w:pPr>
      <w:spacing w:after="0" w:line="240" w:lineRule="auto"/>
    </w:pPr>
    <w:rPr>
      <w:rFonts w:ascii="Times New Roman" w:eastAsia="Times New Roman" w:hAnsi="Times New Roman" w:cs="Times New Roman"/>
      <w:lang w:val="en-US" w:bidi="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Autospacing="0" w:afterLines="0" w:afterAutospacing="0"/>
      </w:pPr>
      <w:rPr>
        <w:rFonts w:ascii="Times New Roman" w:hAnsi="Times New Roman" w:cs="Times New Roman" w:hint="default"/>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Autospacing="0" w:afterLines="0" w:afterAutospacing="0"/>
      </w:pPr>
      <w:rPr>
        <w:rFonts w:ascii="Times New Roman" w:hAnsi="Times New Roman" w:cs="Times New Roman" w:hint="default"/>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FEFC0" w:themeFill="accent4" w:themeFillTint="3F"/>
      </w:tcPr>
    </w:tblStylePr>
    <w:tblStylePr w:type="band1Horz">
      <w:rPr>
        <w:rFonts w:ascii="Times New Roman" w:hAnsi="Times New Roman" w:cs="Times New Roman" w:hint="default"/>
      </w:rPr>
      <w:tblPr/>
      <w:tcPr>
        <w:tcBorders>
          <w:insideH w:val="nil"/>
          <w:insideV w:val="nil"/>
        </w:tcBorders>
        <w:shd w:val="clear" w:color="auto" w:fill="FFEFC0" w:themeFill="accent4" w:themeFillTint="3F"/>
      </w:tcPr>
    </w:tblStylePr>
    <w:tblStylePr w:type="band2Horz">
      <w:rPr>
        <w:rFonts w:ascii="Times New Roman" w:hAnsi="Times New Roman" w:cs="Times New Roman" w:hint="default"/>
      </w:rPr>
      <w:tblPr/>
      <w:tcPr>
        <w:tcBorders>
          <w:insideH w:val="nil"/>
          <w:insideV w:val="nil"/>
        </w:tcBorders>
      </w:tcPr>
    </w:tblStylePr>
  </w:style>
  <w:style w:type="table" w:styleId="Sfondomedio1-Colore2">
    <w:name w:val="Medium Shading 1 Accent 2"/>
    <w:basedOn w:val="Tabellanormale"/>
    <w:uiPriority w:val="63"/>
    <w:rsid w:val="00F35F67"/>
    <w:pPr>
      <w:spacing w:after="0" w:line="240" w:lineRule="auto"/>
    </w:pPr>
    <w:rPr>
      <w:rFonts w:ascii="Times New Roman" w:eastAsia="Times New Roman" w:hAnsi="Times New Roman" w:cs="Times New Roma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Autospacing="0" w:afterLines="0" w:afterAutospacing="0"/>
      </w:pPr>
      <w:rPr>
        <w:rFonts w:ascii="Times New Roman" w:hAnsi="Times New Roman" w:cs="Times New Roman" w:hint="default"/>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Autospacing="0" w:afterLines="0" w:afterAutospacing="0"/>
      </w:pPr>
      <w:rPr>
        <w:rFonts w:ascii="Times New Roman" w:hAnsi="Times New Roman" w:cs="Times New Roman" w:hint="default"/>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ADECB" w:themeFill="accent2" w:themeFillTint="3F"/>
      </w:tcPr>
    </w:tblStylePr>
    <w:tblStylePr w:type="band1Horz">
      <w:rPr>
        <w:rFonts w:ascii="Times New Roman" w:hAnsi="Times New Roman" w:cs="Times New Roman" w:hint="default"/>
      </w:rPr>
      <w:tblPr/>
      <w:tcPr>
        <w:tcBorders>
          <w:insideH w:val="nil"/>
          <w:insideV w:val="nil"/>
        </w:tcBorders>
        <w:shd w:val="clear" w:color="auto" w:fill="FADECB" w:themeFill="accent2" w:themeFillTint="3F"/>
      </w:tcPr>
    </w:tblStylePr>
    <w:tblStylePr w:type="band2Horz">
      <w:rPr>
        <w:rFonts w:ascii="Times New Roman" w:hAnsi="Times New Roman" w:cs="Times New Roman" w:hint="default"/>
      </w:rPr>
      <w:tblPr/>
      <w:tcPr>
        <w:tcBorders>
          <w:insideH w:val="nil"/>
          <w:insideV w:val="nil"/>
        </w:tcBorders>
      </w:tcPr>
    </w:tblStylePr>
  </w:style>
  <w:style w:type="table" w:styleId="Sfondomedio1-Colore3">
    <w:name w:val="Medium Shading 1 Accent 3"/>
    <w:basedOn w:val="Tabellanormale"/>
    <w:uiPriority w:val="63"/>
    <w:rsid w:val="00F35F67"/>
    <w:pPr>
      <w:spacing w:after="0" w:line="240" w:lineRule="auto"/>
    </w:pPr>
    <w:rPr>
      <w:rFonts w:ascii="Times New Roman" w:eastAsia="Times New Roman" w:hAnsi="Times New Roman" w:cs="Times New Roma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Autospacing="0" w:afterLines="0" w:afterAutospacing="0"/>
      </w:pPr>
      <w:rPr>
        <w:rFonts w:ascii="Times New Roman" w:hAnsi="Times New Roman" w:cs="Times New Roman" w:hint="default"/>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Autospacing="0" w:afterLines="0" w:afterAutospacing="0"/>
      </w:pPr>
      <w:rPr>
        <w:rFonts w:ascii="Times New Roman" w:hAnsi="Times New Roman" w:cs="Times New Roman" w:hint="default"/>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E8E8E8" w:themeFill="accent3" w:themeFillTint="3F"/>
      </w:tcPr>
    </w:tblStylePr>
    <w:tblStylePr w:type="band1Horz">
      <w:rPr>
        <w:rFonts w:ascii="Times New Roman" w:hAnsi="Times New Roman" w:cs="Times New Roman" w:hint="default"/>
      </w:rPr>
      <w:tblPr/>
      <w:tcPr>
        <w:tcBorders>
          <w:insideH w:val="nil"/>
          <w:insideV w:val="nil"/>
        </w:tcBorders>
        <w:shd w:val="clear" w:color="auto" w:fill="E8E8E8" w:themeFill="accent3" w:themeFillTint="3F"/>
      </w:tcPr>
    </w:tblStylePr>
    <w:tblStylePr w:type="band2Horz">
      <w:rPr>
        <w:rFonts w:ascii="Times New Roman" w:hAnsi="Times New Roman" w:cs="Times New Roman" w:hint="default"/>
      </w:rPr>
      <w:tblPr/>
      <w:tcPr>
        <w:tcBorders>
          <w:insideH w:val="nil"/>
          <w:insideV w:val="nil"/>
        </w:tcBorders>
      </w:tcPr>
    </w:tblStylePr>
  </w:style>
  <w:style w:type="table" w:styleId="Grigliachiara-Colore6">
    <w:name w:val="Light Grid Accent 6"/>
    <w:basedOn w:val="Tabellanormale"/>
    <w:uiPriority w:val="62"/>
    <w:rsid w:val="00F35F6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Testofumetto">
    <w:name w:val="Balloon Text"/>
    <w:basedOn w:val="Normale"/>
    <w:link w:val="TestofumettoCarattere"/>
    <w:uiPriority w:val="99"/>
    <w:semiHidden/>
    <w:unhideWhenUsed/>
    <w:rsid w:val="005805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0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79974">
      <w:bodyDiv w:val="1"/>
      <w:marLeft w:val="0"/>
      <w:marRight w:val="0"/>
      <w:marTop w:val="0"/>
      <w:marBottom w:val="0"/>
      <w:divBdr>
        <w:top w:val="none" w:sz="0" w:space="0" w:color="auto"/>
        <w:left w:val="none" w:sz="0" w:space="0" w:color="auto"/>
        <w:bottom w:val="none" w:sz="0" w:space="0" w:color="auto"/>
        <w:right w:val="none" w:sz="0" w:space="0" w:color="auto"/>
      </w:divBdr>
    </w:div>
    <w:div w:id="18605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1072</Words>
  <Characters>6116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Aielli</dc:creator>
  <cp:lastModifiedBy>Marika Aielli</cp:lastModifiedBy>
  <cp:revision>4</cp:revision>
  <cp:lastPrinted>2019-12-14T10:22:00Z</cp:lastPrinted>
  <dcterms:created xsi:type="dcterms:W3CDTF">2019-12-11T11:40:00Z</dcterms:created>
  <dcterms:modified xsi:type="dcterms:W3CDTF">2019-12-14T11:15:00Z</dcterms:modified>
</cp:coreProperties>
</file>