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C5" w:rsidRPr="00735325" w:rsidRDefault="00735325" w:rsidP="00735325">
      <w:pPr>
        <w:ind w:right="567"/>
        <w:rPr>
          <w:rFonts w:ascii="Arial" w:hAnsi="Arial" w:cs="Arial"/>
          <w:b/>
          <w:bCs/>
          <w:sz w:val="22"/>
          <w:szCs w:val="22"/>
        </w:rPr>
      </w:pPr>
      <w:r>
        <w:rPr>
          <w:rFonts w:ascii="Arial" w:hAnsi="Arial" w:cs="Arial"/>
          <w:b/>
          <w:bCs/>
          <w:sz w:val="22"/>
          <w:szCs w:val="22"/>
        </w:rPr>
        <w:t>Allegato A)</w:t>
      </w:r>
    </w:p>
    <w:p w:rsidR="004860C5" w:rsidRPr="00735325" w:rsidRDefault="004860C5" w:rsidP="00735325">
      <w:pPr>
        <w:ind w:right="567"/>
        <w:rPr>
          <w:rFonts w:ascii="Arial" w:hAnsi="Arial" w:cs="Arial"/>
          <w:b/>
          <w:bCs/>
          <w:sz w:val="22"/>
          <w:szCs w:val="22"/>
        </w:rPr>
      </w:pPr>
    </w:p>
    <w:p w:rsidR="004860C5" w:rsidRPr="00735325" w:rsidRDefault="004860C5" w:rsidP="00735325">
      <w:pPr>
        <w:ind w:right="567"/>
        <w:rPr>
          <w:rFonts w:ascii="Arial" w:hAnsi="Arial" w:cs="Arial"/>
          <w:b/>
          <w:bCs/>
          <w:sz w:val="22"/>
          <w:szCs w:val="22"/>
        </w:rPr>
      </w:pPr>
    </w:p>
    <w:p w:rsidR="004860C5" w:rsidRPr="00735325" w:rsidRDefault="004860C5" w:rsidP="00735325">
      <w:pPr>
        <w:ind w:right="567"/>
        <w:rPr>
          <w:rFonts w:ascii="Arial" w:hAnsi="Arial" w:cs="Arial"/>
          <w:b/>
          <w:bCs/>
          <w:sz w:val="22"/>
          <w:szCs w:val="22"/>
        </w:rPr>
      </w:pPr>
    </w:p>
    <w:p w:rsidR="004860C5" w:rsidRPr="00735325" w:rsidRDefault="004860C5" w:rsidP="00735325">
      <w:pPr>
        <w:ind w:right="567"/>
        <w:rPr>
          <w:rFonts w:ascii="Arial" w:hAnsi="Arial" w:cs="Arial"/>
          <w:b/>
          <w:bCs/>
          <w:sz w:val="22"/>
          <w:szCs w:val="22"/>
        </w:rPr>
      </w:pPr>
    </w:p>
    <w:p w:rsidR="004860C5" w:rsidRPr="00735325" w:rsidRDefault="004860C5" w:rsidP="00735325">
      <w:pPr>
        <w:ind w:right="567"/>
        <w:rPr>
          <w:rFonts w:ascii="Arial" w:hAnsi="Arial" w:cs="Arial"/>
          <w:b/>
          <w:bCs/>
          <w:sz w:val="22"/>
          <w:szCs w:val="22"/>
        </w:rPr>
      </w:pPr>
    </w:p>
    <w:p w:rsidR="004860C5" w:rsidRPr="00735325" w:rsidRDefault="004860C5" w:rsidP="00735325">
      <w:pPr>
        <w:ind w:right="567"/>
        <w:rPr>
          <w:rFonts w:ascii="Arial" w:hAnsi="Arial" w:cs="Arial"/>
          <w:b/>
          <w:bCs/>
          <w:sz w:val="22"/>
          <w:szCs w:val="22"/>
        </w:rPr>
      </w:pPr>
    </w:p>
    <w:p w:rsidR="004860C5" w:rsidRPr="00735325" w:rsidRDefault="004860C5" w:rsidP="00735325">
      <w:pPr>
        <w:ind w:right="567"/>
        <w:rPr>
          <w:rFonts w:ascii="Arial" w:hAnsi="Arial" w:cs="Arial"/>
          <w:b/>
          <w:bCs/>
          <w:sz w:val="22"/>
          <w:szCs w:val="22"/>
        </w:rPr>
      </w:pPr>
    </w:p>
    <w:p w:rsidR="004860C5" w:rsidRPr="00735325" w:rsidRDefault="004860C5" w:rsidP="00735325">
      <w:pPr>
        <w:ind w:right="567"/>
        <w:rPr>
          <w:rFonts w:ascii="Arial" w:hAnsi="Arial" w:cs="Arial"/>
          <w:b/>
          <w:bCs/>
          <w:sz w:val="22"/>
          <w:szCs w:val="22"/>
        </w:rPr>
      </w:pPr>
    </w:p>
    <w:p w:rsidR="004860C5" w:rsidRPr="00735325" w:rsidRDefault="004860C5" w:rsidP="00735325">
      <w:pPr>
        <w:ind w:right="567"/>
        <w:rPr>
          <w:rFonts w:ascii="Arial" w:hAnsi="Arial" w:cs="Arial"/>
          <w:b/>
          <w:bCs/>
          <w:sz w:val="22"/>
          <w:szCs w:val="22"/>
        </w:rPr>
      </w:pPr>
    </w:p>
    <w:p w:rsidR="004860C5" w:rsidRPr="00735325" w:rsidRDefault="004860C5" w:rsidP="00735325">
      <w:pPr>
        <w:ind w:right="567"/>
        <w:rPr>
          <w:rFonts w:ascii="Arial" w:hAnsi="Arial" w:cs="Arial"/>
          <w:b/>
          <w:bCs/>
          <w:sz w:val="22"/>
          <w:szCs w:val="22"/>
        </w:rPr>
      </w:pPr>
    </w:p>
    <w:p w:rsidR="00474B68" w:rsidRPr="00735325" w:rsidRDefault="00BD639D" w:rsidP="00735325">
      <w:pPr>
        <w:pStyle w:val="Corpodeltesto"/>
        <w:rPr>
          <w:bCs/>
          <w:sz w:val="44"/>
          <w:szCs w:val="44"/>
        </w:rPr>
      </w:pPr>
      <w:r w:rsidRPr="00735325">
        <w:rPr>
          <w:bCs/>
          <w:sz w:val="44"/>
          <w:szCs w:val="44"/>
        </w:rPr>
        <w:t xml:space="preserve">Piano di </w:t>
      </w:r>
      <w:r w:rsidR="00474B68" w:rsidRPr="00735325">
        <w:rPr>
          <w:bCs/>
          <w:sz w:val="44"/>
          <w:szCs w:val="44"/>
        </w:rPr>
        <w:t xml:space="preserve">revisione straordinaria </w:t>
      </w:r>
    </w:p>
    <w:p w:rsidR="004860C5" w:rsidRPr="00735325" w:rsidRDefault="00474B68" w:rsidP="00735325">
      <w:pPr>
        <w:pStyle w:val="Corpodeltesto"/>
        <w:rPr>
          <w:bCs/>
          <w:sz w:val="44"/>
          <w:szCs w:val="44"/>
        </w:rPr>
      </w:pPr>
      <w:r w:rsidRPr="00735325">
        <w:rPr>
          <w:bCs/>
          <w:sz w:val="44"/>
          <w:szCs w:val="44"/>
        </w:rPr>
        <w:t xml:space="preserve">delle </w:t>
      </w:r>
      <w:r w:rsidR="00BD639D" w:rsidRPr="00735325">
        <w:rPr>
          <w:bCs/>
          <w:sz w:val="44"/>
          <w:szCs w:val="44"/>
        </w:rPr>
        <w:t xml:space="preserve">società </w:t>
      </w:r>
      <w:r w:rsidRPr="00735325">
        <w:rPr>
          <w:bCs/>
          <w:sz w:val="44"/>
          <w:szCs w:val="44"/>
        </w:rPr>
        <w:t>pubbliche</w:t>
      </w:r>
      <w:r w:rsidR="00BD639D" w:rsidRPr="00735325">
        <w:rPr>
          <w:bCs/>
          <w:sz w:val="44"/>
          <w:szCs w:val="44"/>
        </w:rPr>
        <w:t xml:space="preserve"> </w:t>
      </w:r>
    </w:p>
    <w:p w:rsidR="00C82E6E" w:rsidRPr="00735325" w:rsidRDefault="00474B68" w:rsidP="00735325">
      <w:pPr>
        <w:pStyle w:val="Corpodeltesto"/>
      </w:pPr>
      <w:r w:rsidRPr="00735325">
        <w:rPr>
          <w:sz w:val="44"/>
          <w:szCs w:val="44"/>
        </w:rPr>
        <w:t>(articolo 24 del decreto legislativo 175/2016</w:t>
      </w:r>
      <w:r w:rsidR="00BD639D" w:rsidRPr="00735325">
        <w:rPr>
          <w:sz w:val="44"/>
          <w:szCs w:val="44"/>
        </w:rPr>
        <w:t>)</w:t>
      </w:r>
      <w:r w:rsidR="00BD639D" w:rsidRPr="00735325">
        <w:t xml:space="preserve"> </w:t>
      </w:r>
      <w:bookmarkStart w:id="0" w:name="_Toc405893695"/>
      <w:r w:rsidR="00C82E6E" w:rsidRPr="00735325">
        <w:rPr>
          <w:b/>
        </w:rPr>
        <w:br w:type="page"/>
      </w:r>
    </w:p>
    <w:p w:rsidR="004860C5" w:rsidRPr="00735325" w:rsidRDefault="004860C5" w:rsidP="00735325">
      <w:pPr>
        <w:keepNext/>
        <w:widowControl w:val="0"/>
        <w:jc w:val="center"/>
        <w:outlineLvl w:val="1"/>
        <w:rPr>
          <w:rFonts w:ascii="Arial" w:hAnsi="Arial" w:cs="Arial"/>
          <w:b/>
          <w:sz w:val="22"/>
          <w:szCs w:val="22"/>
        </w:rPr>
      </w:pPr>
      <w:r w:rsidRPr="00735325">
        <w:rPr>
          <w:rFonts w:ascii="Arial" w:hAnsi="Arial" w:cs="Arial"/>
          <w:b/>
          <w:sz w:val="22"/>
          <w:szCs w:val="22"/>
        </w:rPr>
        <w:lastRenderedPageBreak/>
        <w:t xml:space="preserve">I </w:t>
      </w:r>
      <w:r w:rsidR="006A5F86" w:rsidRPr="00735325">
        <w:rPr>
          <w:rFonts w:ascii="Arial" w:hAnsi="Arial" w:cs="Arial"/>
          <w:b/>
          <w:sz w:val="22"/>
          <w:szCs w:val="22"/>
        </w:rPr>
        <w:t>–</w:t>
      </w:r>
      <w:r w:rsidR="00820AB1" w:rsidRPr="00735325">
        <w:rPr>
          <w:rFonts w:ascii="Arial" w:hAnsi="Arial" w:cs="Arial"/>
          <w:b/>
          <w:sz w:val="22"/>
          <w:szCs w:val="22"/>
        </w:rPr>
        <w:t xml:space="preserve"> </w:t>
      </w:r>
      <w:bookmarkEnd w:id="0"/>
      <w:r w:rsidR="00BD639D" w:rsidRPr="00735325">
        <w:rPr>
          <w:rFonts w:ascii="Arial" w:hAnsi="Arial" w:cs="Arial"/>
          <w:b/>
          <w:sz w:val="22"/>
          <w:szCs w:val="22"/>
        </w:rPr>
        <w:t>Introduzione generale</w:t>
      </w:r>
    </w:p>
    <w:p w:rsidR="004860C5" w:rsidRPr="00735325" w:rsidRDefault="004860C5" w:rsidP="00735325">
      <w:pPr>
        <w:keepNext/>
        <w:widowControl w:val="0"/>
        <w:outlineLvl w:val="1"/>
        <w:rPr>
          <w:rFonts w:ascii="Arial" w:hAnsi="Arial" w:cs="Arial"/>
          <w:b/>
          <w:sz w:val="22"/>
          <w:szCs w:val="22"/>
        </w:rPr>
      </w:pPr>
      <w:bookmarkStart w:id="1" w:name="_Toc405893696"/>
      <w:r w:rsidRPr="00735325">
        <w:rPr>
          <w:rFonts w:ascii="Arial" w:hAnsi="Arial" w:cs="Arial"/>
          <w:b/>
          <w:sz w:val="22"/>
          <w:szCs w:val="22"/>
        </w:rPr>
        <w:t xml:space="preserve">1. </w:t>
      </w:r>
      <w:bookmarkEnd w:id="1"/>
      <w:r w:rsidR="00DE25EB" w:rsidRPr="00735325">
        <w:rPr>
          <w:rFonts w:ascii="Arial" w:hAnsi="Arial" w:cs="Arial"/>
          <w:b/>
          <w:sz w:val="22"/>
          <w:szCs w:val="22"/>
        </w:rPr>
        <w:t>Il quadro normativo</w:t>
      </w:r>
      <w:r w:rsidRPr="00735325">
        <w:rPr>
          <w:rFonts w:ascii="Arial" w:hAnsi="Arial" w:cs="Arial"/>
          <w:b/>
          <w:sz w:val="22"/>
          <w:szCs w:val="22"/>
        </w:rPr>
        <w:t xml:space="preserve"> </w:t>
      </w:r>
    </w:p>
    <w:p w:rsidR="00F94E94" w:rsidRPr="00735325" w:rsidRDefault="00F94E94" w:rsidP="00735325">
      <w:pPr>
        <w:jc w:val="both"/>
        <w:rPr>
          <w:rFonts w:ascii="Arial" w:hAnsi="Arial" w:cs="Arial"/>
          <w:color w:val="000000"/>
          <w:sz w:val="22"/>
          <w:szCs w:val="22"/>
        </w:rPr>
      </w:pPr>
      <w:r w:rsidRPr="00735325">
        <w:rPr>
          <w:rFonts w:ascii="Arial" w:hAnsi="Arial" w:cs="Arial"/>
          <w:color w:val="000000"/>
          <w:sz w:val="22"/>
          <w:szCs w:val="22"/>
        </w:rPr>
        <w:t xml:space="preserve">La </w:t>
      </w:r>
      <w:r w:rsidRPr="00735325">
        <w:rPr>
          <w:rFonts w:ascii="Arial" w:hAnsi="Arial" w:cs="Arial"/>
          <w:i/>
          <w:color w:val="000000"/>
          <w:sz w:val="22"/>
          <w:szCs w:val="22"/>
        </w:rPr>
        <w:t>revisione straordinaria delle partecipazioni societarie</w:t>
      </w:r>
      <w:r w:rsidRPr="00735325">
        <w:rPr>
          <w:rFonts w:ascii="Arial" w:hAnsi="Arial" w:cs="Arial"/>
          <w:color w:val="000000"/>
          <w:sz w:val="22"/>
          <w:szCs w:val="22"/>
        </w:rPr>
        <w:t xml:space="preserve"> è imposta </w:t>
      </w:r>
      <w:r w:rsidRPr="00735325">
        <w:rPr>
          <w:rFonts w:ascii="Arial" w:hAnsi="Arial" w:cs="Arial"/>
          <w:b/>
          <w:color w:val="000000"/>
          <w:sz w:val="22"/>
          <w:szCs w:val="22"/>
        </w:rPr>
        <w:t>dall’articolo 24 del decreto legislativo 19 agosto 2016 numero 175, il Testo Unico in materia di società a partecipazione pubblica (di seguito TU)</w:t>
      </w:r>
      <w:r w:rsidRPr="00735325">
        <w:rPr>
          <w:rFonts w:ascii="Arial" w:hAnsi="Arial" w:cs="Arial"/>
          <w:color w:val="000000"/>
          <w:sz w:val="22"/>
          <w:szCs w:val="22"/>
        </w:rPr>
        <w:t xml:space="preserve">, come rinnovato dal decreto delegato 16 giugno 2017 numero 100. </w:t>
      </w:r>
    </w:p>
    <w:p w:rsidR="00F94E94" w:rsidRPr="00735325" w:rsidRDefault="00F94E94" w:rsidP="00735325">
      <w:pPr>
        <w:jc w:val="both"/>
        <w:rPr>
          <w:rFonts w:ascii="Arial" w:hAnsi="Arial" w:cs="Arial"/>
          <w:color w:val="000000"/>
          <w:sz w:val="22"/>
          <w:szCs w:val="22"/>
        </w:rPr>
      </w:pPr>
      <w:r w:rsidRPr="00735325">
        <w:rPr>
          <w:rFonts w:ascii="Arial" w:hAnsi="Arial" w:cs="Arial"/>
          <w:color w:val="000000"/>
          <w:sz w:val="22"/>
          <w:szCs w:val="22"/>
        </w:rPr>
        <w:t xml:space="preserve">Per regioni e province autonome, enti locali, camere di commercio, industria, artigianato e agricoltura, università, istituti di istruzione universitaria e autorità portuali, il provvedimento costituisce un aggiornamento del precedente Piano operativo di razionalizzazione del 2015, che tali amministrazioni hanno approvato ai sensi del comma 612, articolo 1, della legge 190/2014. </w:t>
      </w:r>
    </w:p>
    <w:p w:rsidR="00F94E94" w:rsidRPr="00735325" w:rsidRDefault="00F94E94" w:rsidP="00735325">
      <w:pPr>
        <w:jc w:val="both"/>
        <w:rPr>
          <w:rFonts w:ascii="Arial" w:hAnsi="Arial" w:cs="Arial"/>
          <w:color w:val="000000"/>
          <w:sz w:val="22"/>
          <w:szCs w:val="22"/>
        </w:rPr>
      </w:pPr>
      <w:r w:rsidRPr="00735325">
        <w:rPr>
          <w:rFonts w:ascii="Arial" w:hAnsi="Arial" w:cs="Arial"/>
          <w:color w:val="000000"/>
          <w:sz w:val="22"/>
          <w:szCs w:val="22"/>
        </w:rPr>
        <w:t>Secondo l’articolo 24 del TU, ogni</w:t>
      </w:r>
      <w:r w:rsidR="00440782" w:rsidRPr="00735325">
        <w:rPr>
          <w:rFonts w:ascii="Arial" w:hAnsi="Arial" w:cs="Arial"/>
          <w:color w:val="000000"/>
          <w:sz w:val="22"/>
          <w:szCs w:val="22"/>
        </w:rPr>
        <w:t xml:space="preserve"> amministrazione pubblica deve </w:t>
      </w:r>
      <w:r w:rsidRPr="00735325">
        <w:rPr>
          <w:rFonts w:ascii="Arial" w:hAnsi="Arial" w:cs="Arial"/>
          <w:color w:val="000000"/>
          <w:sz w:val="22"/>
          <w:szCs w:val="22"/>
        </w:rPr>
        <w:t xml:space="preserve">effettuare, “con provvedimento motivato”, la ricognizione di tutte le partecipazioni, individuando quelle che dovranno essere cedute. </w:t>
      </w:r>
    </w:p>
    <w:p w:rsidR="00F94E94" w:rsidRPr="00735325" w:rsidRDefault="00F94E94" w:rsidP="00735325">
      <w:pPr>
        <w:jc w:val="both"/>
        <w:rPr>
          <w:rFonts w:ascii="Arial" w:hAnsi="Arial" w:cs="Arial"/>
          <w:color w:val="000000"/>
          <w:sz w:val="22"/>
          <w:szCs w:val="22"/>
        </w:rPr>
      </w:pPr>
      <w:r w:rsidRPr="00735325">
        <w:rPr>
          <w:rFonts w:ascii="Arial" w:hAnsi="Arial" w:cs="Arial"/>
          <w:color w:val="000000"/>
          <w:sz w:val="22"/>
          <w:szCs w:val="22"/>
        </w:rPr>
        <w:t xml:space="preserve">In alternativa alla vendita, le amministrazioni </w:t>
      </w:r>
      <w:r w:rsidR="002C1DCC" w:rsidRPr="00735325">
        <w:rPr>
          <w:rFonts w:ascii="Arial" w:hAnsi="Arial" w:cs="Arial"/>
          <w:color w:val="000000"/>
          <w:sz w:val="22"/>
          <w:szCs w:val="22"/>
        </w:rPr>
        <w:t xml:space="preserve">potrebbero </w:t>
      </w:r>
      <w:r w:rsidRPr="00735325">
        <w:rPr>
          <w:rFonts w:ascii="Arial" w:hAnsi="Arial" w:cs="Arial"/>
          <w:color w:val="000000"/>
          <w:sz w:val="22"/>
          <w:szCs w:val="22"/>
        </w:rPr>
        <w:t xml:space="preserve">varare un “piano di riassetto” delle partecipazioni societarie per provvedere a razionalizzare, fondere o liquidare le stesse partecipazioni (articolo 20 comma 1 TU). </w:t>
      </w:r>
    </w:p>
    <w:p w:rsidR="00F94E94" w:rsidRPr="00735325" w:rsidRDefault="00F94E94" w:rsidP="00735325">
      <w:pPr>
        <w:jc w:val="both"/>
        <w:rPr>
          <w:rFonts w:ascii="Arial" w:hAnsi="Arial" w:cs="Arial"/>
          <w:bCs/>
          <w:color w:val="000000"/>
          <w:sz w:val="22"/>
          <w:szCs w:val="22"/>
        </w:rPr>
      </w:pPr>
      <w:bookmarkStart w:id="2" w:name="_Hlk486932285"/>
      <w:r w:rsidRPr="00735325">
        <w:rPr>
          <w:rFonts w:ascii="Arial" w:hAnsi="Arial" w:cs="Arial"/>
          <w:bCs/>
          <w:color w:val="000000"/>
          <w:sz w:val="22"/>
          <w:szCs w:val="22"/>
        </w:rPr>
        <w:t>A norma dell’articolo 24, commi 1 e 3, del decreto legislativo 175/2016, il provvedimento di ricognizione, una volta approvato, dovrà essere trasmesso:</w:t>
      </w:r>
    </w:p>
    <w:p w:rsidR="00F94E94" w:rsidRPr="00735325" w:rsidRDefault="00F94E94" w:rsidP="00735325">
      <w:pPr>
        <w:jc w:val="both"/>
        <w:rPr>
          <w:rFonts w:ascii="Arial" w:hAnsi="Arial" w:cs="Arial"/>
          <w:bCs/>
          <w:color w:val="000000"/>
          <w:sz w:val="22"/>
          <w:szCs w:val="22"/>
        </w:rPr>
      </w:pPr>
      <w:r w:rsidRPr="00735325">
        <w:rPr>
          <w:rFonts w:ascii="Arial" w:hAnsi="Arial" w:cs="Arial"/>
          <w:bCs/>
          <w:color w:val="000000"/>
          <w:sz w:val="22"/>
          <w:szCs w:val="22"/>
        </w:rPr>
        <w:t xml:space="preserve">alla sezione regionale di controllo della Corte dei conti; </w:t>
      </w:r>
    </w:p>
    <w:p w:rsidR="00F94E94" w:rsidRPr="00735325" w:rsidRDefault="001C4EC7" w:rsidP="00735325">
      <w:pPr>
        <w:jc w:val="both"/>
        <w:rPr>
          <w:rFonts w:ascii="Arial" w:hAnsi="Arial" w:cs="Arial"/>
          <w:color w:val="000000"/>
          <w:sz w:val="22"/>
          <w:szCs w:val="22"/>
        </w:rPr>
      </w:pPr>
      <w:r w:rsidRPr="00735325">
        <w:rPr>
          <w:rFonts w:ascii="Arial" w:hAnsi="Arial" w:cs="Arial"/>
          <w:color w:val="000000"/>
          <w:sz w:val="22"/>
          <w:szCs w:val="22"/>
        </w:rPr>
        <w:t xml:space="preserve">entro il mese di ottobre, </w:t>
      </w:r>
      <w:r w:rsidR="00F94E94" w:rsidRPr="00735325">
        <w:rPr>
          <w:rFonts w:ascii="Arial" w:hAnsi="Arial" w:cs="Arial"/>
          <w:color w:val="000000"/>
          <w:sz w:val="22"/>
          <w:szCs w:val="22"/>
        </w:rPr>
        <w:t xml:space="preserve">alla struttura di “monitoraggio, indirizzo e coordinamento sulle società”, prevista dall’articolo 15 del TU e istituita presso il Ministero dell’economia e delle finanze, Direzione VIII del Dipartimento del Tesoro, attraverso il “portale” online disponibile sul sito  </w:t>
      </w:r>
      <w:hyperlink r:id="rId8" w:tgtFrame="_blank" w:history="1">
        <w:r w:rsidR="00F94E94" w:rsidRPr="00735325">
          <w:rPr>
            <w:rFonts w:ascii="Arial" w:hAnsi="Arial" w:cs="Arial"/>
            <w:color w:val="000000"/>
            <w:sz w:val="22"/>
            <w:szCs w:val="22"/>
          </w:rPr>
          <w:t>www.dt.mef.gov.it</w:t>
        </w:r>
      </w:hyperlink>
      <w:r w:rsidR="00F94E94" w:rsidRPr="00735325">
        <w:rPr>
          <w:rFonts w:ascii="Arial" w:hAnsi="Arial" w:cs="Arial"/>
          <w:color w:val="000000"/>
          <w:sz w:val="22"/>
          <w:szCs w:val="22"/>
        </w:rPr>
        <w:t xml:space="preserve">.   </w:t>
      </w:r>
    </w:p>
    <w:bookmarkEnd w:id="2"/>
    <w:p w:rsidR="00F94E94" w:rsidRPr="00735325" w:rsidRDefault="00F94E94" w:rsidP="00735325">
      <w:pPr>
        <w:jc w:val="both"/>
        <w:rPr>
          <w:rFonts w:ascii="Arial" w:hAnsi="Arial" w:cs="Arial"/>
          <w:color w:val="000000"/>
          <w:sz w:val="22"/>
          <w:szCs w:val="22"/>
        </w:rPr>
      </w:pPr>
      <w:r w:rsidRPr="00735325">
        <w:rPr>
          <w:rFonts w:ascii="Arial" w:hAnsi="Arial" w:cs="Arial"/>
          <w:color w:val="000000"/>
          <w:sz w:val="22"/>
          <w:szCs w:val="22"/>
        </w:rPr>
        <w:t xml:space="preserve">Assunto il provvedimento di revisione straordinaria, l'alienazione delle partecipazioni </w:t>
      </w:r>
      <w:r w:rsidR="006326ED" w:rsidRPr="00735325">
        <w:rPr>
          <w:rFonts w:ascii="Arial" w:hAnsi="Arial" w:cs="Arial"/>
          <w:color w:val="000000"/>
          <w:sz w:val="22"/>
          <w:szCs w:val="22"/>
        </w:rPr>
        <w:t>dovrà</w:t>
      </w:r>
      <w:r w:rsidRPr="00735325">
        <w:rPr>
          <w:rFonts w:ascii="Arial" w:hAnsi="Arial" w:cs="Arial"/>
          <w:color w:val="000000"/>
          <w:sz w:val="22"/>
          <w:szCs w:val="22"/>
        </w:rPr>
        <w:t xml:space="preserve"> avvenire “entro un anno dalla conclusione della ricognizione” (articolo 24 comma 4). </w:t>
      </w:r>
    </w:p>
    <w:p w:rsidR="00F94E94" w:rsidRPr="00735325" w:rsidRDefault="00F94E94" w:rsidP="00735325">
      <w:pPr>
        <w:jc w:val="both"/>
        <w:rPr>
          <w:rFonts w:ascii="Arial" w:hAnsi="Arial" w:cs="Arial"/>
          <w:color w:val="000000"/>
          <w:sz w:val="22"/>
          <w:szCs w:val="22"/>
        </w:rPr>
      </w:pPr>
      <w:r w:rsidRPr="00735325">
        <w:rPr>
          <w:rFonts w:ascii="Arial" w:hAnsi="Arial" w:cs="Arial"/>
          <w:color w:val="000000"/>
          <w:sz w:val="22"/>
          <w:szCs w:val="22"/>
        </w:rPr>
        <w:t>Qualora l’amministrazione ometta di procedere alla revisione straordinaria, oppure non rispetti il termine di un anno per la vendita delle quote, non potrà “esercitare i diritti sociali nei confronti della società” e, fatto salvo il potere di alienare la partecipazione, questa sarà liquidata in denaro in base a criteri e modalità dettati dal Codice civile (articoli 2437-ter, comma 2, e 2437-quater).</w:t>
      </w:r>
    </w:p>
    <w:p w:rsidR="00DE25EB" w:rsidRPr="00735325" w:rsidRDefault="00DE25EB" w:rsidP="00735325">
      <w:pPr>
        <w:jc w:val="both"/>
        <w:rPr>
          <w:rFonts w:ascii="Arial" w:hAnsi="Arial" w:cs="Arial"/>
          <w:color w:val="000000"/>
          <w:sz w:val="22"/>
          <w:szCs w:val="22"/>
        </w:rPr>
      </w:pPr>
      <w:r w:rsidRPr="00735325">
        <w:rPr>
          <w:rFonts w:ascii="Arial" w:hAnsi="Arial" w:cs="Arial"/>
          <w:color w:val="000000"/>
          <w:sz w:val="22"/>
          <w:szCs w:val="22"/>
        </w:rPr>
        <w:t xml:space="preserve">Secondo il legislatore del TU (articolo 24 comma 1), le amministrazioni devono dismettere le partecipazioni, dirette e indirette: </w:t>
      </w:r>
    </w:p>
    <w:p w:rsidR="00DE25EB" w:rsidRPr="00735325" w:rsidRDefault="00DE25EB" w:rsidP="00735325">
      <w:pPr>
        <w:jc w:val="both"/>
        <w:rPr>
          <w:rFonts w:ascii="Arial" w:hAnsi="Arial" w:cs="Arial"/>
          <w:color w:val="000000"/>
          <w:sz w:val="22"/>
          <w:szCs w:val="22"/>
        </w:rPr>
      </w:pPr>
      <w:r w:rsidRPr="00735325">
        <w:rPr>
          <w:rFonts w:ascii="Arial" w:hAnsi="Arial" w:cs="Arial"/>
          <w:color w:val="000000"/>
          <w:sz w:val="22"/>
          <w:szCs w:val="22"/>
        </w:rPr>
        <w:t xml:space="preserve">non riconducibili ad alcuna “categoria” tra quelle elencate dall'articolo 4 del TU; </w:t>
      </w:r>
    </w:p>
    <w:p w:rsidR="00DE25EB" w:rsidRPr="00735325" w:rsidRDefault="00DE25EB" w:rsidP="00735325">
      <w:pPr>
        <w:jc w:val="both"/>
        <w:rPr>
          <w:rFonts w:ascii="Arial" w:hAnsi="Arial" w:cs="Arial"/>
          <w:color w:val="000000"/>
          <w:sz w:val="22"/>
          <w:szCs w:val="22"/>
        </w:rPr>
      </w:pPr>
      <w:r w:rsidRPr="00735325">
        <w:rPr>
          <w:rFonts w:ascii="Arial" w:hAnsi="Arial" w:cs="Arial"/>
          <w:color w:val="000000"/>
          <w:sz w:val="22"/>
          <w:szCs w:val="22"/>
        </w:rPr>
        <w:t xml:space="preserve">oppure che non soddisfano i “requisiti” di cui all'articolo 5, commi 1 e 2, del TU; </w:t>
      </w:r>
    </w:p>
    <w:p w:rsidR="00DE25EB" w:rsidRPr="00735325" w:rsidRDefault="00DE25EB" w:rsidP="00735325">
      <w:pPr>
        <w:jc w:val="both"/>
        <w:rPr>
          <w:rFonts w:ascii="Arial" w:hAnsi="Arial" w:cs="Arial"/>
          <w:color w:val="000000"/>
          <w:sz w:val="22"/>
          <w:szCs w:val="22"/>
        </w:rPr>
      </w:pPr>
      <w:r w:rsidRPr="00735325">
        <w:rPr>
          <w:rFonts w:ascii="Arial" w:hAnsi="Arial" w:cs="Arial"/>
          <w:color w:val="000000"/>
          <w:sz w:val="22"/>
          <w:szCs w:val="22"/>
        </w:rPr>
        <w:t>o che ricadono in una delle ipotesi dell'articolo 20, comma 2, del TU.</w:t>
      </w:r>
    </w:p>
    <w:p w:rsidR="00DE25EB" w:rsidRPr="00735325" w:rsidRDefault="00DE25EB" w:rsidP="00735325">
      <w:pPr>
        <w:jc w:val="both"/>
        <w:rPr>
          <w:rFonts w:ascii="Arial" w:hAnsi="Arial" w:cs="Arial"/>
          <w:bCs/>
          <w:color w:val="000000"/>
          <w:sz w:val="22"/>
          <w:szCs w:val="22"/>
        </w:rPr>
      </w:pPr>
      <w:r w:rsidRPr="00735325">
        <w:rPr>
          <w:rFonts w:ascii="Arial" w:hAnsi="Arial" w:cs="Arial"/>
          <w:color w:val="000000"/>
          <w:sz w:val="22"/>
          <w:szCs w:val="22"/>
        </w:rPr>
        <w:t>Ai sensi dell’articolo 4 del TU, in primo luogo, le amministrazioni non possono detenere quote del capitale di società per la “</w:t>
      </w:r>
      <w:r w:rsidRPr="00735325">
        <w:rPr>
          <w:rFonts w:ascii="Arial" w:hAnsi="Arial" w:cs="Arial"/>
          <w:bCs/>
          <w:color w:val="000000"/>
          <w:sz w:val="22"/>
          <w:szCs w:val="22"/>
        </w:rPr>
        <w:t xml:space="preserve">produzione di beni e servizi non strettamente necessari per il perseguimento delle proprie finalità istituzionali”. Principio generale, già dettato dal comma 27, articolo 3, della legge 244/2007. </w:t>
      </w:r>
    </w:p>
    <w:p w:rsidR="00DE25EB" w:rsidRPr="00735325" w:rsidRDefault="00DE25EB" w:rsidP="00735325">
      <w:pPr>
        <w:jc w:val="both"/>
        <w:rPr>
          <w:rFonts w:ascii="Arial" w:hAnsi="Arial" w:cs="Arial"/>
          <w:color w:val="000000"/>
          <w:sz w:val="22"/>
          <w:szCs w:val="22"/>
        </w:rPr>
      </w:pPr>
      <w:r w:rsidRPr="00735325">
        <w:rPr>
          <w:rFonts w:ascii="Arial" w:hAnsi="Arial" w:cs="Arial"/>
          <w:color w:val="000000"/>
          <w:sz w:val="22"/>
          <w:szCs w:val="22"/>
        </w:rPr>
        <w:t>Le “categorie” previste dall’articolo 4 del TU, che consentono alle amministrazioni pubbliche di costituire società, acquisire o mantenere partecipazioni, sono:</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produzione di un servizio di interesse generale, inclusa la realizzazione e la gestione delle reti e degli impianti funzionali ai servizi medesimi;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progettazione e realizzazione di un'opera pubblica sulla base di un accordo di programma fra amministrazioni pubbliche;</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realizzazione e gestione di un'opera pubblica, ovvero organizzazione e gestione di un servizio d'interesse generale attraverso un contratto di partenariato, con un imprenditore privato;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autoproduzione di beni o servizi strumentali all'ente o agli enti pubblici partecipanti o allo svolgimento delle loro funzioni, nel rispetto delle direttive europee in materia di contratti pubblici e della disciplina nazionale di recepimento;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lastRenderedPageBreak/>
        <w:t xml:space="preserve">servizi di committenza, incluse le attività di committenza ausiliarie, apprestati a supporto di enti senza scopo di lucro e di amministrazioni aggiudicatrici di cui all’articolo 3 comma 1 lettera a) del decreto legislativo 50/2016.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Inoltre, sempre l’articolo 4, prevede: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che per valorizzare i loro immobili, le amministrazioni possano “acquisire partecipazioni in società aventi per oggetto sociale esclusivo la valorizzazione del patrimonio delle amministrazioni stesse, tramite il conferimento di beni immobili allo scopo di realizzare un investimento secondo criteri propri di un qualsiasi operatore di mercato” (articolo 4 comma 3);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che sia salva la possibilità di costituire società in attuazione dell'articolo 34 del regolamento (CE) n. 1303/2013 del Parlamento europeo e del Consiglio del 17 dicembre 2013 e dell'articolo 61 del regolamento (CE) n. 508 del 2014 del Parlamento europeo e del Consiglio 15 maggio 2014 (articolo 4 comma 6);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che siano ammesse le partecipazioni nelle società per la gestione di spazi fieristici e l'organizzazione di eventi fieristici, la realizzazione e la gestione di impianti di trasporto a fune per la mobilità turistico-sportiva in aree montane, nonché la produzione d</w:t>
      </w:r>
      <w:bookmarkStart w:id="3" w:name="9up"/>
      <w:r w:rsidRPr="00735325">
        <w:rPr>
          <w:rFonts w:ascii="Arial" w:hAnsi="Arial" w:cs="Arial"/>
          <w:bCs/>
          <w:color w:val="000000"/>
          <w:sz w:val="22"/>
          <w:szCs w:val="22"/>
        </w:rPr>
        <w:t xml:space="preserve">i energia da fonti rinnovabili (articolo 4 comma 7); </w:t>
      </w:r>
      <w:bookmarkEnd w:id="3"/>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che sia salva la possibilità di costituire società con caratteristiche di spin off o di start up universitari, nonché quelle con caratteristiche analoghe degli enti di ricerca e che sia salva la possibilità, per le università, di costituire società per la gestione di aziende ag</w:t>
      </w:r>
      <w:bookmarkStart w:id="4" w:name="10up"/>
      <w:r w:rsidRPr="00735325">
        <w:rPr>
          <w:rFonts w:ascii="Arial" w:hAnsi="Arial" w:cs="Arial"/>
          <w:bCs/>
          <w:color w:val="000000"/>
          <w:sz w:val="22"/>
          <w:szCs w:val="22"/>
        </w:rPr>
        <w:t>ricole con funzioni didattiche (articolo 4 comma 8)</w:t>
      </w:r>
      <w:bookmarkEnd w:id="4"/>
      <w:r w:rsidRPr="00735325">
        <w:rPr>
          <w:rFonts w:ascii="Arial" w:hAnsi="Arial" w:cs="Arial"/>
          <w:bCs/>
          <w:color w:val="000000"/>
          <w:sz w:val="22"/>
          <w:szCs w:val="22"/>
        </w:rPr>
        <w:t xml:space="preserve">;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infine, che sia fatta salva la possibilità di acquisire o mantenere partecipazioni in società che producono servizi di interesse generale a rete, anche oltre l'ambito territoriale della collettività di riferimento, purché l'affidamento dei servizi sia avvenuto e avvenga tramite </w:t>
      </w:r>
      <w:bookmarkStart w:id="5" w:name="12up"/>
      <w:r w:rsidRPr="00735325">
        <w:rPr>
          <w:rFonts w:ascii="Arial" w:hAnsi="Arial" w:cs="Arial"/>
          <w:bCs/>
          <w:color w:val="000000"/>
          <w:sz w:val="22"/>
          <w:szCs w:val="22"/>
        </w:rPr>
        <w:t xml:space="preserve">procedure ad evidenza pubblica (articolo 4 comma 9-bis). </w:t>
      </w:r>
      <w:bookmarkEnd w:id="5"/>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In ogni caso, il comma 9 dell’articolo 4, consente alla Presidenza del Consiglio dei ministri, su proposta dell'organo di vertice dell'amministrazione interessata, di deliberare “l'esclusione totale o parziale” dei limiti dell’articolo 4 per singole società a partecipazione pubblica. </w:t>
      </w:r>
    </w:p>
    <w:p w:rsidR="00DE25EB" w:rsidRPr="00735325" w:rsidRDefault="00DE25EB" w:rsidP="00735325">
      <w:pPr>
        <w:jc w:val="both"/>
        <w:rPr>
          <w:rFonts w:ascii="Arial" w:hAnsi="Arial" w:cs="Arial"/>
          <w:color w:val="000000"/>
          <w:sz w:val="22"/>
          <w:szCs w:val="22"/>
        </w:rPr>
      </w:pPr>
      <w:r w:rsidRPr="00735325">
        <w:rPr>
          <w:rFonts w:ascii="Arial" w:hAnsi="Arial" w:cs="Arial"/>
          <w:color w:val="000000"/>
          <w:sz w:val="22"/>
          <w:szCs w:val="22"/>
        </w:rPr>
        <w:t xml:space="preserve">Oltre alle “categorie” dell’articolo 4, le amministrazioni devono verificare i “requisiti” di cui all'articolo 5, commi 1 e 2.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Secondo il comma 1 dell’articolo 5 del TU, l'atto deliberativo di costituzione di una società o di acquisto di partecipazioni, anche indirette, “deve essere analiticamente motivato”. Attraverso tale motivazioni l’amministrazione deve: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dimostrare la necessità della società per il perseguimento delle finalità istituzionali elencate all'articolo 4 del TU;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evidenziando le ragioni e le finalità che giustificano tale scelta, anche sul piano della convenienza economica e della sostenibilità finanziaria, nonché di gestione diretta o esternalizzata del servizio affidato;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dare conto della compatibilità della scelta con i princìpi di efficienza, di efficacia e di economicità dell'azione amministrativa.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Ai sensi del comma 2 dell’articolo 5 del TU: “L'atto deliberativo […] dà atto della compatibilità dell'intervento finanziario previsto con le norme dei trattati europei e, in particolare, con la disciplina europea in materia di aiuti di Stato alle imprese”.</w:t>
      </w:r>
    </w:p>
    <w:p w:rsidR="00DE25EB" w:rsidRPr="00735325" w:rsidRDefault="00DE25EB" w:rsidP="00735325">
      <w:pPr>
        <w:jc w:val="both"/>
        <w:rPr>
          <w:rFonts w:ascii="Arial" w:hAnsi="Arial" w:cs="Arial"/>
          <w:color w:val="000000"/>
          <w:sz w:val="22"/>
          <w:szCs w:val="22"/>
        </w:rPr>
      </w:pPr>
      <w:r w:rsidRPr="00735325">
        <w:rPr>
          <w:rFonts w:ascii="Arial" w:hAnsi="Arial" w:cs="Arial"/>
          <w:color w:val="000000"/>
          <w:sz w:val="22"/>
          <w:szCs w:val="22"/>
        </w:rPr>
        <w:t xml:space="preserve">All’atto della ricognizione straordinaria delle partecipazioni, le amministrazioni devono dismettere quelle che ricadono in una delle ipotesi dell'articolo 20, comma 2, del TU come novellato dal decreto 100/2017. L’articolo 20 impone la dismissione:  </w:t>
      </w:r>
    </w:p>
    <w:p w:rsidR="00DE25EB" w:rsidRPr="00735325" w:rsidRDefault="00565CC9" w:rsidP="00735325">
      <w:pPr>
        <w:jc w:val="both"/>
        <w:rPr>
          <w:rFonts w:ascii="Arial" w:hAnsi="Arial" w:cs="Arial"/>
          <w:bCs/>
          <w:color w:val="000000"/>
          <w:sz w:val="22"/>
          <w:szCs w:val="22"/>
        </w:rPr>
      </w:pPr>
      <w:r w:rsidRPr="00735325">
        <w:rPr>
          <w:rFonts w:ascii="Arial" w:hAnsi="Arial" w:cs="Arial"/>
          <w:color w:val="000000"/>
          <w:sz w:val="22"/>
          <w:szCs w:val="22"/>
        </w:rPr>
        <w:t>del</w:t>
      </w:r>
      <w:r w:rsidR="00DE25EB" w:rsidRPr="00735325">
        <w:rPr>
          <w:rFonts w:ascii="Arial" w:hAnsi="Arial" w:cs="Arial"/>
          <w:color w:val="000000"/>
          <w:sz w:val="22"/>
          <w:szCs w:val="22"/>
        </w:rPr>
        <w:t xml:space="preserve">le </w:t>
      </w:r>
      <w:r w:rsidR="00DE25EB" w:rsidRPr="00735325">
        <w:rPr>
          <w:rFonts w:ascii="Arial" w:hAnsi="Arial" w:cs="Arial"/>
          <w:bCs/>
          <w:color w:val="000000"/>
          <w:sz w:val="22"/>
          <w:szCs w:val="22"/>
        </w:rPr>
        <w:t xml:space="preserve">società prive di dipendenti o con un numero di amministratori maggiore a quello dei dipendenti; </w:t>
      </w:r>
    </w:p>
    <w:p w:rsidR="00DE25EB" w:rsidRPr="00735325" w:rsidRDefault="00565CC9" w:rsidP="00735325">
      <w:pPr>
        <w:jc w:val="both"/>
        <w:rPr>
          <w:rFonts w:ascii="Arial" w:hAnsi="Arial" w:cs="Arial"/>
          <w:bCs/>
          <w:color w:val="000000"/>
          <w:sz w:val="22"/>
          <w:szCs w:val="22"/>
        </w:rPr>
      </w:pPr>
      <w:r w:rsidRPr="00735325">
        <w:rPr>
          <w:rFonts w:ascii="Arial" w:hAnsi="Arial" w:cs="Arial"/>
          <w:bCs/>
          <w:color w:val="000000"/>
          <w:sz w:val="22"/>
          <w:szCs w:val="22"/>
        </w:rPr>
        <w:t>del</w:t>
      </w:r>
      <w:r w:rsidR="00DE25EB" w:rsidRPr="00735325">
        <w:rPr>
          <w:rFonts w:ascii="Arial" w:hAnsi="Arial" w:cs="Arial"/>
          <w:bCs/>
          <w:color w:val="000000"/>
          <w:sz w:val="22"/>
          <w:szCs w:val="22"/>
        </w:rPr>
        <w:t xml:space="preserve">le partecipazioni in società che svolgono attività analoghe o similari a quelle svolte da altre società partecipate o da enti strumentali;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nel caso sussista la necessità di contenere i costi di funzionamento;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nel caso vi sia la necessità di aggregare società diverse, che svolgono attività consentite.</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lastRenderedPageBreak/>
        <w:t xml:space="preserve">L’articolo 20 prevede anche il requisito del </w:t>
      </w:r>
      <w:r w:rsidRPr="00735325">
        <w:rPr>
          <w:rFonts w:ascii="Arial" w:hAnsi="Arial" w:cs="Arial"/>
          <w:bCs/>
          <w:i/>
          <w:color w:val="000000"/>
          <w:sz w:val="22"/>
          <w:szCs w:val="22"/>
        </w:rPr>
        <w:t>fatturato medio del triennio precedente</w:t>
      </w:r>
      <w:r w:rsidRPr="00735325">
        <w:rPr>
          <w:rFonts w:ascii="Arial" w:hAnsi="Arial" w:cs="Arial"/>
          <w:bCs/>
          <w:color w:val="000000"/>
          <w:sz w:val="22"/>
          <w:szCs w:val="22"/>
        </w:rPr>
        <w:t>. La norma deve essere letta congiuntamente al comma 12-</w:t>
      </w:r>
      <w:r w:rsidRPr="00735325">
        <w:rPr>
          <w:rFonts w:ascii="Arial" w:hAnsi="Arial" w:cs="Arial"/>
          <w:bCs/>
          <w:i/>
          <w:color w:val="000000"/>
          <w:sz w:val="22"/>
          <w:szCs w:val="22"/>
        </w:rPr>
        <w:t>quinquies</w:t>
      </w:r>
      <w:r w:rsidRPr="00735325">
        <w:rPr>
          <w:rFonts w:ascii="Arial" w:hAnsi="Arial" w:cs="Arial"/>
          <w:bCs/>
          <w:color w:val="000000"/>
          <w:sz w:val="22"/>
          <w:szCs w:val="22"/>
        </w:rPr>
        <w:t xml:space="preserve"> dell’articolo 26. Quindi: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il limite del fatturato medio, di almeno un milione, si applicherà nel 2020 sul triennio 2017-2019;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per i provvedimenti di ricognizione del 2017 (triennio 2014-2016), 2018 (triennio 2015-2017) e 2019 (triennio 2016-2018) il fatturato medio richiesto è di 500.000 euro.    </w:t>
      </w:r>
    </w:p>
    <w:p w:rsidR="00DE25EB" w:rsidRPr="00735325" w:rsidRDefault="00DE25EB" w:rsidP="00735325">
      <w:pPr>
        <w:jc w:val="both"/>
        <w:rPr>
          <w:rFonts w:ascii="Arial" w:hAnsi="Arial" w:cs="Arial"/>
          <w:color w:val="000000"/>
          <w:sz w:val="22"/>
          <w:szCs w:val="22"/>
        </w:rPr>
      </w:pPr>
      <w:r w:rsidRPr="00735325">
        <w:rPr>
          <w:rFonts w:ascii="Arial" w:hAnsi="Arial" w:cs="Arial"/>
          <w:color w:val="000000"/>
          <w:sz w:val="22"/>
          <w:szCs w:val="22"/>
        </w:rPr>
        <w:t xml:space="preserve">L’articolo 20, infine, prevede un ultimo requisito, e vieta le “partecipazioni in società diverse da quelle costituite per la gestione di un servizio d'interesse generale che abbiano prodotto un risultato negativo per quattro dei cinque esercizi precedenti”. </w:t>
      </w:r>
    </w:p>
    <w:p w:rsidR="00F94E94" w:rsidRPr="00735325" w:rsidRDefault="00DE25EB" w:rsidP="00735325">
      <w:pPr>
        <w:jc w:val="both"/>
        <w:rPr>
          <w:rFonts w:ascii="Arial" w:hAnsi="Arial" w:cs="Arial"/>
          <w:color w:val="000000"/>
          <w:sz w:val="22"/>
          <w:szCs w:val="22"/>
        </w:rPr>
      </w:pPr>
      <w:r w:rsidRPr="00735325">
        <w:rPr>
          <w:rFonts w:ascii="Arial" w:hAnsi="Arial" w:cs="Arial"/>
          <w:color w:val="000000"/>
          <w:sz w:val="22"/>
          <w:szCs w:val="22"/>
        </w:rPr>
        <w:t>Anche per tale ipotesi, l’articolo 26 (comma 12-</w:t>
      </w:r>
      <w:r w:rsidRPr="00735325">
        <w:rPr>
          <w:rFonts w:ascii="Arial" w:hAnsi="Arial" w:cs="Arial"/>
          <w:i/>
          <w:color w:val="000000"/>
          <w:sz w:val="22"/>
          <w:szCs w:val="22"/>
        </w:rPr>
        <w:t>quater</w:t>
      </w:r>
      <w:r w:rsidRPr="00735325">
        <w:rPr>
          <w:rFonts w:ascii="Arial" w:hAnsi="Arial" w:cs="Arial"/>
          <w:color w:val="000000"/>
          <w:sz w:val="22"/>
          <w:szCs w:val="22"/>
        </w:rPr>
        <w:t xml:space="preserve">) differenzia le modalità applicative e dispone che per le sole società che </w:t>
      </w:r>
      <w:r w:rsidRPr="00735325">
        <w:rPr>
          <w:rFonts w:ascii="Arial" w:hAnsi="Arial" w:cs="Arial"/>
          <w:bCs/>
          <w:color w:val="000000"/>
          <w:sz w:val="22"/>
          <w:szCs w:val="22"/>
        </w:rPr>
        <w:t>gestiscono eventi fieristici, che gestiscono impianti di trasporto a fune o che producono energia da fonti rinnovabili,</w:t>
      </w:r>
      <w:r w:rsidRPr="00735325">
        <w:rPr>
          <w:rFonts w:ascii="Arial" w:hAnsi="Arial" w:cs="Arial"/>
          <w:color w:val="000000"/>
          <w:sz w:val="22"/>
          <w:szCs w:val="22"/>
        </w:rPr>
        <w:t xml:space="preserve"> si considerino i risultati dei cinque esercizi successivi all'entrata in vigore del TU (2017-2021).</w:t>
      </w:r>
    </w:p>
    <w:p w:rsidR="00DE25EB" w:rsidRPr="00735325" w:rsidRDefault="00DE25EB" w:rsidP="00735325">
      <w:pPr>
        <w:jc w:val="both"/>
        <w:rPr>
          <w:rFonts w:ascii="Arial" w:hAnsi="Arial" w:cs="Arial"/>
          <w:b/>
          <w:color w:val="000000"/>
          <w:sz w:val="22"/>
          <w:szCs w:val="22"/>
        </w:rPr>
      </w:pPr>
    </w:p>
    <w:p w:rsidR="00F94E94" w:rsidRPr="00735325" w:rsidRDefault="001538E2" w:rsidP="00735325">
      <w:pPr>
        <w:keepNext/>
        <w:widowControl w:val="0"/>
        <w:outlineLvl w:val="1"/>
        <w:rPr>
          <w:rFonts w:ascii="Arial" w:hAnsi="Arial" w:cs="Arial"/>
          <w:b/>
          <w:sz w:val="22"/>
          <w:szCs w:val="22"/>
        </w:rPr>
      </w:pPr>
      <w:r w:rsidRPr="00735325">
        <w:rPr>
          <w:rFonts w:ascii="Arial" w:hAnsi="Arial" w:cs="Arial"/>
          <w:b/>
          <w:sz w:val="22"/>
          <w:szCs w:val="22"/>
        </w:rPr>
        <w:t>2. Il piano operativo di razionalizzazione del 2015</w:t>
      </w:r>
    </w:p>
    <w:p w:rsidR="00F94E94" w:rsidRPr="00735325" w:rsidRDefault="001538E2" w:rsidP="00735325">
      <w:pPr>
        <w:jc w:val="both"/>
        <w:rPr>
          <w:rFonts w:ascii="Arial" w:hAnsi="Arial" w:cs="Arial"/>
          <w:color w:val="000000"/>
          <w:sz w:val="22"/>
          <w:szCs w:val="22"/>
        </w:rPr>
      </w:pPr>
      <w:r w:rsidRPr="00735325">
        <w:rPr>
          <w:rFonts w:ascii="Arial" w:hAnsi="Arial" w:cs="Arial"/>
          <w:color w:val="000000"/>
          <w:sz w:val="22"/>
          <w:szCs w:val="22"/>
        </w:rPr>
        <w:t>Questo</w:t>
      </w:r>
      <w:r w:rsidR="00F94E94" w:rsidRPr="00735325">
        <w:rPr>
          <w:rFonts w:ascii="Arial" w:hAnsi="Arial" w:cs="Arial"/>
          <w:color w:val="000000"/>
          <w:sz w:val="22"/>
          <w:szCs w:val="22"/>
        </w:rPr>
        <w:t xml:space="preserve"> docume</w:t>
      </w:r>
      <w:r w:rsidRPr="00735325">
        <w:rPr>
          <w:rFonts w:ascii="Arial" w:hAnsi="Arial" w:cs="Arial"/>
          <w:color w:val="000000"/>
          <w:sz w:val="22"/>
          <w:szCs w:val="22"/>
        </w:rPr>
        <w:t>nto di revisione straordinaria rappresenta un aggiornamento del “P</w:t>
      </w:r>
      <w:r w:rsidR="00F94E94" w:rsidRPr="00735325">
        <w:rPr>
          <w:rFonts w:ascii="Arial" w:hAnsi="Arial" w:cs="Arial"/>
          <w:color w:val="000000"/>
          <w:sz w:val="22"/>
          <w:szCs w:val="22"/>
        </w:rPr>
        <w:t>iano operativo</w:t>
      </w:r>
      <w:r w:rsidRPr="00735325">
        <w:rPr>
          <w:rFonts w:ascii="Arial" w:hAnsi="Arial" w:cs="Arial"/>
          <w:color w:val="000000"/>
          <w:sz w:val="22"/>
          <w:szCs w:val="22"/>
        </w:rPr>
        <w:t xml:space="preserve"> di razionalizzazione” del 2015</w:t>
      </w:r>
      <w:r w:rsidR="00A15725" w:rsidRPr="00735325">
        <w:rPr>
          <w:rFonts w:ascii="Arial" w:hAnsi="Arial" w:cs="Arial"/>
          <w:color w:val="000000"/>
          <w:sz w:val="22"/>
          <w:szCs w:val="22"/>
        </w:rPr>
        <w:t xml:space="preserve"> (articolo 24 comma 2 del TU)</w:t>
      </w:r>
      <w:r w:rsidR="00F94E94" w:rsidRPr="00735325">
        <w:rPr>
          <w:rFonts w:ascii="Arial" w:hAnsi="Arial" w:cs="Arial"/>
          <w:color w:val="000000"/>
          <w:sz w:val="22"/>
          <w:szCs w:val="22"/>
        </w:rPr>
        <w:t xml:space="preserve">. </w:t>
      </w:r>
      <w:r w:rsidR="00A15725" w:rsidRPr="00735325">
        <w:rPr>
          <w:rFonts w:ascii="Arial" w:hAnsi="Arial" w:cs="Arial"/>
          <w:color w:val="000000"/>
          <w:sz w:val="22"/>
          <w:szCs w:val="22"/>
        </w:rPr>
        <w:t xml:space="preserve">I commi 611 e 612 dell’articolo 1 della legge 190/2014 prevedevano l’applicazione di criteri sovrapponibili a quelli elencati oggi dal TU (che ne ha ampliato il numero). </w:t>
      </w:r>
      <w:r w:rsidR="00F94E94" w:rsidRPr="00735325">
        <w:rPr>
          <w:rFonts w:ascii="Arial" w:hAnsi="Arial" w:cs="Arial"/>
          <w:color w:val="000000"/>
          <w:sz w:val="22"/>
          <w:szCs w:val="22"/>
        </w:rPr>
        <w:t>Il comma 611</w:t>
      </w:r>
      <w:r w:rsidR="00A15725" w:rsidRPr="00735325">
        <w:rPr>
          <w:rFonts w:ascii="Arial" w:hAnsi="Arial" w:cs="Arial"/>
          <w:color w:val="000000"/>
          <w:sz w:val="22"/>
          <w:szCs w:val="22"/>
        </w:rPr>
        <w:t>, della legge 190/2014, prevedeva</w:t>
      </w:r>
      <w:r w:rsidR="00F94E94" w:rsidRPr="00735325">
        <w:rPr>
          <w:rFonts w:ascii="Arial" w:hAnsi="Arial" w:cs="Arial"/>
          <w:color w:val="000000"/>
          <w:sz w:val="22"/>
          <w:szCs w:val="22"/>
        </w:rPr>
        <w:t xml:space="preserve">: </w:t>
      </w:r>
    </w:p>
    <w:p w:rsidR="00F94E94" w:rsidRPr="00735325" w:rsidRDefault="00A15725" w:rsidP="00735325">
      <w:pPr>
        <w:jc w:val="both"/>
        <w:rPr>
          <w:rFonts w:ascii="Arial" w:hAnsi="Arial" w:cs="Arial"/>
          <w:color w:val="000000"/>
          <w:sz w:val="22"/>
          <w:szCs w:val="22"/>
        </w:rPr>
      </w:pPr>
      <w:r w:rsidRPr="00735325">
        <w:rPr>
          <w:rFonts w:ascii="Arial" w:hAnsi="Arial" w:cs="Arial"/>
          <w:color w:val="000000"/>
          <w:sz w:val="22"/>
          <w:szCs w:val="22"/>
        </w:rPr>
        <w:t>l’</w:t>
      </w:r>
      <w:r w:rsidR="00F94E94" w:rsidRPr="00735325">
        <w:rPr>
          <w:rFonts w:ascii="Arial" w:hAnsi="Arial" w:cs="Arial"/>
          <w:color w:val="000000"/>
          <w:sz w:val="22"/>
          <w:szCs w:val="22"/>
        </w:rPr>
        <w:t>eliminazione delle partecipazioni non indispensabili per le finalità istituzionali;</w:t>
      </w:r>
    </w:p>
    <w:p w:rsidR="00F94E94" w:rsidRPr="00735325" w:rsidRDefault="00A15725" w:rsidP="00735325">
      <w:pPr>
        <w:jc w:val="both"/>
        <w:rPr>
          <w:rFonts w:ascii="Arial" w:hAnsi="Arial" w:cs="Arial"/>
          <w:color w:val="000000"/>
          <w:sz w:val="22"/>
          <w:szCs w:val="22"/>
        </w:rPr>
      </w:pPr>
      <w:r w:rsidRPr="00735325">
        <w:rPr>
          <w:rFonts w:ascii="Arial" w:hAnsi="Arial" w:cs="Arial"/>
          <w:color w:val="000000"/>
          <w:sz w:val="22"/>
          <w:szCs w:val="22"/>
        </w:rPr>
        <w:t xml:space="preserve">la </w:t>
      </w:r>
      <w:r w:rsidR="00F94E94" w:rsidRPr="00735325">
        <w:rPr>
          <w:rFonts w:ascii="Arial" w:hAnsi="Arial" w:cs="Arial"/>
          <w:color w:val="000000"/>
          <w:sz w:val="22"/>
          <w:szCs w:val="22"/>
        </w:rPr>
        <w:t>soppressione delle società di soli amministratori o nelle quali il numero di amministratori fosse maggiore dei dipendenti;</w:t>
      </w:r>
    </w:p>
    <w:p w:rsidR="00F94E94" w:rsidRPr="00735325" w:rsidRDefault="00A15725" w:rsidP="00735325">
      <w:pPr>
        <w:jc w:val="both"/>
        <w:rPr>
          <w:rFonts w:ascii="Arial" w:hAnsi="Arial" w:cs="Arial"/>
          <w:color w:val="000000"/>
          <w:sz w:val="22"/>
          <w:szCs w:val="22"/>
        </w:rPr>
      </w:pPr>
      <w:r w:rsidRPr="00735325">
        <w:rPr>
          <w:rFonts w:ascii="Arial" w:hAnsi="Arial" w:cs="Arial"/>
          <w:color w:val="000000"/>
          <w:sz w:val="22"/>
          <w:szCs w:val="22"/>
        </w:rPr>
        <w:t>l’</w:t>
      </w:r>
      <w:r w:rsidR="00F94E94" w:rsidRPr="00735325">
        <w:rPr>
          <w:rFonts w:ascii="Arial" w:hAnsi="Arial" w:cs="Arial"/>
          <w:color w:val="000000"/>
          <w:sz w:val="22"/>
          <w:szCs w:val="22"/>
        </w:rPr>
        <w:t>eliminazione delle società che svolgevano attività analoghe o simili a quelle svolte da altre partecipate o da enti strumentali;</w:t>
      </w:r>
    </w:p>
    <w:p w:rsidR="00F94E94" w:rsidRPr="00735325" w:rsidRDefault="00A15725" w:rsidP="00735325">
      <w:pPr>
        <w:jc w:val="both"/>
        <w:rPr>
          <w:rFonts w:ascii="Arial" w:hAnsi="Arial" w:cs="Arial"/>
          <w:color w:val="000000"/>
          <w:sz w:val="22"/>
          <w:szCs w:val="22"/>
        </w:rPr>
      </w:pPr>
      <w:r w:rsidRPr="00735325">
        <w:rPr>
          <w:rFonts w:ascii="Arial" w:hAnsi="Arial" w:cs="Arial"/>
          <w:color w:val="000000"/>
          <w:sz w:val="22"/>
          <w:szCs w:val="22"/>
        </w:rPr>
        <w:t>l’</w:t>
      </w:r>
      <w:r w:rsidR="00F94E94" w:rsidRPr="00735325">
        <w:rPr>
          <w:rFonts w:ascii="Arial" w:hAnsi="Arial" w:cs="Arial"/>
          <w:color w:val="000000"/>
          <w:sz w:val="22"/>
          <w:szCs w:val="22"/>
        </w:rPr>
        <w:t>aggregazione di società di servizi pubblici locali di rilevanza economica;</w:t>
      </w:r>
    </w:p>
    <w:p w:rsidR="00F94E94" w:rsidRPr="00735325" w:rsidRDefault="00A15725" w:rsidP="00735325">
      <w:pPr>
        <w:jc w:val="both"/>
        <w:rPr>
          <w:rFonts w:ascii="Arial" w:hAnsi="Arial" w:cs="Arial"/>
          <w:bCs/>
          <w:color w:val="000000"/>
          <w:sz w:val="22"/>
          <w:szCs w:val="22"/>
        </w:rPr>
      </w:pPr>
      <w:r w:rsidRPr="00735325">
        <w:rPr>
          <w:rFonts w:ascii="Arial" w:hAnsi="Arial" w:cs="Arial"/>
          <w:color w:val="000000"/>
          <w:sz w:val="22"/>
          <w:szCs w:val="22"/>
        </w:rPr>
        <w:t xml:space="preserve">il </w:t>
      </w:r>
      <w:r w:rsidR="00F94E94" w:rsidRPr="00735325">
        <w:rPr>
          <w:rFonts w:ascii="Arial" w:hAnsi="Arial" w:cs="Arial"/>
          <w:color w:val="000000"/>
          <w:sz w:val="22"/>
          <w:szCs w:val="22"/>
        </w:rPr>
        <w:t>contenimento dei costi di funzionamento, anche con la riorganizzazione degli organi amministrativi, di controllo e delle strutture, ovvero riducendone le remunerazioni.</w:t>
      </w:r>
    </w:p>
    <w:p w:rsidR="00BE285B" w:rsidRPr="00735325" w:rsidRDefault="001538E2" w:rsidP="00735325">
      <w:pPr>
        <w:pStyle w:val="Corpodeltesto"/>
        <w:jc w:val="both"/>
      </w:pPr>
      <w:r w:rsidRPr="00735325">
        <w:t>Il Piano operativo di razionalizzazione</w:t>
      </w:r>
      <w:r w:rsidR="00A15725" w:rsidRPr="00735325">
        <w:t xml:space="preserve"> 2015 è stato </w:t>
      </w:r>
      <w:r w:rsidR="004E7DFF" w:rsidRPr="00735325">
        <w:t xml:space="preserve">prima </w:t>
      </w:r>
      <w:r w:rsidRPr="00735325">
        <w:t>approvato</w:t>
      </w:r>
      <w:r w:rsidR="00BE285B" w:rsidRPr="00735325">
        <w:t xml:space="preserve"> dal consiglio, </w:t>
      </w:r>
      <w:r w:rsidR="004E7DFF" w:rsidRPr="00735325">
        <w:t>con deliberazione n. 2</w:t>
      </w:r>
      <w:r w:rsidR="005124A3">
        <w:t>1</w:t>
      </w:r>
      <w:r w:rsidR="004E7DFF" w:rsidRPr="00735325">
        <w:t xml:space="preserve"> del </w:t>
      </w:r>
      <w:r w:rsidR="005124A3">
        <w:t>24.07</w:t>
      </w:r>
      <w:r w:rsidR="004E7DFF" w:rsidRPr="00735325">
        <w:t>.2015.</w:t>
      </w:r>
      <w:r w:rsidR="005124A3">
        <w:t xml:space="preserve"> </w:t>
      </w:r>
      <w:r w:rsidR="00BE285B" w:rsidRPr="00735325">
        <w:t>Il Piano 2015 è stato poi trasmesso alla Sezione di contro</w:t>
      </w:r>
      <w:r w:rsidR="004E7DFF" w:rsidRPr="00735325">
        <w:t>llo della Corte dei conti per l’</w:t>
      </w:r>
      <w:r w:rsidR="00A07D9A" w:rsidRPr="00735325">
        <w:t>Abruzzo.</w:t>
      </w:r>
    </w:p>
    <w:p w:rsidR="00166F41" w:rsidRDefault="00166F41" w:rsidP="00735325">
      <w:pPr>
        <w:keepNext/>
        <w:widowControl w:val="0"/>
        <w:jc w:val="center"/>
        <w:outlineLvl w:val="1"/>
        <w:rPr>
          <w:rFonts w:ascii="Arial" w:hAnsi="Arial" w:cs="Arial"/>
          <w:b/>
          <w:sz w:val="22"/>
          <w:szCs w:val="22"/>
        </w:rPr>
      </w:pPr>
    </w:p>
    <w:p w:rsidR="00550BEE" w:rsidRPr="00735325" w:rsidRDefault="00550BEE" w:rsidP="00735325">
      <w:pPr>
        <w:keepNext/>
        <w:widowControl w:val="0"/>
        <w:jc w:val="center"/>
        <w:outlineLvl w:val="1"/>
        <w:rPr>
          <w:rFonts w:ascii="Arial" w:hAnsi="Arial" w:cs="Arial"/>
          <w:b/>
          <w:sz w:val="22"/>
          <w:szCs w:val="22"/>
        </w:rPr>
      </w:pPr>
      <w:r w:rsidRPr="00735325">
        <w:rPr>
          <w:rFonts w:ascii="Arial" w:hAnsi="Arial" w:cs="Arial"/>
          <w:b/>
          <w:sz w:val="22"/>
          <w:szCs w:val="22"/>
        </w:rPr>
        <w:t>I</w:t>
      </w:r>
      <w:r w:rsidR="007659C0" w:rsidRPr="00735325">
        <w:rPr>
          <w:rFonts w:ascii="Arial" w:hAnsi="Arial" w:cs="Arial"/>
          <w:b/>
          <w:sz w:val="22"/>
          <w:szCs w:val="22"/>
        </w:rPr>
        <w:t>I</w:t>
      </w:r>
      <w:r w:rsidR="00125BFC" w:rsidRPr="00735325">
        <w:rPr>
          <w:rFonts w:ascii="Arial" w:hAnsi="Arial" w:cs="Arial"/>
          <w:b/>
          <w:sz w:val="22"/>
          <w:szCs w:val="22"/>
        </w:rPr>
        <w:t xml:space="preserve"> – Le partecipazioni del comune</w:t>
      </w:r>
    </w:p>
    <w:p w:rsidR="007659C0" w:rsidRPr="00735325" w:rsidRDefault="007659C0" w:rsidP="00D43946">
      <w:pPr>
        <w:keepNext/>
        <w:widowControl w:val="0"/>
        <w:jc w:val="both"/>
        <w:outlineLvl w:val="1"/>
        <w:rPr>
          <w:rFonts w:ascii="Arial" w:hAnsi="Arial" w:cs="Arial"/>
          <w:b/>
          <w:sz w:val="22"/>
          <w:szCs w:val="22"/>
        </w:rPr>
      </w:pPr>
      <w:r w:rsidRPr="00735325">
        <w:rPr>
          <w:rFonts w:ascii="Arial" w:hAnsi="Arial" w:cs="Arial"/>
          <w:b/>
          <w:sz w:val="22"/>
          <w:szCs w:val="22"/>
        </w:rPr>
        <w:t xml:space="preserve">1. Le partecipazioni societarie </w:t>
      </w:r>
    </w:p>
    <w:p w:rsidR="00B562E9" w:rsidRPr="0012660E" w:rsidRDefault="00BC6D38" w:rsidP="00D43946">
      <w:pPr>
        <w:pStyle w:val="Corpodeltesto"/>
        <w:jc w:val="both"/>
      </w:pPr>
      <w:r w:rsidRPr="00735325">
        <w:t>Il comune partecipa al capitale delle seguenti società</w:t>
      </w:r>
      <w:r w:rsidR="00B562E9" w:rsidRPr="0012660E">
        <w:t xml:space="preserve">: </w:t>
      </w:r>
    </w:p>
    <w:p w:rsidR="005124A3" w:rsidRPr="005124A3" w:rsidRDefault="005124A3" w:rsidP="00D43946">
      <w:pPr>
        <w:autoSpaceDE w:val="0"/>
        <w:autoSpaceDN w:val="0"/>
        <w:adjustRightInd w:val="0"/>
        <w:jc w:val="both"/>
        <w:rPr>
          <w:rFonts w:ascii="Arial" w:hAnsi="Arial" w:cs="Arial"/>
          <w:sz w:val="22"/>
          <w:szCs w:val="22"/>
        </w:rPr>
      </w:pPr>
      <w:r>
        <w:rPr>
          <w:rFonts w:ascii="GentiumBasic,Bold" w:hAnsi="GentiumBasic,Bold" w:cs="GentiumBasic,Bold"/>
          <w:b/>
          <w:bCs/>
        </w:rPr>
        <w:t xml:space="preserve">1. Montagne Teramane e Ambiente </w:t>
      </w:r>
      <w:proofErr w:type="spellStart"/>
      <w:r>
        <w:rPr>
          <w:rFonts w:ascii="GentiumBasic,Bold" w:hAnsi="GentiumBasic,Bold" w:cs="GentiumBasic,Bold"/>
          <w:b/>
          <w:bCs/>
        </w:rPr>
        <w:t>S.p.A</w:t>
      </w:r>
      <w:proofErr w:type="spellEnd"/>
      <w:r>
        <w:rPr>
          <w:rFonts w:ascii="GentiumBasic,Bold" w:hAnsi="GentiumBasic,Bold" w:cs="GentiumBasic,Bold"/>
          <w:b/>
          <w:bCs/>
        </w:rPr>
        <w:t xml:space="preserve"> </w:t>
      </w:r>
      <w:r>
        <w:rPr>
          <w:rFonts w:ascii="GentiumBasic" w:hAnsi="GentiumBasic" w:cs="GentiumBasic"/>
        </w:rPr>
        <w:t xml:space="preserve">è partecipata dal Comune con una </w:t>
      </w:r>
      <w:r w:rsidRPr="005124A3">
        <w:rPr>
          <w:rFonts w:ascii="Arial" w:hAnsi="Arial" w:cs="Arial"/>
          <w:sz w:val="22"/>
          <w:szCs w:val="22"/>
        </w:rPr>
        <w:t>quota del 2,50%.</w:t>
      </w:r>
    </w:p>
    <w:p w:rsidR="005124A3" w:rsidRPr="005124A3" w:rsidRDefault="005124A3" w:rsidP="00D43946">
      <w:pPr>
        <w:autoSpaceDE w:val="0"/>
        <w:autoSpaceDN w:val="0"/>
        <w:adjustRightInd w:val="0"/>
        <w:jc w:val="both"/>
        <w:rPr>
          <w:rFonts w:ascii="Arial" w:hAnsi="Arial" w:cs="Arial"/>
          <w:sz w:val="22"/>
          <w:szCs w:val="22"/>
        </w:rPr>
      </w:pPr>
      <w:r w:rsidRPr="005124A3">
        <w:rPr>
          <w:rFonts w:ascii="Arial" w:hAnsi="Arial" w:cs="Arial"/>
          <w:sz w:val="22"/>
          <w:szCs w:val="22"/>
        </w:rPr>
        <w:t>La Società è stata costituita il 28 febbraio 2007.</w:t>
      </w:r>
    </w:p>
    <w:p w:rsidR="005124A3" w:rsidRPr="005124A3" w:rsidRDefault="005124A3" w:rsidP="00D43946">
      <w:pPr>
        <w:autoSpaceDE w:val="0"/>
        <w:autoSpaceDN w:val="0"/>
        <w:adjustRightInd w:val="0"/>
        <w:jc w:val="both"/>
        <w:rPr>
          <w:rFonts w:ascii="Arial" w:hAnsi="Arial" w:cs="Arial"/>
          <w:sz w:val="22"/>
          <w:szCs w:val="22"/>
        </w:rPr>
      </w:pPr>
      <w:r w:rsidRPr="005124A3">
        <w:rPr>
          <w:rFonts w:ascii="Arial" w:hAnsi="Arial" w:cs="Arial"/>
          <w:sz w:val="22"/>
          <w:szCs w:val="22"/>
        </w:rPr>
        <w:t xml:space="preserve">La società garantisce i servizi pubblici locali di igiene urbana ad essa affidati dai </w:t>
      </w:r>
      <w:r w:rsidR="00717E6E">
        <w:rPr>
          <w:rFonts w:ascii="Arial" w:hAnsi="Arial" w:cs="Arial"/>
          <w:sz w:val="22"/>
          <w:szCs w:val="22"/>
        </w:rPr>
        <w:t>C</w:t>
      </w:r>
      <w:r w:rsidRPr="005124A3">
        <w:rPr>
          <w:rFonts w:ascii="Arial" w:hAnsi="Arial" w:cs="Arial"/>
          <w:sz w:val="22"/>
          <w:szCs w:val="22"/>
        </w:rPr>
        <w:t>omuni, nonché la progettazione e costruzione delle opere connesse, per quanto di propria competenza</w:t>
      </w:r>
      <w:r w:rsidR="00D43946">
        <w:rPr>
          <w:rFonts w:ascii="Arial" w:hAnsi="Arial" w:cs="Arial"/>
          <w:sz w:val="22"/>
          <w:szCs w:val="22"/>
        </w:rPr>
        <w:t>:</w:t>
      </w:r>
    </w:p>
    <w:p w:rsidR="005124A3" w:rsidRPr="005124A3" w:rsidRDefault="00717E6E" w:rsidP="00D43946">
      <w:pPr>
        <w:autoSpaceDE w:val="0"/>
        <w:autoSpaceDN w:val="0"/>
        <w:adjustRightInd w:val="0"/>
        <w:jc w:val="both"/>
        <w:rPr>
          <w:rFonts w:ascii="Arial" w:hAnsi="Arial" w:cs="Arial"/>
          <w:sz w:val="22"/>
          <w:szCs w:val="22"/>
        </w:rPr>
      </w:pPr>
      <w:r>
        <w:rPr>
          <w:rFonts w:ascii="Arial" w:hAnsi="Arial" w:cs="Arial"/>
          <w:sz w:val="22"/>
          <w:szCs w:val="22"/>
        </w:rPr>
        <w:t>a</w:t>
      </w:r>
      <w:r w:rsidR="005124A3" w:rsidRPr="005124A3">
        <w:rPr>
          <w:rFonts w:ascii="Arial" w:hAnsi="Arial" w:cs="Arial"/>
          <w:sz w:val="22"/>
          <w:szCs w:val="22"/>
        </w:rPr>
        <w:t>) gestire i servizi d’igiene dei Comuni soci, con assunzione diretta degli stessi in forme convenzionate e dei Comuni dell’</w:t>
      </w:r>
      <w:proofErr w:type="spellStart"/>
      <w:r w:rsidR="005124A3" w:rsidRPr="005124A3">
        <w:rPr>
          <w:rFonts w:ascii="Arial" w:hAnsi="Arial" w:cs="Arial"/>
          <w:sz w:val="22"/>
          <w:szCs w:val="22"/>
        </w:rPr>
        <w:t>A.T.O.</w:t>
      </w:r>
      <w:proofErr w:type="spellEnd"/>
      <w:r w:rsidR="005124A3" w:rsidRPr="005124A3">
        <w:rPr>
          <w:rFonts w:ascii="Arial" w:hAnsi="Arial" w:cs="Arial"/>
          <w:sz w:val="22"/>
          <w:szCs w:val="22"/>
        </w:rPr>
        <w:t xml:space="preserve"> Provinciale, così come previsto dal piano Regionale dei rifiuti di enti e ditte private attraverso Convenzioni d’ambito o di altre forme di legge;</w:t>
      </w:r>
    </w:p>
    <w:p w:rsidR="005124A3" w:rsidRPr="005124A3" w:rsidRDefault="00717E6E" w:rsidP="00D43946">
      <w:pPr>
        <w:autoSpaceDE w:val="0"/>
        <w:autoSpaceDN w:val="0"/>
        <w:adjustRightInd w:val="0"/>
        <w:jc w:val="both"/>
        <w:rPr>
          <w:rFonts w:ascii="Arial" w:hAnsi="Arial" w:cs="Arial"/>
          <w:sz w:val="22"/>
          <w:szCs w:val="22"/>
        </w:rPr>
      </w:pPr>
      <w:r>
        <w:rPr>
          <w:rFonts w:ascii="Arial" w:hAnsi="Arial" w:cs="Arial"/>
          <w:sz w:val="22"/>
          <w:szCs w:val="22"/>
        </w:rPr>
        <w:t>b</w:t>
      </w:r>
      <w:r w:rsidR="005124A3" w:rsidRPr="005124A3">
        <w:rPr>
          <w:rFonts w:ascii="Arial" w:hAnsi="Arial" w:cs="Arial"/>
          <w:sz w:val="22"/>
          <w:szCs w:val="22"/>
        </w:rPr>
        <w:t>) la raccolta e trasporto dei rifiuti solidi urbani e assimilati;</w:t>
      </w:r>
    </w:p>
    <w:p w:rsidR="005124A3" w:rsidRDefault="00717E6E" w:rsidP="00D43946">
      <w:pPr>
        <w:autoSpaceDE w:val="0"/>
        <w:autoSpaceDN w:val="0"/>
        <w:adjustRightInd w:val="0"/>
        <w:jc w:val="both"/>
        <w:rPr>
          <w:rFonts w:ascii="GentiumBasic" w:hAnsi="GentiumBasic" w:cs="GentiumBasic"/>
        </w:rPr>
      </w:pPr>
      <w:r>
        <w:rPr>
          <w:rFonts w:ascii="GentiumBasic" w:hAnsi="GentiumBasic" w:cs="GentiumBasic"/>
        </w:rPr>
        <w:t>c</w:t>
      </w:r>
      <w:r w:rsidR="005124A3">
        <w:rPr>
          <w:rFonts w:ascii="GentiumBasic" w:hAnsi="GentiumBasic" w:cs="GentiumBasic"/>
        </w:rPr>
        <w:t>) realizzare iniziative, progetti e investimenti connessi all’uso corretto dei fitofarmaci in</w:t>
      </w:r>
      <w:r w:rsidR="00D43946">
        <w:rPr>
          <w:rFonts w:ascii="GentiumBasic" w:hAnsi="GentiumBasic" w:cs="GentiumBasic"/>
        </w:rPr>
        <w:t xml:space="preserve"> </w:t>
      </w:r>
      <w:r w:rsidR="005124A3">
        <w:rPr>
          <w:rFonts w:ascii="GentiumBasic" w:hAnsi="GentiumBasic" w:cs="GentiumBasic"/>
        </w:rPr>
        <w:t>agricoltura, nonché la realizzazione d’interventi programmatori in materia d’agricoltura</w:t>
      </w:r>
      <w:r w:rsidR="00D43946">
        <w:rPr>
          <w:rFonts w:ascii="GentiumBasic" w:hAnsi="GentiumBasic" w:cs="GentiumBasic"/>
        </w:rPr>
        <w:t xml:space="preserve"> </w:t>
      </w:r>
      <w:r w:rsidR="005124A3">
        <w:rPr>
          <w:rFonts w:ascii="GentiumBasic" w:hAnsi="GentiumBasic" w:cs="GentiumBasic"/>
        </w:rPr>
        <w:t>biologica comprese le attività vivaistiche e di forestazione secondo il progetto generale di</w:t>
      </w:r>
      <w:r w:rsidR="00D43946">
        <w:rPr>
          <w:rFonts w:ascii="GentiumBasic" w:hAnsi="GentiumBasic" w:cs="GentiumBasic"/>
        </w:rPr>
        <w:t xml:space="preserve"> </w:t>
      </w:r>
      <w:r w:rsidR="005124A3">
        <w:rPr>
          <w:rFonts w:ascii="GentiumBasic" w:hAnsi="GentiumBasic" w:cs="GentiumBasic"/>
        </w:rPr>
        <w:t xml:space="preserve">sperimentazione del </w:t>
      </w:r>
      <w:proofErr w:type="spellStart"/>
      <w:r w:rsidR="005124A3">
        <w:rPr>
          <w:rFonts w:ascii="GentiumBasic" w:hAnsi="GentiumBasic" w:cs="GentiumBasic"/>
        </w:rPr>
        <w:t>compost</w:t>
      </w:r>
      <w:proofErr w:type="spellEnd"/>
      <w:r w:rsidR="005124A3">
        <w:rPr>
          <w:rFonts w:ascii="GentiumBasic" w:hAnsi="GentiumBasic" w:cs="GentiumBasic"/>
        </w:rPr>
        <w:t>;</w:t>
      </w:r>
    </w:p>
    <w:p w:rsidR="005124A3" w:rsidRDefault="00717E6E" w:rsidP="00D43946">
      <w:pPr>
        <w:autoSpaceDE w:val="0"/>
        <w:autoSpaceDN w:val="0"/>
        <w:adjustRightInd w:val="0"/>
        <w:jc w:val="both"/>
        <w:rPr>
          <w:rFonts w:ascii="GentiumBasic" w:hAnsi="GentiumBasic" w:cs="GentiumBasic"/>
        </w:rPr>
      </w:pPr>
      <w:r>
        <w:rPr>
          <w:rFonts w:ascii="GentiumBasic" w:hAnsi="GentiumBasic" w:cs="GentiumBasic"/>
        </w:rPr>
        <w:lastRenderedPageBreak/>
        <w:t>d</w:t>
      </w:r>
      <w:r w:rsidR="005124A3">
        <w:rPr>
          <w:rFonts w:ascii="GentiumBasic" w:hAnsi="GentiumBasic" w:cs="GentiumBasic"/>
        </w:rPr>
        <w:t>) realizzare studi, progetti, investimenti in relazione all’organizzazione dei servizi di raccolta e</w:t>
      </w:r>
      <w:r w:rsidR="00D43946">
        <w:rPr>
          <w:rFonts w:ascii="GentiumBasic" w:hAnsi="GentiumBasic" w:cs="GentiumBasic"/>
        </w:rPr>
        <w:t xml:space="preserve"> </w:t>
      </w:r>
      <w:r w:rsidR="005124A3">
        <w:rPr>
          <w:rFonts w:ascii="GentiumBasic" w:hAnsi="GentiumBasic" w:cs="GentiumBasic"/>
        </w:rPr>
        <w:t>riciclaggio di rifiuti speciali, pericolosi, tossici, nocivi, sanitari plastica e suoi derivati, carte,</w:t>
      </w:r>
    </w:p>
    <w:p w:rsidR="005124A3" w:rsidRDefault="005124A3" w:rsidP="00D43946">
      <w:pPr>
        <w:autoSpaceDE w:val="0"/>
        <w:autoSpaceDN w:val="0"/>
        <w:adjustRightInd w:val="0"/>
        <w:jc w:val="both"/>
        <w:rPr>
          <w:rFonts w:ascii="GentiumBasic" w:hAnsi="GentiumBasic" w:cs="GentiumBasic"/>
        </w:rPr>
      </w:pPr>
      <w:r>
        <w:rPr>
          <w:rFonts w:ascii="GentiumBasic" w:hAnsi="GentiumBasic" w:cs="GentiumBasic"/>
        </w:rPr>
        <w:t xml:space="preserve">vetro e alluminio, </w:t>
      </w:r>
      <w:proofErr w:type="spellStart"/>
      <w:r>
        <w:rPr>
          <w:rFonts w:ascii="GentiumBasic" w:hAnsi="GentiumBasic" w:cs="GentiumBasic"/>
        </w:rPr>
        <w:t>olii</w:t>
      </w:r>
      <w:proofErr w:type="spellEnd"/>
      <w:r>
        <w:rPr>
          <w:rFonts w:ascii="GentiumBasic" w:hAnsi="GentiumBasic" w:cs="GentiumBasic"/>
        </w:rPr>
        <w:t xml:space="preserve"> minerali e vegetali;</w:t>
      </w:r>
    </w:p>
    <w:p w:rsidR="005124A3" w:rsidRDefault="00717E6E" w:rsidP="00D43946">
      <w:pPr>
        <w:autoSpaceDE w:val="0"/>
        <w:autoSpaceDN w:val="0"/>
        <w:adjustRightInd w:val="0"/>
        <w:jc w:val="both"/>
        <w:rPr>
          <w:rFonts w:ascii="GentiumBasic" w:hAnsi="GentiumBasic" w:cs="GentiumBasic"/>
        </w:rPr>
      </w:pPr>
      <w:r>
        <w:rPr>
          <w:rFonts w:ascii="GentiumBasic" w:hAnsi="GentiumBasic" w:cs="GentiumBasic"/>
        </w:rPr>
        <w:t>e</w:t>
      </w:r>
      <w:r w:rsidR="005124A3">
        <w:rPr>
          <w:rFonts w:ascii="GentiumBasic" w:hAnsi="GentiumBasic" w:cs="GentiumBasic"/>
        </w:rPr>
        <w:t>) attuare ogni iniziativa di competenza del D.L.9 settembre 1988, n.397, concernente</w:t>
      </w:r>
      <w:r w:rsidR="00D43946">
        <w:rPr>
          <w:rFonts w:ascii="GentiumBasic" w:hAnsi="GentiumBasic" w:cs="GentiumBasic"/>
        </w:rPr>
        <w:t xml:space="preserve"> </w:t>
      </w:r>
      <w:r w:rsidR="005124A3">
        <w:rPr>
          <w:rFonts w:ascii="GentiumBasic" w:hAnsi="GentiumBasic" w:cs="GentiumBasic"/>
        </w:rPr>
        <w:t>disposizioni vigenti in materia di smaltimento dei rifiuti industriali;</w:t>
      </w:r>
    </w:p>
    <w:p w:rsidR="005124A3" w:rsidRDefault="00717E6E" w:rsidP="00D43946">
      <w:pPr>
        <w:autoSpaceDE w:val="0"/>
        <w:autoSpaceDN w:val="0"/>
        <w:adjustRightInd w:val="0"/>
        <w:jc w:val="both"/>
        <w:rPr>
          <w:rFonts w:ascii="GentiumBasic" w:hAnsi="GentiumBasic" w:cs="GentiumBasic"/>
        </w:rPr>
      </w:pPr>
      <w:r>
        <w:rPr>
          <w:rFonts w:ascii="GentiumBasic" w:hAnsi="GentiumBasic" w:cs="GentiumBasic"/>
        </w:rPr>
        <w:t>f</w:t>
      </w:r>
      <w:r w:rsidR="005124A3">
        <w:rPr>
          <w:rFonts w:ascii="GentiumBasic" w:hAnsi="GentiumBasic" w:cs="GentiumBasic"/>
        </w:rPr>
        <w:t xml:space="preserve">) realizzare studi, progetti e iniziative, anche tramite soggetti privati, per il </w:t>
      </w:r>
      <w:r w:rsidR="00D43946">
        <w:rPr>
          <w:rFonts w:ascii="GentiumBasic" w:hAnsi="GentiumBasic" w:cs="GentiumBasic"/>
        </w:rPr>
        <w:t>r</w:t>
      </w:r>
      <w:r w:rsidR="005124A3">
        <w:rPr>
          <w:rFonts w:ascii="GentiumBasic" w:hAnsi="GentiumBasic" w:cs="GentiumBasic"/>
        </w:rPr>
        <w:t>ecupero</w:t>
      </w:r>
      <w:r>
        <w:rPr>
          <w:rFonts w:ascii="GentiumBasic" w:hAnsi="GentiumBasic" w:cs="GentiumBasic"/>
        </w:rPr>
        <w:t xml:space="preserve"> </w:t>
      </w:r>
      <w:r w:rsidR="005124A3">
        <w:rPr>
          <w:rFonts w:ascii="GentiumBasic" w:hAnsi="GentiumBasic" w:cs="GentiumBasic"/>
        </w:rPr>
        <w:t>energetico dei rifiuti solidi urbani, finalizzato alla produzione di energia pulita,razionalizzazione e diminuzione dei consumi energetici, risanamento diti e bonifica discariche.</w:t>
      </w:r>
    </w:p>
    <w:p w:rsidR="00717E6E" w:rsidRPr="00735325" w:rsidRDefault="00717E6E" w:rsidP="00D43946">
      <w:pPr>
        <w:pStyle w:val="Corpodeltesto"/>
        <w:jc w:val="both"/>
      </w:pPr>
      <w:r w:rsidRPr="00735325">
        <w:t xml:space="preserve">La società è guidata da un amministratore unico. </w:t>
      </w:r>
    </w:p>
    <w:p w:rsidR="00717E6E" w:rsidRPr="00735325" w:rsidRDefault="00717E6E" w:rsidP="00D43946">
      <w:pPr>
        <w:pStyle w:val="Corpodeltesto"/>
        <w:jc w:val="both"/>
        <w:rPr>
          <w:u w:val="single"/>
        </w:rPr>
      </w:pPr>
      <w:r w:rsidRPr="00735325">
        <w:t>E’ stata costituita</w:t>
      </w:r>
      <w:r>
        <w:t>, da 21 comuni della provincia teramana,</w:t>
      </w:r>
      <w:r w:rsidRPr="00735325">
        <w:t xml:space="preserve"> allo scopo di gestire “</w:t>
      </w:r>
      <w:r w:rsidRPr="00735325">
        <w:rPr>
          <w:i/>
        </w:rPr>
        <w:t>in house</w:t>
      </w:r>
      <w:r w:rsidRPr="00735325">
        <w:t xml:space="preserve">” il </w:t>
      </w:r>
      <w:r w:rsidRPr="00735325">
        <w:rPr>
          <w:u w:val="single"/>
        </w:rPr>
        <w:t xml:space="preserve">servizio pubblico di raccolta e smaltimento dei rifiuti solidi urbani. </w:t>
      </w:r>
    </w:p>
    <w:p w:rsidR="00717E6E" w:rsidRPr="00735325" w:rsidRDefault="00717E6E" w:rsidP="00D43946">
      <w:pPr>
        <w:pStyle w:val="Corpodeltesto"/>
        <w:jc w:val="both"/>
      </w:pPr>
      <w:r w:rsidRPr="00735325">
        <w:t xml:space="preserve">Tale </w:t>
      </w:r>
      <w:r>
        <w:t xml:space="preserve">servizio </w:t>
      </w:r>
      <w:r w:rsidRPr="00735325">
        <w:t xml:space="preserve">rientra a pieno titolo nelle attività di produzione di beni e servizi “strettamente necessarie” per perseguire le finalità istituzionali del comune a norma dell’articolo 4 comma 1 del TU. Inoltre, è bene sottolineare che il comma 2 lettera a) dello stesso articolo 4 del TU annovera la produzione “un servizio di interesse generale” tra le attività che consentono il mantenimento delle partecipazioni societarie. </w:t>
      </w:r>
    </w:p>
    <w:p w:rsidR="00717E6E" w:rsidRPr="00735325" w:rsidRDefault="00717E6E" w:rsidP="00D43946">
      <w:pPr>
        <w:pStyle w:val="Corpodeltesto"/>
        <w:jc w:val="both"/>
      </w:pPr>
      <w:r w:rsidRPr="00735325">
        <w:t xml:space="preserve">La società, quindi: </w:t>
      </w:r>
    </w:p>
    <w:p w:rsidR="00717E6E" w:rsidRPr="00735325" w:rsidRDefault="00717E6E" w:rsidP="00D43946">
      <w:pPr>
        <w:pStyle w:val="Corpodeltesto"/>
        <w:jc w:val="both"/>
      </w:pPr>
      <w:r w:rsidRPr="00735325">
        <w:t xml:space="preserve">è munita dei requisiti previsti dall’articolo 4 del decreto legislativo 175/2016, sia del comma 1, in quanto svolge servizi inerenti ai fini istituzionali del comune, sia del comma 2 in quanto produce “servizi di interesse generale” (lettera a); </w:t>
      </w:r>
    </w:p>
    <w:p w:rsidR="00717E6E" w:rsidRPr="00EF3B99" w:rsidRDefault="00717E6E" w:rsidP="00D43946">
      <w:pPr>
        <w:pStyle w:val="Corpodeltesto"/>
        <w:jc w:val="both"/>
      </w:pPr>
      <w:r w:rsidRPr="00EF3B99">
        <w:t xml:space="preserve">Risponde ai criteri dell’articolo 20 del testo unico in materia di società in quanto: </w:t>
      </w:r>
    </w:p>
    <w:p w:rsidR="00717E6E" w:rsidRPr="00EF3B99" w:rsidRDefault="00717E6E" w:rsidP="00D43946">
      <w:pPr>
        <w:pStyle w:val="Corpodeltesto"/>
        <w:jc w:val="both"/>
      </w:pPr>
      <w:r w:rsidRPr="00EF3B99">
        <w:t xml:space="preserve">ha un numero di dipendenti ben superiore al numero degli amministratori (lettera b) – 15/1; </w:t>
      </w:r>
    </w:p>
    <w:p w:rsidR="00717E6E" w:rsidRPr="00EF3B99" w:rsidRDefault="00717E6E" w:rsidP="00D43946">
      <w:pPr>
        <w:pStyle w:val="Corpodeltesto"/>
        <w:jc w:val="both"/>
      </w:pPr>
      <w:r w:rsidRPr="00EF3B99">
        <w:rPr>
          <w:b/>
        </w:rPr>
        <w:t xml:space="preserve">vanta </w:t>
      </w:r>
      <w:r w:rsidRPr="00EF3B99">
        <w:t xml:space="preserve">un fatturato medio, per l’ultimo triennio, ben superiore a 500.000 euro : </w:t>
      </w:r>
    </w:p>
    <w:p w:rsidR="00717E6E" w:rsidRPr="00EF3B99" w:rsidRDefault="00717E6E" w:rsidP="00D43946">
      <w:pPr>
        <w:pStyle w:val="Corpodeltesto"/>
        <w:jc w:val="both"/>
      </w:pPr>
    </w:p>
    <w:tbl>
      <w:tblPr>
        <w:tblStyle w:val="Grigliatabella"/>
        <w:tblW w:w="0" w:type="auto"/>
        <w:jc w:val="center"/>
        <w:tblLook w:val="04A0"/>
      </w:tblPr>
      <w:tblGrid>
        <w:gridCol w:w="1304"/>
        <w:gridCol w:w="1501"/>
        <w:gridCol w:w="1501"/>
        <w:gridCol w:w="1501"/>
      </w:tblGrid>
      <w:tr w:rsidR="00717E6E" w:rsidRPr="00EF3B99" w:rsidTr="00F63290">
        <w:trPr>
          <w:jc w:val="center"/>
        </w:trPr>
        <w:tc>
          <w:tcPr>
            <w:tcW w:w="1304" w:type="dxa"/>
            <w:vAlign w:val="center"/>
          </w:tcPr>
          <w:p w:rsidR="00717E6E" w:rsidRPr="00EF3B99" w:rsidRDefault="00717E6E" w:rsidP="00D43946">
            <w:pPr>
              <w:pStyle w:val="Corpodeltesto"/>
              <w:jc w:val="both"/>
            </w:pPr>
          </w:p>
        </w:tc>
        <w:tc>
          <w:tcPr>
            <w:tcW w:w="1262" w:type="dxa"/>
            <w:vAlign w:val="center"/>
          </w:tcPr>
          <w:p w:rsidR="00717E6E" w:rsidRPr="00EF3B99" w:rsidRDefault="00717E6E" w:rsidP="00D43946">
            <w:pPr>
              <w:pStyle w:val="Corpodeltesto"/>
              <w:jc w:val="both"/>
              <w:rPr>
                <w:b/>
              </w:rPr>
            </w:pPr>
            <w:r w:rsidRPr="00EF3B99">
              <w:rPr>
                <w:b/>
              </w:rPr>
              <w:t>2015</w:t>
            </w:r>
          </w:p>
        </w:tc>
        <w:tc>
          <w:tcPr>
            <w:tcW w:w="1262" w:type="dxa"/>
            <w:vAlign w:val="center"/>
          </w:tcPr>
          <w:p w:rsidR="00717E6E" w:rsidRPr="00EF3B99" w:rsidRDefault="00717E6E" w:rsidP="00D43946">
            <w:pPr>
              <w:pStyle w:val="Corpodeltesto"/>
              <w:jc w:val="both"/>
              <w:rPr>
                <w:b/>
              </w:rPr>
            </w:pPr>
            <w:r w:rsidRPr="00EF3B99">
              <w:rPr>
                <w:b/>
              </w:rPr>
              <w:t>2014</w:t>
            </w:r>
          </w:p>
        </w:tc>
        <w:tc>
          <w:tcPr>
            <w:tcW w:w="1255" w:type="dxa"/>
            <w:vAlign w:val="center"/>
          </w:tcPr>
          <w:p w:rsidR="00717E6E" w:rsidRPr="00EF3B99" w:rsidRDefault="00717E6E" w:rsidP="00D43946">
            <w:pPr>
              <w:pStyle w:val="Corpodeltesto"/>
              <w:jc w:val="both"/>
              <w:rPr>
                <w:b/>
              </w:rPr>
            </w:pPr>
            <w:r w:rsidRPr="00EF3B99">
              <w:rPr>
                <w:b/>
              </w:rPr>
              <w:t>2013</w:t>
            </w:r>
          </w:p>
        </w:tc>
      </w:tr>
      <w:tr w:rsidR="00717E6E" w:rsidRPr="00EF3B99" w:rsidTr="00F63290">
        <w:trPr>
          <w:trHeight w:val="740"/>
          <w:jc w:val="center"/>
        </w:trPr>
        <w:tc>
          <w:tcPr>
            <w:tcW w:w="1304" w:type="dxa"/>
            <w:vAlign w:val="center"/>
          </w:tcPr>
          <w:p w:rsidR="00717E6E" w:rsidRPr="00EF3B99" w:rsidRDefault="00717E6E" w:rsidP="00D43946">
            <w:pPr>
              <w:pStyle w:val="Corpodeltesto"/>
              <w:jc w:val="both"/>
            </w:pPr>
            <w:r w:rsidRPr="00EF3B99">
              <w:t>Ricavi delle vendite e delle prestazioni</w:t>
            </w:r>
          </w:p>
        </w:tc>
        <w:tc>
          <w:tcPr>
            <w:tcW w:w="1262" w:type="dxa"/>
            <w:vAlign w:val="center"/>
          </w:tcPr>
          <w:p w:rsidR="00717E6E" w:rsidRPr="00EF3B99" w:rsidRDefault="00717E6E" w:rsidP="00D43946">
            <w:pPr>
              <w:pStyle w:val="Corpodeltesto"/>
              <w:jc w:val="both"/>
            </w:pPr>
            <w:r w:rsidRPr="00EF3B99">
              <w:t>1.415.711,00</w:t>
            </w:r>
          </w:p>
        </w:tc>
        <w:tc>
          <w:tcPr>
            <w:tcW w:w="1262" w:type="dxa"/>
            <w:vAlign w:val="center"/>
          </w:tcPr>
          <w:p w:rsidR="00717E6E" w:rsidRPr="00EF3B99" w:rsidRDefault="00717E6E" w:rsidP="00D43946">
            <w:pPr>
              <w:pStyle w:val="Corpodeltesto"/>
              <w:jc w:val="both"/>
            </w:pPr>
            <w:r w:rsidRPr="00EF3B99">
              <w:t>1.423.591,00</w:t>
            </w:r>
          </w:p>
        </w:tc>
        <w:tc>
          <w:tcPr>
            <w:tcW w:w="1255" w:type="dxa"/>
            <w:vAlign w:val="center"/>
          </w:tcPr>
          <w:p w:rsidR="00717E6E" w:rsidRPr="00EF3B99" w:rsidRDefault="00717E6E" w:rsidP="00D43946">
            <w:pPr>
              <w:pStyle w:val="Corpodeltesto"/>
              <w:jc w:val="both"/>
            </w:pPr>
            <w:r w:rsidRPr="00EF3B99">
              <w:t>2.013.801,00</w:t>
            </w:r>
          </w:p>
        </w:tc>
      </w:tr>
    </w:tbl>
    <w:p w:rsidR="00717E6E" w:rsidRPr="00EF3B99" w:rsidRDefault="00717E6E" w:rsidP="00D43946">
      <w:pPr>
        <w:pStyle w:val="Corpodeltesto"/>
        <w:jc w:val="both"/>
      </w:pPr>
    </w:p>
    <w:p w:rsidR="00717E6E" w:rsidRPr="00EF3B99" w:rsidRDefault="00717E6E" w:rsidP="00D43946">
      <w:pPr>
        <w:pStyle w:val="Corpodeltesto"/>
        <w:jc w:val="both"/>
      </w:pPr>
      <w:r w:rsidRPr="00EF3B99">
        <w:t xml:space="preserve">Il comune, come già precisato, è proprietario dello </w:t>
      </w:r>
      <w:r>
        <w:t>2.50</w:t>
      </w:r>
      <w:r w:rsidRPr="00EF3B99">
        <w:t xml:space="preserve">% del capitale sociale. Pertanto non potrebbe decidere autonomamente la liquidazione della partecipata. Potrebbe, al più, optare per la cessione della propria quota. </w:t>
      </w:r>
    </w:p>
    <w:p w:rsidR="00717E6E" w:rsidRPr="00EF3B99" w:rsidRDefault="00717E6E" w:rsidP="00D43946">
      <w:pPr>
        <w:pStyle w:val="Corpodeltesto"/>
        <w:jc w:val="both"/>
      </w:pPr>
      <w:r w:rsidRPr="00EF3B99">
        <w:t xml:space="preserve">E’ intenzione dell’amministrazione mantenere la partecipazione, seppur minoritaria, per continuare ad usufruire dei servizi strumentali offerti dalla società in attesa della completa attuazione della normativa regionale in materia di servizio integrato dei Rifiuti, avviata con l'approvazione della </w:t>
      </w:r>
      <w:proofErr w:type="spellStart"/>
      <w:r w:rsidRPr="00EF3B99">
        <w:t>L.R.</w:t>
      </w:r>
      <w:proofErr w:type="spellEnd"/>
      <w:r w:rsidRPr="00EF3B99">
        <w:t xml:space="preserve"> 21.10.2013, n. 36 (BURA n. 40 Ordinario del 06.11.2013) e con l'istituzione di un'unica "Autorità per la gestione integrata dei rifiuti urbani", denominata: AGIR.</w:t>
      </w:r>
    </w:p>
    <w:p w:rsidR="00717E6E" w:rsidRPr="00735325" w:rsidRDefault="00717E6E" w:rsidP="00D43946">
      <w:pPr>
        <w:pStyle w:val="Corpodeltesto"/>
        <w:jc w:val="both"/>
        <w:rPr>
          <w:color w:val="FF0000"/>
        </w:rPr>
      </w:pPr>
    </w:p>
    <w:p w:rsidR="005124A3" w:rsidRDefault="005124A3" w:rsidP="00D43946">
      <w:pPr>
        <w:autoSpaceDE w:val="0"/>
        <w:autoSpaceDN w:val="0"/>
        <w:adjustRightInd w:val="0"/>
        <w:jc w:val="both"/>
        <w:rPr>
          <w:rFonts w:ascii="GentiumBasic,Bold" w:hAnsi="GentiumBasic,Bold" w:cs="GentiumBasic,Bold"/>
          <w:b/>
          <w:bCs/>
        </w:rPr>
      </w:pPr>
      <w:r>
        <w:rPr>
          <w:rFonts w:ascii="GentiumBasic,Bold" w:hAnsi="GentiumBasic,Bold" w:cs="GentiumBasic,Bold"/>
          <w:b/>
          <w:bCs/>
        </w:rPr>
        <w:t>2. Ruzzo Reti S.p.A.</w:t>
      </w:r>
    </w:p>
    <w:p w:rsidR="005124A3" w:rsidRDefault="005124A3" w:rsidP="005124A3">
      <w:pPr>
        <w:autoSpaceDE w:val="0"/>
        <w:autoSpaceDN w:val="0"/>
        <w:adjustRightInd w:val="0"/>
        <w:rPr>
          <w:rFonts w:ascii="GentiumBasic" w:hAnsi="GentiumBasic" w:cs="GentiumBasic"/>
        </w:rPr>
      </w:pPr>
      <w:r>
        <w:rPr>
          <w:rFonts w:ascii="GentiumBasic" w:hAnsi="GentiumBasic" w:cs="GentiumBasic"/>
        </w:rPr>
        <w:t xml:space="preserve">La società Ruzzo Reti S.p.A. è di proprietà del comune di </w:t>
      </w:r>
      <w:proofErr w:type="spellStart"/>
      <w:r>
        <w:rPr>
          <w:rFonts w:ascii="GentiumBasic" w:hAnsi="GentiumBasic" w:cs="GentiumBasic"/>
        </w:rPr>
        <w:t>Torricella</w:t>
      </w:r>
      <w:proofErr w:type="spellEnd"/>
      <w:r>
        <w:rPr>
          <w:rFonts w:ascii="GentiumBasic" w:hAnsi="GentiumBasic" w:cs="GentiumBasic"/>
        </w:rPr>
        <w:t xml:space="preserve"> Sicura al</w:t>
      </w:r>
      <w:r w:rsidR="00630F0D">
        <w:rPr>
          <w:rFonts w:ascii="GentiumBasic" w:hAnsi="GentiumBasic" w:cs="GentiumBasic"/>
        </w:rPr>
        <w:t xml:space="preserve"> 2</w:t>
      </w:r>
      <w:r>
        <w:rPr>
          <w:rFonts w:ascii="GentiumBasic" w:hAnsi="GentiumBasic" w:cs="GentiumBasic"/>
        </w:rPr>
        <w:t>,27%.</w:t>
      </w:r>
    </w:p>
    <w:p w:rsidR="005124A3" w:rsidRDefault="005124A3" w:rsidP="005124A3">
      <w:pPr>
        <w:autoSpaceDE w:val="0"/>
        <w:autoSpaceDN w:val="0"/>
        <w:adjustRightInd w:val="0"/>
        <w:rPr>
          <w:rFonts w:ascii="GentiumBasic" w:hAnsi="GentiumBasic" w:cs="GentiumBasic"/>
        </w:rPr>
      </w:pPr>
      <w:r>
        <w:rPr>
          <w:rFonts w:ascii="GentiumBasic" w:hAnsi="GentiumBasic" w:cs="GentiumBasic"/>
        </w:rPr>
        <w:t>La Società è stata costituita il 16/06/2003.</w:t>
      </w:r>
    </w:p>
    <w:p w:rsidR="005124A3" w:rsidRDefault="005124A3" w:rsidP="00D43946">
      <w:pPr>
        <w:autoSpaceDE w:val="0"/>
        <w:autoSpaceDN w:val="0"/>
        <w:adjustRightInd w:val="0"/>
        <w:jc w:val="both"/>
        <w:rPr>
          <w:rFonts w:ascii="GentiumBasic" w:hAnsi="GentiumBasic" w:cs="GentiumBasic"/>
        </w:rPr>
      </w:pPr>
      <w:r>
        <w:rPr>
          <w:rFonts w:ascii="GentiumBasic" w:hAnsi="GentiumBasic" w:cs="GentiumBasic"/>
        </w:rPr>
        <w:t>La società ha per oggetto prevalente la gestione del servizio idrico integrato, formato</w:t>
      </w:r>
      <w:r w:rsidR="00D43946">
        <w:rPr>
          <w:rFonts w:ascii="GentiumBasic" w:hAnsi="GentiumBasic" w:cs="GentiumBasic"/>
        </w:rPr>
        <w:t xml:space="preserve"> </w:t>
      </w:r>
      <w:r>
        <w:rPr>
          <w:rFonts w:ascii="GentiumBasic" w:hAnsi="GentiumBasic" w:cs="GentiumBasic"/>
        </w:rPr>
        <w:t>dall’insieme dei servizi pubblici di captazione, adduzione, accumulo e distribuzione di acqua ad</w:t>
      </w:r>
      <w:r w:rsidR="00D43946">
        <w:rPr>
          <w:rFonts w:ascii="GentiumBasic" w:hAnsi="GentiumBasic" w:cs="GentiumBasic"/>
        </w:rPr>
        <w:t xml:space="preserve"> </w:t>
      </w:r>
      <w:r>
        <w:rPr>
          <w:rFonts w:ascii="GentiumBasic" w:hAnsi="GentiumBasic" w:cs="GentiumBasic"/>
        </w:rPr>
        <w:t>uso civili e industriali, di fognatura e di depurazione delle acque reflue, nonché</w:t>
      </w:r>
      <w:r w:rsidR="00D43946">
        <w:rPr>
          <w:rFonts w:ascii="GentiumBasic" w:hAnsi="GentiumBasic" w:cs="GentiumBasic"/>
        </w:rPr>
        <w:t xml:space="preserve"> </w:t>
      </w:r>
      <w:r>
        <w:rPr>
          <w:rFonts w:ascii="GentiumBasic" w:hAnsi="GentiumBasic" w:cs="GentiumBasic"/>
        </w:rPr>
        <w:t xml:space="preserve">l’amministrazione e gestione integrata delle reti, </w:t>
      </w:r>
      <w:r>
        <w:rPr>
          <w:rFonts w:ascii="GentiumBasic" w:hAnsi="GentiumBasic" w:cs="GentiumBasic"/>
        </w:rPr>
        <w:lastRenderedPageBreak/>
        <w:t>degli impianti e delle altre dotazioni</w:t>
      </w:r>
      <w:r w:rsidR="00D43946">
        <w:rPr>
          <w:rFonts w:ascii="GentiumBasic" w:hAnsi="GentiumBasic" w:cs="GentiumBasic"/>
        </w:rPr>
        <w:t xml:space="preserve"> </w:t>
      </w:r>
      <w:r>
        <w:rPr>
          <w:rFonts w:ascii="GentiumBasic" w:hAnsi="GentiumBasic" w:cs="GentiumBasic"/>
        </w:rPr>
        <w:t>patrimoniali destinati all’esercizio del servizio idrico integrato.</w:t>
      </w:r>
    </w:p>
    <w:p w:rsidR="005124A3" w:rsidRDefault="005124A3" w:rsidP="00D43946">
      <w:pPr>
        <w:autoSpaceDE w:val="0"/>
        <w:autoSpaceDN w:val="0"/>
        <w:adjustRightInd w:val="0"/>
        <w:jc w:val="both"/>
        <w:rPr>
          <w:rFonts w:ascii="GentiumBasic" w:hAnsi="GentiumBasic" w:cs="GentiumBasic"/>
        </w:rPr>
      </w:pPr>
      <w:r>
        <w:rPr>
          <w:rFonts w:ascii="GentiumBasic" w:hAnsi="GentiumBasic" w:cs="GentiumBasic"/>
        </w:rPr>
        <w:t>Il comma 611 della legge 190/2014 impone al comune di avviare “</w:t>
      </w:r>
      <w:r>
        <w:rPr>
          <w:rFonts w:ascii="GentiumBasic,Italic" w:hAnsi="GentiumBasic,Italic" w:cs="GentiumBasic,Italic"/>
          <w:i/>
          <w:iCs/>
        </w:rPr>
        <w:t>un processo di razionalizzazione</w:t>
      </w:r>
      <w:r w:rsidR="00D43946">
        <w:rPr>
          <w:rFonts w:ascii="GentiumBasic,Italic" w:hAnsi="GentiumBasic,Italic" w:cs="GentiumBasic,Italic"/>
          <w:i/>
          <w:iCs/>
        </w:rPr>
        <w:t xml:space="preserve"> </w:t>
      </w:r>
      <w:r>
        <w:rPr>
          <w:rFonts w:ascii="GentiumBasic,Italic" w:hAnsi="GentiumBasic,Italic" w:cs="GentiumBasic,Italic"/>
          <w:i/>
          <w:iCs/>
        </w:rPr>
        <w:t>delle società e delle partecipazioni societarie direttamente o indirettamente possedute, in modo da</w:t>
      </w:r>
      <w:r w:rsidR="00D43946">
        <w:rPr>
          <w:rFonts w:ascii="GentiumBasic,Italic" w:hAnsi="GentiumBasic,Italic" w:cs="GentiumBasic,Italic"/>
          <w:i/>
          <w:iCs/>
        </w:rPr>
        <w:t xml:space="preserve"> </w:t>
      </w:r>
      <w:r>
        <w:rPr>
          <w:rFonts w:ascii="GentiumBasic,Italic" w:hAnsi="GentiumBasic,Italic" w:cs="GentiumBasic,Italic"/>
          <w:i/>
          <w:iCs/>
        </w:rPr>
        <w:t>conseguire la riduzione delle stesse entro il 31 dicembre 2015</w:t>
      </w:r>
      <w:r>
        <w:rPr>
          <w:rFonts w:ascii="GentiumBasic" w:hAnsi="GentiumBasic" w:cs="GentiumBasic"/>
        </w:rPr>
        <w:t>”.</w:t>
      </w:r>
    </w:p>
    <w:p w:rsidR="005124A3" w:rsidRDefault="005124A3" w:rsidP="00D43946">
      <w:pPr>
        <w:autoSpaceDE w:val="0"/>
        <w:autoSpaceDN w:val="0"/>
        <w:adjustRightInd w:val="0"/>
        <w:jc w:val="both"/>
        <w:rPr>
          <w:rFonts w:ascii="GentiumBasic" w:hAnsi="GentiumBasic" w:cs="GentiumBasic"/>
        </w:rPr>
      </w:pPr>
      <w:r>
        <w:rPr>
          <w:rFonts w:ascii="GentiumBasic" w:hAnsi="GentiumBasic" w:cs="GentiumBasic"/>
        </w:rPr>
        <w:t>Tra i criteri proposti dal comma 611, per individuare le partecipazioni societarie da dismettere</w:t>
      </w:r>
      <w:r w:rsidR="00D43946">
        <w:rPr>
          <w:rFonts w:ascii="GentiumBasic" w:hAnsi="GentiumBasic" w:cs="GentiumBasic"/>
        </w:rPr>
        <w:t xml:space="preserve"> </w:t>
      </w:r>
      <w:r>
        <w:rPr>
          <w:rFonts w:ascii="GentiumBasic" w:hAnsi="GentiumBasic" w:cs="GentiumBasic"/>
        </w:rPr>
        <w:t>o liquidare, la lett. a) prevede l’eliminazione delle “</w:t>
      </w:r>
      <w:r>
        <w:rPr>
          <w:rFonts w:ascii="GentiumBasic,Italic" w:hAnsi="GentiumBasic,Italic" w:cs="GentiumBasic,Italic"/>
          <w:i/>
          <w:iCs/>
        </w:rPr>
        <w:t>società e le partecipazioni non indispensabili al</w:t>
      </w:r>
      <w:r w:rsidR="00D43946">
        <w:rPr>
          <w:rFonts w:ascii="GentiumBasic,Italic" w:hAnsi="GentiumBasic,Italic" w:cs="GentiumBasic,Italic"/>
          <w:i/>
          <w:iCs/>
        </w:rPr>
        <w:t xml:space="preserve"> </w:t>
      </w:r>
      <w:r>
        <w:rPr>
          <w:rFonts w:ascii="GentiumBasic,Italic" w:hAnsi="GentiumBasic,Italic" w:cs="GentiumBasic,Italic"/>
          <w:i/>
          <w:iCs/>
        </w:rPr>
        <w:t>perseguimento delle finalità istituzionali, anche mediante liquidazioni o cessioni</w:t>
      </w:r>
      <w:r>
        <w:rPr>
          <w:rFonts w:ascii="GentiumBasic" w:hAnsi="GentiumBasic" w:cs="GentiumBasic"/>
        </w:rPr>
        <w:t>”.</w:t>
      </w:r>
    </w:p>
    <w:p w:rsidR="005124A3" w:rsidRPr="00D43946" w:rsidRDefault="005124A3" w:rsidP="00D43946">
      <w:pPr>
        <w:autoSpaceDE w:val="0"/>
        <w:autoSpaceDN w:val="0"/>
        <w:adjustRightInd w:val="0"/>
        <w:jc w:val="both"/>
        <w:rPr>
          <w:rFonts w:ascii="GentiumBasic" w:hAnsi="GentiumBasic" w:cs="GentiumBasic"/>
        </w:rPr>
      </w:pPr>
      <w:r w:rsidRPr="00D43946">
        <w:rPr>
          <w:rFonts w:ascii="GentiumBasic" w:hAnsi="GentiumBasic" w:cs="GentiumBasic"/>
        </w:rPr>
        <w:t xml:space="preserve">E’ intenzione dell’amministrazione mantenere la proprietà di Ruzzo Reti </w:t>
      </w:r>
      <w:proofErr w:type="spellStart"/>
      <w:r w:rsidRPr="00D43946">
        <w:rPr>
          <w:rFonts w:ascii="GentiumBasic" w:hAnsi="GentiumBasic" w:cs="GentiumBasic"/>
        </w:rPr>
        <w:t>S.p.A</w:t>
      </w:r>
      <w:proofErr w:type="spellEnd"/>
    </w:p>
    <w:p w:rsidR="0012589D" w:rsidRDefault="005124A3" w:rsidP="00D43946">
      <w:pPr>
        <w:autoSpaceDE w:val="0"/>
        <w:autoSpaceDN w:val="0"/>
        <w:adjustRightInd w:val="0"/>
        <w:jc w:val="both"/>
        <w:rPr>
          <w:rFonts w:ascii="GentiumBasic" w:hAnsi="GentiumBasic" w:cs="GentiumBasic"/>
        </w:rPr>
      </w:pPr>
      <w:r>
        <w:rPr>
          <w:rFonts w:ascii="GentiumBasic" w:hAnsi="GentiumBasic" w:cs="GentiumBasic"/>
        </w:rPr>
        <w:t>Pur essendo la quota di partecipazione societaria non particolarmente significativa, in quanto</w:t>
      </w:r>
      <w:r w:rsidR="00D43946">
        <w:rPr>
          <w:rFonts w:ascii="GentiumBasic" w:hAnsi="GentiumBasic" w:cs="GentiumBasic"/>
        </w:rPr>
        <w:t xml:space="preserve"> </w:t>
      </w:r>
      <w:r>
        <w:rPr>
          <w:rFonts w:ascii="GentiumBasic" w:hAnsi="GentiumBasic" w:cs="GentiumBasic"/>
        </w:rPr>
        <w:t>pari al 2,27%, è in ogni caso utile l’analisi con ulteriori dati, considerato che trattasi di s.p.a. di</w:t>
      </w:r>
      <w:r w:rsidR="00D43946">
        <w:rPr>
          <w:rFonts w:ascii="GentiumBasic" w:hAnsi="GentiumBasic" w:cs="GentiumBasic"/>
        </w:rPr>
        <w:t xml:space="preserve"> </w:t>
      </w:r>
      <w:r>
        <w:rPr>
          <w:rFonts w:ascii="GentiumBasic" w:hAnsi="GentiumBasic" w:cs="GentiumBasic"/>
        </w:rPr>
        <w:t>gestione di servizi pubblici a rilevanza economica di dimensioni organizzative ed economico</w:t>
      </w:r>
      <w:r w:rsidR="00810A99">
        <w:rPr>
          <w:rFonts w:ascii="GentiumBasic" w:hAnsi="GentiumBasic" w:cs="GentiumBasic"/>
        </w:rPr>
        <w:t xml:space="preserve"> </w:t>
      </w:r>
      <w:r>
        <w:rPr>
          <w:rFonts w:ascii="GentiumBasic" w:hAnsi="GentiumBasic" w:cs="GentiumBasic"/>
        </w:rPr>
        <w:t>finanziarie</w:t>
      </w:r>
      <w:r w:rsidR="00D43946">
        <w:rPr>
          <w:rFonts w:ascii="GentiumBasic" w:hAnsi="GentiumBasic" w:cs="GentiumBasic"/>
        </w:rPr>
        <w:t xml:space="preserve"> </w:t>
      </w:r>
      <w:r>
        <w:rPr>
          <w:rFonts w:ascii="GentiumBasic" w:hAnsi="GentiumBasic" w:cs="GentiumBasic"/>
        </w:rPr>
        <w:t>rilevanti.</w:t>
      </w:r>
    </w:p>
    <w:p w:rsidR="005124A3" w:rsidRDefault="005124A3" w:rsidP="00D43946">
      <w:pPr>
        <w:pStyle w:val="Corpodeltesto"/>
        <w:jc w:val="both"/>
        <w:rPr>
          <w:rFonts w:ascii="GentiumBasic" w:hAnsi="GentiumBasic" w:cs="GentiumBasic"/>
        </w:rPr>
      </w:pPr>
    </w:p>
    <w:p w:rsidR="00797F48" w:rsidRDefault="00797F48" w:rsidP="00797F48">
      <w:pPr>
        <w:pStyle w:val="Corpodeltesto"/>
        <w:jc w:val="both"/>
      </w:pPr>
      <w:r>
        <w:t xml:space="preserve">In sintesi, </w:t>
      </w:r>
      <w:r w:rsidRPr="00735325">
        <w:t>il Comune attualmente partecipa al capitale delle seguenti società:</w:t>
      </w:r>
    </w:p>
    <w:p w:rsidR="00797F48" w:rsidRDefault="00797F48" w:rsidP="00797F48">
      <w:pPr>
        <w:pStyle w:val="Corpodeltesto"/>
        <w:jc w:val="both"/>
      </w:pPr>
    </w:p>
    <w:p w:rsidR="00797F48" w:rsidRDefault="00797F48" w:rsidP="00797F48">
      <w:pPr>
        <w:pStyle w:val="Corpodeltesto"/>
        <w:jc w:val="both"/>
      </w:pPr>
    </w:p>
    <w:p w:rsidR="00797F48" w:rsidRDefault="00797F48" w:rsidP="00797F48">
      <w:pPr>
        <w:pStyle w:val="Corpodeltesto"/>
        <w:jc w:val="both"/>
      </w:pPr>
    </w:p>
    <w:tbl>
      <w:tblPr>
        <w:tblW w:w="9860" w:type="dxa"/>
        <w:tblInd w:w="65" w:type="dxa"/>
        <w:tblCellMar>
          <w:left w:w="70" w:type="dxa"/>
          <w:right w:w="70" w:type="dxa"/>
        </w:tblCellMar>
        <w:tblLook w:val="04A0"/>
      </w:tblPr>
      <w:tblGrid>
        <w:gridCol w:w="1540"/>
        <w:gridCol w:w="2600"/>
        <w:gridCol w:w="1540"/>
        <w:gridCol w:w="1540"/>
        <w:gridCol w:w="2640"/>
      </w:tblGrid>
      <w:tr w:rsidR="00797F48" w:rsidRPr="00797F48" w:rsidTr="00797F48">
        <w:trPr>
          <w:trHeight w:val="840"/>
        </w:trPr>
        <w:tc>
          <w:tcPr>
            <w:tcW w:w="1540" w:type="dxa"/>
            <w:tcBorders>
              <w:top w:val="single" w:sz="4" w:space="0" w:color="auto"/>
              <w:left w:val="single" w:sz="4" w:space="0" w:color="auto"/>
              <w:bottom w:val="nil"/>
              <w:right w:val="single" w:sz="4" w:space="0" w:color="auto"/>
            </w:tcBorders>
            <w:shd w:val="clear" w:color="000000" w:fill="C0C0C0"/>
            <w:vAlign w:val="center"/>
            <w:hideMark/>
          </w:tcPr>
          <w:p w:rsidR="00797F48" w:rsidRPr="00797F48" w:rsidRDefault="00797F48" w:rsidP="00797F48">
            <w:pPr>
              <w:jc w:val="center"/>
              <w:rPr>
                <w:rFonts w:ascii="Verdana" w:hAnsi="Verdana" w:cs="Calibri"/>
                <w:b/>
                <w:bCs/>
                <w:sz w:val="16"/>
                <w:szCs w:val="16"/>
              </w:rPr>
            </w:pPr>
            <w:r w:rsidRPr="00797F48">
              <w:rPr>
                <w:rFonts w:ascii="Verdana" w:hAnsi="Verdana" w:cs="Calibri"/>
                <w:b/>
                <w:bCs/>
                <w:sz w:val="16"/>
                <w:szCs w:val="16"/>
              </w:rPr>
              <w:t>Codice fiscale società</w:t>
            </w:r>
          </w:p>
        </w:tc>
        <w:tc>
          <w:tcPr>
            <w:tcW w:w="2600" w:type="dxa"/>
            <w:tcBorders>
              <w:top w:val="single" w:sz="4" w:space="0" w:color="auto"/>
              <w:left w:val="nil"/>
              <w:bottom w:val="nil"/>
              <w:right w:val="single" w:sz="4" w:space="0" w:color="auto"/>
            </w:tcBorders>
            <w:shd w:val="clear" w:color="000000" w:fill="C0C0C0"/>
            <w:vAlign w:val="center"/>
            <w:hideMark/>
          </w:tcPr>
          <w:p w:rsidR="00797F48" w:rsidRPr="00797F48" w:rsidRDefault="00797F48" w:rsidP="00797F48">
            <w:pPr>
              <w:jc w:val="center"/>
              <w:rPr>
                <w:rFonts w:ascii="Verdana" w:hAnsi="Verdana" w:cs="Calibri"/>
                <w:b/>
                <w:bCs/>
                <w:sz w:val="16"/>
                <w:szCs w:val="16"/>
              </w:rPr>
            </w:pPr>
            <w:r w:rsidRPr="00797F48">
              <w:rPr>
                <w:rFonts w:ascii="Verdana" w:hAnsi="Verdana" w:cs="Calibri"/>
                <w:b/>
                <w:bCs/>
                <w:sz w:val="16"/>
                <w:szCs w:val="16"/>
              </w:rPr>
              <w:t>Denominazione società</w:t>
            </w:r>
          </w:p>
        </w:tc>
        <w:tc>
          <w:tcPr>
            <w:tcW w:w="1540" w:type="dxa"/>
            <w:tcBorders>
              <w:top w:val="single" w:sz="4" w:space="0" w:color="auto"/>
              <w:left w:val="nil"/>
              <w:bottom w:val="nil"/>
              <w:right w:val="single" w:sz="4" w:space="0" w:color="auto"/>
            </w:tcBorders>
            <w:shd w:val="clear" w:color="000000" w:fill="C0C0C0"/>
            <w:vAlign w:val="center"/>
            <w:hideMark/>
          </w:tcPr>
          <w:p w:rsidR="00797F48" w:rsidRPr="00797F48" w:rsidRDefault="00797F48" w:rsidP="00797F48">
            <w:pPr>
              <w:jc w:val="center"/>
              <w:rPr>
                <w:rFonts w:ascii="Verdana" w:hAnsi="Verdana" w:cs="Calibri"/>
                <w:b/>
                <w:bCs/>
                <w:sz w:val="16"/>
                <w:szCs w:val="16"/>
              </w:rPr>
            </w:pPr>
            <w:r w:rsidRPr="00797F48">
              <w:rPr>
                <w:rFonts w:ascii="Verdana" w:hAnsi="Verdana" w:cs="Calibri"/>
                <w:b/>
                <w:bCs/>
                <w:sz w:val="16"/>
                <w:szCs w:val="16"/>
              </w:rPr>
              <w:t>Anno di costituzione</w:t>
            </w:r>
          </w:p>
        </w:tc>
        <w:tc>
          <w:tcPr>
            <w:tcW w:w="1540" w:type="dxa"/>
            <w:tcBorders>
              <w:top w:val="single" w:sz="4" w:space="0" w:color="auto"/>
              <w:left w:val="nil"/>
              <w:bottom w:val="nil"/>
              <w:right w:val="single" w:sz="4" w:space="0" w:color="auto"/>
            </w:tcBorders>
            <w:shd w:val="clear" w:color="000000" w:fill="C0C0C0"/>
            <w:vAlign w:val="center"/>
            <w:hideMark/>
          </w:tcPr>
          <w:p w:rsidR="00797F48" w:rsidRPr="00797F48" w:rsidRDefault="00797F48" w:rsidP="00797F48">
            <w:pPr>
              <w:jc w:val="center"/>
              <w:rPr>
                <w:rFonts w:ascii="Verdana" w:hAnsi="Verdana" w:cs="Calibri"/>
                <w:b/>
                <w:bCs/>
                <w:sz w:val="16"/>
                <w:szCs w:val="16"/>
              </w:rPr>
            </w:pPr>
            <w:r w:rsidRPr="00797F48">
              <w:rPr>
                <w:rFonts w:ascii="Verdana" w:hAnsi="Verdana" w:cs="Calibri"/>
                <w:b/>
                <w:bCs/>
                <w:sz w:val="16"/>
                <w:szCs w:val="16"/>
              </w:rPr>
              <w:t>% Quota di partecipazione</w:t>
            </w:r>
          </w:p>
        </w:tc>
        <w:tc>
          <w:tcPr>
            <w:tcW w:w="2640" w:type="dxa"/>
            <w:tcBorders>
              <w:top w:val="single" w:sz="4" w:space="0" w:color="auto"/>
              <w:left w:val="nil"/>
              <w:bottom w:val="nil"/>
              <w:right w:val="single" w:sz="4" w:space="0" w:color="auto"/>
            </w:tcBorders>
            <w:shd w:val="clear" w:color="000000" w:fill="C0C0C0"/>
            <w:vAlign w:val="center"/>
            <w:hideMark/>
          </w:tcPr>
          <w:p w:rsidR="00797F48" w:rsidRPr="00797F48" w:rsidRDefault="00797F48" w:rsidP="00797F48">
            <w:pPr>
              <w:jc w:val="center"/>
              <w:rPr>
                <w:rFonts w:ascii="Verdana" w:hAnsi="Verdana" w:cs="Calibri"/>
                <w:b/>
                <w:bCs/>
                <w:sz w:val="16"/>
                <w:szCs w:val="16"/>
              </w:rPr>
            </w:pPr>
            <w:r w:rsidRPr="00797F48">
              <w:rPr>
                <w:rFonts w:ascii="Verdana" w:hAnsi="Verdana" w:cs="Calibri"/>
                <w:b/>
                <w:bCs/>
                <w:sz w:val="16"/>
                <w:szCs w:val="16"/>
              </w:rPr>
              <w:t>Attività svolta</w:t>
            </w:r>
          </w:p>
        </w:tc>
      </w:tr>
      <w:tr w:rsidR="00797F48" w:rsidRPr="00797F48" w:rsidTr="00797F48">
        <w:trPr>
          <w:trHeight w:val="285"/>
        </w:trPr>
        <w:tc>
          <w:tcPr>
            <w:tcW w:w="1540" w:type="dxa"/>
            <w:tcBorders>
              <w:top w:val="nil"/>
              <w:left w:val="single" w:sz="4" w:space="0" w:color="auto"/>
              <w:bottom w:val="single" w:sz="4" w:space="0" w:color="auto"/>
              <w:right w:val="single" w:sz="4" w:space="0" w:color="auto"/>
            </w:tcBorders>
            <w:shd w:val="clear" w:color="000000" w:fill="C0C0C0"/>
            <w:vAlign w:val="center"/>
            <w:hideMark/>
          </w:tcPr>
          <w:p w:rsidR="00797F48" w:rsidRPr="00797F48" w:rsidRDefault="00797F48" w:rsidP="00797F48">
            <w:pPr>
              <w:jc w:val="center"/>
              <w:rPr>
                <w:rFonts w:ascii="Verdana" w:hAnsi="Verdana" w:cs="Calibri"/>
                <w:b/>
                <w:bCs/>
                <w:sz w:val="16"/>
                <w:szCs w:val="16"/>
              </w:rPr>
            </w:pPr>
            <w:r w:rsidRPr="00797F48">
              <w:rPr>
                <w:rFonts w:ascii="Verdana" w:hAnsi="Verdana" w:cs="Calibri"/>
                <w:b/>
                <w:bCs/>
                <w:sz w:val="16"/>
                <w:szCs w:val="16"/>
              </w:rPr>
              <w:t>B</w:t>
            </w:r>
          </w:p>
        </w:tc>
        <w:tc>
          <w:tcPr>
            <w:tcW w:w="2600" w:type="dxa"/>
            <w:tcBorders>
              <w:top w:val="nil"/>
              <w:left w:val="nil"/>
              <w:bottom w:val="single" w:sz="4" w:space="0" w:color="auto"/>
              <w:right w:val="single" w:sz="4" w:space="0" w:color="auto"/>
            </w:tcBorders>
            <w:shd w:val="clear" w:color="000000" w:fill="C0C0C0"/>
            <w:vAlign w:val="center"/>
            <w:hideMark/>
          </w:tcPr>
          <w:p w:rsidR="00797F48" w:rsidRPr="00797F48" w:rsidRDefault="00797F48" w:rsidP="00797F48">
            <w:pPr>
              <w:jc w:val="center"/>
              <w:rPr>
                <w:rFonts w:ascii="Verdana" w:hAnsi="Verdana" w:cs="Calibri"/>
                <w:b/>
                <w:bCs/>
                <w:sz w:val="16"/>
                <w:szCs w:val="16"/>
              </w:rPr>
            </w:pPr>
            <w:r w:rsidRPr="00797F48">
              <w:rPr>
                <w:rFonts w:ascii="Verdana" w:hAnsi="Verdana" w:cs="Calibri"/>
                <w:b/>
                <w:bCs/>
                <w:sz w:val="16"/>
                <w:szCs w:val="16"/>
              </w:rPr>
              <w:t>C</w:t>
            </w:r>
          </w:p>
        </w:tc>
        <w:tc>
          <w:tcPr>
            <w:tcW w:w="1540" w:type="dxa"/>
            <w:tcBorders>
              <w:top w:val="nil"/>
              <w:left w:val="nil"/>
              <w:bottom w:val="single" w:sz="4" w:space="0" w:color="auto"/>
              <w:right w:val="single" w:sz="4" w:space="0" w:color="auto"/>
            </w:tcBorders>
            <w:shd w:val="clear" w:color="000000" w:fill="C0C0C0"/>
            <w:vAlign w:val="center"/>
            <w:hideMark/>
          </w:tcPr>
          <w:p w:rsidR="00797F48" w:rsidRPr="00797F48" w:rsidRDefault="00797F48" w:rsidP="00797F48">
            <w:pPr>
              <w:jc w:val="center"/>
              <w:rPr>
                <w:rFonts w:ascii="Verdana" w:hAnsi="Verdana" w:cs="Calibri"/>
                <w:b/>
                <w:bCs/>
                <w:sz w:val="16"/>
                <w:szCs w:val="16"/>
              </w:rPr>
            </w:pPr>
            <w:r w:rsidRPr="00797F48">
              <w:rPr>
                <w:rFonts w:ascii="Verdana" w:hAnsi="Verdana" w:cs="Calibri"/>
                <w:b/>
                <w:bCs/>
                <w:sz w:val="16"/>
                <w:szCs w:val="16"/>
              </w:rPr>
              <w:t>D</w:t>
            </w:r>
          </w:p>
        </w:tc>
        <w:tc>
          <w:tcPr>
            <w:tcW w:w="1540" w:type="dxa"/>
            <w:tcBorders>
              <w:top w:val="nil"/>
              <w:left w:val="nil"/>
              <w:bottom w:val="single" w:sz="4" w:space="0" w:color="auto"/>
              <w:right w:val="single" w:sz="4" w:space="0" w:color="auto"/>
            </w:tcBorders>
            <w:shd w:val="clear" w:color="000000" w:fill="C0C0C0"/>
            <w:vAlign w:val="center"/>
            <w:hideMark/>
          </w:tcPr>
          <w:p w:rsidR="00797F48" w:rsidRPr="00797F48" w:rsidRDefault="00797F48" w:rsidP="00797F48">
            <w:pPr>
              <w:jc w:val="center"/>
              <w:rPr>
                <w:rFonts w:ascii="Verdana" w:hAnsi="Verdana" w:cs="Calibri"/>
                <w:b/>
                <w:bCs/>
                <w:sz w:val="16"/>
                <w:szCs w:val="16"/>
              </w:rPr>
            </w:pPr>
            <w:r w:rsidRPr="00797F48">
              <w:rPr>
                <w:rFonts w:ascii="Verdana" w:hAnsi="Verdana" w:cs="Calibri"/>
                <w:b/>
                <w:bCs/>
                <w:sz w:val="16"/>
                <w:szCs w:val="16"/>
              </w:rPr>
              <w:t>E</w:t>
            </w:r>
          </w:p>
        </w:tc>
        <w:tc>
          <w:tcPr>
            <w:tcW w:w="2640" w:type="dxa"/>
            <w:tcBorders>
              <w:top w:val="nil"/>
              <w:left w:val="nil"/>
              <w:bottom w:val="single" w:sz="4" w:space="0" w:color="auto"/>
              <w:right w:val="single" w:sz="4" w:space="0" w:color="auto"/>
            </w:tcBorders>
            <w:shd w:val="clear" w:color="000000" w:fill="C0C0C0"/>
            <w:vAlign w:val="center"/>
            <w:hideMark/>
          </w:tcPr>
          <w:p w:rsidR="00797F48" w:rsidRPr="00797F48" w:rsidRDefault="00797F48" w:rsidP="00797F48">
            <w:pPr>
              <w:jc w:val="center"/>
              <w:rPr>
                <w:rFonts w:ascii="Verdana" w:hAnsi="Verdana" w:cs="Calibri"/>
                <w:b/>
                <w:bCs/>
                <w:sz w:val="16"/>
                <w:szCs w:val="16"/>
              </w:rPr>
            </w:pPr>
            <w:r w:rsidRPr="00797F48">
              <w:rPr>
                <w:rFonts w:ascii="Verdana" w:hAnsi="Verdana" w:cs="Calibri"/>
                <w:b/>
                <w:bCs/>
                <w:sz w:val="16"/>
                <w:szCs w:val="16"/>
              </w:rPr>
              <w:t>F</w:t>
            </w:r>
          </w:p>
        </w:tc>
      </w:tr>
      <w:tr w:rsidR="00797F48" w:rsidRPr="00797F48" w:rsidTr="00797F48">
        <w:trPr>
          <w:trHeight w:val="702"/>
        </w:trPr>
        <w:tc>
          <w:tcPr>
            <w:tcW w:w="1540" w:type="dxa"/>
            <w:tcBorders>
              <w:top w:val="nil"/>
              <w:left w:val="single" w:sz="4" w:space="0" w:color="auto"/>
              <w:bottom w:val="single" w:sz="4" w:space="0" w:color="auto"/>
              <w:right w:val="single" w:sz="4" w:space="0" w:color="auto"/>
            </w:tcBorders>
            <w:shd w:val="clear" w:color="000000" w:fill="FFFFCC"/>
            <w:vAlign w:val="center"/>
            <w:hideMark/>
          </w:tcPr>
          <w:p w:rsidR="00797F48" w:rsidRPr="00797F48" w:rsidRDefault="00797F48" w:rsidP="00797F48">
            <w:pPr>
              <w:jc w:val="center"/>
              <w:rPr>
                <w:rFonts w:ascii="Verdana" w:hAnsi="Verdana" w:cs="Calibri"/>
                <w:sz w:val="16"/>
                <w:szCs w:val="16"/>
              </w:rPr>
            </w:pPr>
            <w:r w:rsidRPr="00797F48">
              <w:rPr>
                <w:rFonts w:ascii="Verdana" w:hAnsi="Verdana" w:cs="Calibri"/>
                <w:sz w:val="16"/>
                <w:szCs w:val="16"/>
              </w:rPr>
              <w:t>00884890674</w:t>
            </w:r>
          </w:p>
        </w:tc>
        <w:tc>
          <w:tcPr>
            <w:tcW w:w="2600" w:type="dxa"/>
            <w:tcBorders>
              <w:top w:val="nil"/>
              <w:left w:val="nil"/>
              <w:bottom w:val="single" w:sz="4" w:space="0" w:color="auto"/>
              <w:right w:val="single" w:sz="4" w:space="0" w:color="auto"/>
            </w:tcBorders>
            <w:shd w:val="clear" w:color="000000" w:fill="FFFFCC"/>
            <w:vAlign w:val="center"/>
            <w:hideMark/>
          </w:tcPr>
          <w:p w:rsidR="00797F48" w:rsidRPr="00797F48" w:rsidRDefault="00797F48" w:rsidP="00797F48">
            <w:pPr>
              <w:rPr>
                <w:rFonts w:ascii="Verdana" w:hAnsi="Verdana" w:cs="Calibri"/>
                <w:sz w:val="16"/>
                <w:szCs w:val="16"/>
              </w:rPr>
            </w:pPr>
            <w:proofErr w:type="spellStart"/>
            <w:r w:rsidRPr="00797F48">
              <w:rPr>
                <w:rFonts w:ascii="Verdana" w:hAnsi="Verdana" w:cs="Calibri"/>
                <w:sz w:val="16"/>
                <w:szCs w:val="16"/>
              </w:rPr>
              <w:t>MO.TE</w:t>
            </w:r>
            <w:proofErr w:type="spellEnd"/>
            <w:r w:rsidRPr="00797F48">
              <w:rPr>
                <w:rFonts w:ascii="Verdana" w:hAnsi="Verdana" w:cs="Calibri"/>
                <w:sz w:val="16"/>
                <w:szCs w:val="16"/>
              </w:rPr>
              <w:t>. Montagne Teramane e Ambiente spa</w:t>
            </w:r>
          </w:p>
        </w:tc>
        <w:tc>
          <w:tcPr>
            <w:tcW w:w="1540" w:type="dxa"/>
            <w:tcBorders>
              <w:top w:val="nil"/>
              <w:left w:val="nil"/>
              <w:bottom w:val="single" w:sz="4" w:space="0" w:color="auto"/>
              <w:right w:val="single" w:sz="4" w:space="0" w:color="auto"/>
            </w:tcBorders>
            <w:shd w:val="clear" w:color="000000" w:fill="FFFFCC"/>
            <w:vAlign w:val="center"/>
            <w:hideMark/>
          </w:tcPr>
          <w:p w:rsidR="00797F48" w:rsidRPr="00797F48" w:rsidRDefault="00797F48" w:rsidP="00797F48">
            <w:pPr>
              <w:jc w:val="center"/>
              <w:rPr>
                <w:rFonts w:ascii="Verdana" w:hAnsi="Verdana" w:cs="Calibri"/>
                <w:sz w:val="16"/>
                <w:szCs w:val="16"/>
              </w:rPr>
            </w:pPr>
            <w:r w:rsidRPr="00797F48">
              <w:rPr>
                <w:rFonts w:ascii="Verdana" w:hAnsi="Verdana" w:cs="Calibri"/>
                <w:sz w:val="16"/>
                <w:szCs w:val="16"/>
              </w:rPr>
              <w:t>2007</w:t>
            </w:r>
          </w:p>
        </w:tc>
        <w:tc>
          <w:tcPr>
            <w:tcW w:w="1540" w:type="dxa"/>
            <w:tcBorders>
              <w:top w:val="nil"/>
              <w:left w:val="nil"/>
              <w:bottom w:val="single" w:sz="4" w:space="0" w:color="auto"/>
              <w:right w:val="single" w:sz="4" w:space="0" w:color="auto"/>
            </w:tcBorders>
            <w:shd w:val="clear" w:color="000000" w:fill="FFFFCC"/>
            <w:vAlign w:val="center"/>
            <w:hideMark/>
          </w:tcPr>
          <w:p w:rsidR="00797F48" w:rsidRPr="00797F48" w:rsidRDefault="00797F48" w:rsidP="00797F48">
            <w:pPr>
              <w:jc w:val="center"/>
              <w:rPr>
                <w:rFonts w:ascii="Verdana" w:hAnsi="Verdana" w:cs="Calibri"/>
                <w:sz w:val="16"/>
                <w:szCs w:val="16"/>
              </w:rPr>
            </w:pPr>
            <w:r w:rsidRPr="00797F48">
              <w:rPr>
                <w:rFonts w:ascii="Verdana" w:hAnsi="Verdana" w:cs="Calibri"/>
                <w:sz w:val="16"/>
                <w:szCs w:val="16"/>
              </w:rPr>
              <w:t>2,50</w:t>
            </w:r>
          </w:p>
        </w:tc>
        <w:tc>
          <w:tcPr>
            <w:tcW w:w="2640" w:type="dxa"/>
            <w:tcBorders>
              <w:top w:val="nil"/>
              <w:left w:val="nil"/>
              <w:bottom w:val="single" w:sz="4" w:space="0" w:color="auto"/>
              <w:right w:val="single" w:sz="4" w:space="0" w:color="auto"/>
            </w:tcBorders>
            <w:shd w:val="clear" w:color="000000" w:fill="FFFFCC"/>
            <w:vAlign w:val="center"/>
            <w:hideMark/>
          </w:tcPr>
          <w:p w:rsidR="00797F48" w:rsidRPr="00797F48" w:rsidRDefault="00797F48" w:rsidP="00FD4805">
            <w:pPr>
              <w:rPr>
                <w:rFonts w:ascii="Verdana" w:hAnsi="Verdana" w:cs="Calibri"/>
                <w:sz w:val="16"/>
                <w:szCs w:val="16"/>
              </w:rPr>
            </w:pPr>
            <w:r w:rsidRPr="00797F48">
              <w:rPr>
                <w:rFonts w:ascii="Verdana" w:hAnsi="Verdana" w:cs="Calibri"/>
                <w:sz w:val="16"/>
                <w:szCs w:val="16"/>
              </w:rPr>
              <w:t>Costituzione e gestione associata imp</w:t>
            </w:r>
            <w:r w:rsidR="00FD4805">
              <w:rPr>
                <w:rFonts w:ascii="Verdana" w:hAnsi="Verdana" w:cs="Calibri"/>
                <w:sz w:val="16"/>
                <w:szCs w:val="16"/>
              </w:rPr>
              <w:t>i</w:t>
            </w:r>
            <w:r w:rsidRPr="00797F48">
              <w:rPr>
                <w:rFonts w:ascii="Verdana" w:hAnsi="Verdana" w:cs="Calibri"/>
                <w:sz w:val="16"/>
                <w:szCs w:val="16"/>
              </w:rPr>
              <w:t>anti di Rifiuti Solidi Urbani</w:t>
            </w:r>
          </w:p>
        </w:tc>
      </w:tr>
      <w:tr w:rsidR="00797F48" w:rsidRPr="00797F48" w:rsidTr="00797F48">
        <w:trPr>
          <w:trHeight w:val="702"/>
        </w:trPr>
        <w:tc>
          <w:tcPr>
            <w:tcW w:w="1540" w:type="dxa"/>
            <w:tcBorders>
              <w:top w:val="nil"/>
              <w:left w:val="single" w:sz="4" w:space="0" w:color="auto"/>
              <w:bottom w:val="single" w:sz="4" w:space="0" w:color="auto"/>
              <w:right w:val="single" w:sz="4" w:space="0" w:color="auto"/>
            </w:tcBorders>
            <w:shd w:val="clear" w:color="000000" w:fill="FFFFCC"/>
            <w:vAlign w:val="center"/>
            <w:hideMark/>
          </w:tcPr>
          <w:p w:rsidR="00797F48" w:rsidRPr="00797F48" w:rsidRDefault="00797F48" w:rsidP="00797F48">
            <w:pPr>
              <w:jc w:val="center"/>
              <w:rPr>
                <w:rFonts w:ascii="Verdana" w:hAnsi="Verdana" w:cs="Calibri"/>
                <w:sz w:val="16"/>
                <w:szCs w:val="16"/>
              </w:rPr>
            </w:pPr>
            <w:r w:rsidRPr="00797F48">
              <w:rPr>
                <w:rFonts w:ascii="Verdana" w:hAnsi="Verdana" w:cs="Calibri"/>
                <w:sz w:val="16"/>
                <w:szCs w:val="16"/>
              </w:rPr>
              <w:t>01522960671</w:t>
            </w:r>
          </w:p>
        </w:tc>
        <w:tc>
          <w:tcPr>
            <w:tcW w:w="2600" w:type="dxa"/>
            <w:tcBorders>
              <w:top w:val="nil"/>
              <w:left w:val="nil"/>
              <w:bottom w:val="single" w:sz="4" w:space="0" w:color="auto"/>
              <w:right w:val="single" w:sz="4" w:space="0" w:color="auto"/>
            </w:tcBorders>
            <w:shd w:val="clear" w:color="000000" w:fill="FFFFCC"/>
            <w:vAlign w:val="center"/>
            <w:hideMark/>
          </w:tcPr>
          <w:p w:rsidR="00797F48" w:rsidRPr="00797F48" w:rsidRDefault="00797F48" w:rsidP="00797F48">
            <w:pPr>
              <w:rPr>
                <w:rFonts w:ascii="Verdana" w:hAnsi="Verdana" w:cs="Calibri"/>
                <w:sz w:val="16"/>
                <w:szCs w:val="16"/>
              </w:rPr>
            </w:pPr>
            <w:r w:rsidRPr="00797F48">
              <w:rPr>
                <w:rFonts w:ascii="Verdana" w:hAnsi="Verdana" w:cs="Calibri"/>
                <w:sz w:val="16"/>
                <w:szCs w:val="16"/>
              </w:rPr>
              <w:t>RUZZO RETI SPA</w:t>
            </w:r>
          </w:p>
        </w:tc>
        <w:tc>
          <w:tcPr>
            <w:tcW w:w="1540" w:type="dxa"/>
            <w:tcBorders>
              <w:top w:val="nil"/>
              <w:left w:val="nil"/>
              <w:bottom w:val="single" w:sz="4" w:space="0" w:color="auto"/>
              <w:right w:val="single" w:sz="4" w:space="0" w:color="auto"/>
            </w:tcBorders>
            <w:shd w:val="clear" w:color="000000" w:fill="FFFFCC"/>
            <w:vAlign w:val="center"/>
            <w:hideMark/>
          </w:tcPr>
          <w:p w:rsidR="00797F48" w:rsidRPr="00797F48" w:rsidRDefault="00797F48" w:rsidP="00797F48">
            <w:pPr>
              <w:jc w:val="center"/>
              <w:rPr>
                <w:rFonts w:ascii="Verdana" w:hAnsi="Verdana" w:cs="Calibri"/>
                <w:sz w:val="16"/>
                <w:szCs w:val="16"/>
              </w:rPr>
            </w:pPr>
            <w:r w:rsidRPr="00797F48">
              <w:rPr>
                <w:rFonts w:ascii="Verdana" w:hAnsi="Verdana" w:cs="Calibri"/>
                <w:sz w:val="16"/>
                <w:szCs w:val="16"/>
              </w:rPr>
              <w:t>2003</w:t>
            </w:r>
          </w:p>
        </w:tc>
        <w:tc>
          <w:tcPr>
            <w:tcW w:w="1540" w:type="dxa"/>
            <w:tcBorders>
              <w:top w:val="nil"/>
              <w:left w:val="nil"/>
              <w:bottom w:val="single" w:sz="4" w:space="0" w:color="auto"/>
              <w:right w:val="single" w:sz="4" w:space="0" w:color="auto"/>
            </w:tcBorders>
            <w:shd w:val="clear" w:color="000000" w:fill="FFFFCC"/>
            <w:vAlign w:val="center"/>
            <w:hideMark/>
          </w:tcPr>
          <w:p w:rsidR="00797F48" w:rsidRPr="00797F48" w:rsidRDefault="00797F48" w:rsidP="00797F48">
            <w:pPr>
              <w:jc w:val="center"/>
              <w:rPr>
                <w:rFonts w:ascii="Verdana" w:hAnsi="Verdana" w:cs="Calibri"/>
                <w:sz w:val="16"/>
                <w:szCs w:val="16"/>
              </w:rPr>
            </w:pPr>
            <w:r w:rsidRPr="00797F48">
              <w:rPr>
                <w:rFonts w:ascii="Verdana" w:hAnsi="Verdana" w:cs="Calibri"/>
                <w:sz w:val="16"/>
                <w:szCs w:val="16"/>
              </w:rPr>
              <w:t>2,27</w:t>
            </w:r>
          </w:p>
        </w:tc>
        <w:tc>
          <w:tcPr>
            <w:tcW w:w="2640" w:type="dxa"/>
            <w:tcBorders>
              <w:top w:val="nil"/>
              <w:left w:val="nil"/>
              <w:bottom w:val="single" w:sz="4" w:space="0" w:color="auto"/>
              <w:right w:val="single" w:sz="4" w:space="0" w:color="auto"/>
            </w:tcBorders>
            <w:shd w:val="clear" w:color="000000" w:fill="FFFFCC"/>
            <w:vAlign w:val="center"/>
            <w:hideMark/>
          </w:tcPr>
          <w:p w:rsidR="00797F48" w:rsidRPr="00797F48" w:rsidRDefault="00797F48" w:rsidP="00797F48">
            <w:pPr>
              <w:rPr>
                <w:rFonts w:ascii="Verdana" w:hAnsi="Verdana" w:cs="Calibri"/>
                <w:sz w:val="16"/>
                <w:szCs w:val="16"/>
              </w:rPr>
            </w:pPr>
            <w:r w:rsidRPr="00797F48">
              <w:rPr>
                <w:rFonts w:ascii="Verdana" w:hAnsi="Verdana" w:cs="Calibri"/>
                <w:sz w:val="16"/>
                <w:szCs w:val="16"/>
              </w:rPr>
              <w:t>Gestione servi</w:t>
            </w:r>
            <w:r w:rsidR="00FD4805">
              <w:rPr>
                <w:rFonts w:ascii="Verdana" w:hAnsi="Verdana" w:cs="Calibri"/>
                <w:sz w:val="16"/>
                <w:szCs w:val="16"/>
              </w:rPr>
              <w:t>z</w:t>
            </w:r>
            <w:r w:rsidRPr="00797F48">
              <w:rPr>
                <w:rFonts w:ascii="Verdana" w:hAnsi="Verdana" w:cs="Calibri"/>
                <w:sz w:val="16"/>
                <w:szCs w:val="16"/>
              </w:rPr>
              <w:t>io idrico integrato</w:t>
            </w:r>
          </w:p>
        </w:tc>
      </w:tr>
    </w:tbl>
    <w:p w:rsidR="00797F48" w:rsidRDefault="00797F48" w:rsidP="00797F48">
      <w:pPr>
        <w:pStyle w:val="Corpodeltesto"/>
        <w:jc w:val="both"/>
      </w:pPr>
    </w:p>
    <w:p w:rsidR="00797F48" w:rsidRDefault="00797F48" w:rsidP="00797F48">
      <w:pPr>
        <w:pStyle w:val="Corpodeltesto"/>
        <w:jc w:val="both"/>
      </w:pPr>
    </w:p>
    <w:p w:rsidR="00166F41" w:rsidRDefault="00166F41" w:rsidP="00D43946">
      <w:pPr>
        <w:keepNext/>
        <w:widowControl w:val="0"/>
        <w:jc w:val="both"/>
        <w:outlineLvl w:val="1"/>
        <w:rPr>
          <w:rFonts w:ascii="Arial" w:hAnsi="Arial" w:cs="Arial"/>
          <w:b/>
          <w:sz w:val="22"/>
          <w:szCs w:val="22"/>
        </w:rPr>
      </w:pPr>
    </w:p>
    <w:sectPr w:rsidR="00166F41" w:rsidSect="00BA226F">
      <w:headerReference w:type="default" r:id="rId9"/>
      <w:footerReference w:type="default" r:id="rId10"/>
      <w:pgSz w:w="11906" w:h="16838" w:code="9"/>
      <w:pgMar w:top="1418"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FFB" w:rsidRDefault="00155FFB">
      <w:r>
        <w:separator/>
      </w:r>
    </w:p>
  </w:endnote>
  <w:endnote w:type="continuationSeparator" w:id="0">
    <w:p w:rsidR="00155FFB" w:rsidRDefault="00155F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ntiumBasic,Bold">
    <w:panose1 w:val="00000000000000000000"/>
    <w:charset w:val="00"/>
    <w:family w:val="auto"/>
    <w:notTrueType/>
    <w:pitch w:val="default"/>
    <w:sig w:usb0="00000003" w:usb1="00000000" w:usb2="00000000" w:usb3="00000000" w:csb0="00000001" w:csb1="00000000"/>
  </w:font>
  <w:font w:name="GentiumBasic">
    <w:panose1 w:val="00000000000000000000"/>
    <w:charset w:val="00"/>
    <w:family w:val="auto"/>
    <w:notTrueType/>
    <w:pitch w:val="default"/>
    <w:sig w:usb0="00000003" w:usb1="00000000" w:usb2="00000000" w:usb3="00000000" w:csb0="00000001" w:csb1="00000000"/>
  </w:font>
  <w:font w:name="GentiumBasic,Ital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1540952"/>
      <w:docPartObj>
        <w:docPartGallery w:val="Page Numbers (Bottom of Page)"/>
        <w:docPartUnique/>
      </w:docPartObj>
    </w:sdtPr>
    <w:sdtEndPr>
      <w:rPr>
        <w:rFonts w:ascii="Arial" w:hAnsi="Arial" w:cs="Arial"/>
        <w:sz w:val="16"/>
      </w:rPr>
    </w:sdtEndPr>
    <w:sdtContent>
      <w:p w:rsidR="00BA540E" w:rsidRDefault="00EB3A00">
        <w:pPr>
          <w:pStyle w:val="Pidipagina"/>
          <w:jc w:val="center"/>
        </w:pPr>
        <w:r w:rsidRPr="002D1879">
          <w:rPr>
            <w:rFonts w:ascii="Arial" w:hAnsi="Arial" w:cs="Arial"/>
            <w:sz w:val="16"/>
          </w:rPr>
          <w:fldChar w:fldCharType="begin"/>
        </w:r>
        <w:r w:rsidR="00BA540E" w:rsidRPr="002D1879">
          <w:rPr>
            <w:rFonts w:ascii="Arial" w:hAnsi="Arial" w:cs="Arial"/>
            <w:sz w:val="16"/>
          </w:rPr>
          <w:instrText>PAGE   \* MERGEFORMAT</w:instrText>
        </w:r>
        <w:r w:rsidRPr="002D1879">
          <w:rPr>
            <w:rFonts w:ascii="Arial" w:hAnsi="Arial" w:cs="Arial"/>
            <w:sz w:val="16"/>
          </w:rPr>
          <w:fldChar w:fldCharType="separate"/>
        </w:r>
        <w:r w:rsidR="00B20C10">
          <w:rPr>
            <w:rFonts w:ascii="Arial" w:hAnsi="Arial" w:cs="Arial"/>
            <w:noProof/>
            <w:sz w:val="16"/>
          </w:rPr>
          <w:t>2</w:t>
        </w:r>
        <w:r w:rsidRPr="002D1879">
          <w:rPr>
            <w:rFonts w:ascii="Arial" w:hAnsi="Arial" w:cs="Arial"/>
            <w:noProof/>
            <w:sz w:val="16"/>
          </w:rPr>
          <w:fldChar w:fldCharType="end"/>
        </w:r>
      </w:p>
    </w:sdtContent>
  </w:sdt>
  <w:p w:rsidR="00BA540E" w:rsidRPr="003C2446" w:rsidRDefault="00BA540E" w:rsidP="003C2446">
    <w:pPr>
      <w:pStyle w:val="Pidipagina"/>
      <w:ind w:right="360"/>
      <w:jc w:val="right"/>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FFB" w:rsidRDefault="00155FFB">
      <w:r>
        <w:separator/>
      </w:r>
    </w:p>
  </w:footnote>
  <w:footnote w:type="continuationSeparator" w:id="0">
    <w:p w:rsidR="00155FFB" w:rsidRDefault="00155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40E" w:rsidRDefault="00EB3A00" w:rsidP="00820AB1">
    <w:pPr>
      <w:pStyle w:val="Intestazione"/>
      <w:jc w:val="center"/>
    </w:pPr>
    <w:r>
      <w:rPr>
        <w:noProof/>
      </w:rPr>
      <w:pict>
        <v:shapetype id="_x0000_t202" coordsize="21600,21600" o:spt="202" path="m,l,21600r21600,l21600,xe">
          <v:stroke joinstyle="miter"/>
          <v:path gradientshapeok="t" o:connecttype="rect"/>
        </v:shapetype>
        <v:shape id="Casella di testo 475" o:spid="_x0000_s4098" type="#_x0000_t202" style="position:absolute;left:0;text-align:left;margin-left:62.35pt;margin-top:32.2pt;width:470.6pt;height:9.2pt;z-index:25166028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" o:allowincell="f" filled="f" stroked="f">
          <v:textbox style="mso-fit-shape-to-text:t" inset=",0,,0">
            <w:txbxContent>
              <w:p w:rsidR="00BA540E" w:rsidRPr="00762A85" w:rsidRDefault="00BA540E" w:rsidP="00BD639D">
                <w:pPr>
                  <w:jc w:val="center"/>
                  <w:rPr>
                    <w:rFonts w:ascii="Arial" w:hAnsi="Arial" w:cs="Arial"/>
                    <w:sz w:val="16"/>
                    <w:szCs w:val="16"/>
                  </w:rPr>
                </w:pPr>
                <w:r w:rsidRPr="00762A85">
                  <w:rPr>
                    <w:rFonts w:ascii="Arial" w:hAnsi="Arial" w:cs="Arial"/>
                    <w:sz w:val="16"/>
                    <w:szCs w:val="16"/>
                  </w:rPr>
                  <w:t>Revisione straordinaria delle società</w:t>
                </w:r>
              </w:p>
            </w:txbxContent>
          </v:textbox>
          <w10:wrap anchorx="page" anchory="page"/>
        </v:shape>
      </w:pict>
    </w:r>
    <w:r>
      <w:rPr>
        <w:noProof/>
      </w:rPr>
      <w:pict>
        <v:shape id="Casella di testo 476" o:spid="_x0000_s4097" type="#_x0000_t202" style="position:absolute;left:0;text-align:left;margin-left:779.55pt;margin-top:29.9pt;width:62.35pt;height:13.8pt;z-index:25165926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" o:allowincell="f" fillcolor="#4f81bd" stroked="f">
          <v:textbox style="mso-fit-shape-to-text:t" inset=",0,,0">
            <w:txbxContent>
              <w:p w:rsidR="00BA540E" w:rsidRPr="009E66FB" w:rsidRDefault="00EB3A00">
                <w:pPr>
                  <w:rPr>
                    <w:rFonts w:ascii="Arial" w:hAnsi="Arial" w:cs="Arial"/>
                    <w:color w:val="FFFFFF"/>
                  </w:rPr>
                </w:pPr>
                <w:r w:rsidRPr="009E66FB">
                  <w:rPr>
                    <w:rFonts w:ascii="Arial" w:hAnsi="Arial" w:cs="Arial"/>
                  </w:rPr>
                  <w:fldChar w:fldCharType="begin"/>
                </w:r>
                <w:r w:rsidR="00BA540E" w:rsidRPr="009E66FB">
                  <w:rPr>
                    <w:rFonts w:ascii="Arial" w:hAnsi="Arial" w:cs="Arial"/>
                  </w:rPr>
                  <w:instrText>PAGE   \* MERGEFORMAT</w:instrText>
                </w:r>
                <w:r w:rsidRPr="009E66FB">
                  <w:rPr>
                    <w:rFonts w:ascii="Arial" w:hAnsi="Arial" w:cs="Arial"/>
                  </w:rPr>
                  <w:fldChar w:fldCharType="separate"/>
                </w:r>
                <w:r w:rsidR="00B20C10" w:rsidRPr="00B20C10">
                  <w:rPr>
                    <w:rFonts w:ascii="Arial" w:hAnsi="Arial" w:cs="Arial"/>
                    <w:noProof/>
                    <w:color w:val="FFFFFF"/>
                  </w:rPr>
                  <w:t>2</w:t>
                </w:r>
                <w:r w:rsidRPr="009E66FB">
                  <w:rPr>
                    <w:rFonts w:ascii="Arial" w:hAnsi="Arial" w:cs="Arial"/>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D1D90"/>
    <w:multiLevelType w:val="hybridMultilevel"/>
    <w:tmpl w:val="964C4550"/>
    <w:lvl w:ilvl="0" w:tplc="70A264C8">
      <w:start w:val="1"/>
      <w:numFmt w:val="decimal"/>
      <w:lvlText w:val="%1."/>
      <w:lvlJc w:val="left"/>
      <w:pPr>
        <w:tabs>
          <w:tab w:val="num" w:pos="720"/>
        </w:tabs>
        <w:ind w:left="720" w:hanging="360"/>
      </w:pPr>
      <w:rPr>
        <w:rFonts w:cs="Times New Roman" w:hint="default"/>
        <w:u w:val="none"/>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nsid w:val="25CF20D2"/>
    <w:multiLevelType w:val="hybridMultilevel"/>
    <w:tmpl w:val="36AE3BD2"/>
    <w:lvl w:ilvl="0" w:tplc="A90EFD3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6A84725"/>
    <w:multiLevelType w:val="hybridMultilevel"/>
    <w:tmpl w:val="CF185D64"/>
    <w:lvl w:ilvl="0" w:tplc="59A2F696">
      <w:start w:val="1"/>
      <w:numFmt w:val="lowerLetter"/>
      <w:lvlText w:val="%1)"/>
      <w:lvlJc w:val="left"/>
      <w:pPr>
        <w:ind w:left="720"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2B406349"/>
    <w:multiLevelType w:val="hybridMultilevel"/>
    <w:tmpl w:val="4A6210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2D5C4C65"/>
    <w:multiLevelType w:val="hybridMultilevel"/>
    <w:tmpl w:val="17C2CE26"/>
    <w:lvl w:ilvl="0" w:tplc="7698235A">
      <w:start w:val="1"/>
      <w:numFmt w:val="bullet"/>
      <w:lvlText w:val=""/>
      <w:lvlJc w:val="left"/>
      <w:pPr>
        <w:tabs>
          <w:tab w:val="num" w:pos="284"/>
        </w:tabs>
      </w:pPr>
      <w:rPr>
        <w:rFonts w:ascii="Symbol" w:hAnsi="Symbol" w:cs="Symbol"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nsid w:val="2DC063AD"/>
    <w:multiLevelType w:val="hybridMultilevel"/>
    <w:tmpl w:val="94EC8E30"/>
    <w:lvl w:ilvl="0" w:tplc="904E6E0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ECC0D2D"/>
    <w:multiLevelType w:val="hybridMultilevel"/>
    <w:tmpl w:val="EE4A34BA"/>
    <w:lvl w:ilvl="0" w:tplc="37B801EA">
      <w:start w:val="1"/>
      <w:numFmt w:val="decimal"/>
      <w:lvlText w:val="%1."/>
      <w:lvlJc w:val="left"/>
      <w:pPr>
        <w:ind w:left="720" w:hanging="360"/>
      </w:pPr>
      <w:rPr>
        <w:rFonts w:ascii="Bell MT" w:hAnsi="Bell MT"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0532954"/>
    <w:multiLevelType w:val="hybridMultilevel"/>
    <w:tmpl w:val="8B2C82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73531F8"/>
    <w:multiLevelType w:val="hybridMultilevel"/>
    <w:tmpl w:val="94EC8E30"/>
    <w:lvl w:ilvl="0" w:tplc="904E6E0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EA50E1B"/>
    <w:multiLevelType w:val="hybridMultilevel"/>
    <w:tmpl w:val="DF7C3B06"/>
    <w:lvl w:ilvl="0" w:tplc="69FED026">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400B33A6"/>
    <w:multiLevelType w:val="hybridMultilevel"/>
    <w:tmpl w:val="273208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26151F5"/>
    <w:multiLevelType w:val="hybridMultilevel"/>
    <w:tmpl w:val="E332A5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5AF0A27"/>
    <w:multiLevelType w:val="hybridMultilevel"/>
    <w:tmpl w:val="467A22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8E254A4"/>
    <w:multiLevelType w:val="hybridMultilevel"/>
    <w:tmpl w:val="9898A7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25F411E"/>
    <w:multiLevelType w:val="hybridMultilevel"/>
    <w:tmpl w:val="9898A7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8C83A31"/>
    <w:multiLevelType w:val="multilevel"/>
    <w:tmpl w:val="41BAC82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9C333C4"/>
    <w:multiLevelType w:val="hybridMultilevel"/>
    <w:tmpl w:val="49B88274"/>
    <w:lvl w:ilvl="0" w:tplc="CAA81DF2">
      <w:start w:val="1"/>
      <w:numFmt w:val="bullet"/>
      <w:lvlText w:val=""/>
      <w:lvlJc w:val="left"/>
      <w:pPr>
        <w:tabs>
          <w:tab w:val="num" w:pos="170"/>
        </w:tabs>
        <w:ind w:left="0" w:firstLine="0"/>
      </w:pPr>
      <w:rPr>
        <w:rFonts w:ascii="Symbol" w:hAnsi="Symbol" w:hint="default"/>
        <w:sz w:val="16"/>
        <w:szCs w:val="16"/>
      </w:rPr>
    </w:lvl>
    <w:lvl w:ilvl="1" w:tplc="9612A6AC">
      <w:start w:val="1"/>
      <w:numFmt w:val="bullet"/>
      <w:lvlText w:val=""/>
      <w:lvlJc w:val="left"/>
      <w:pPr>
        <w:tabs>
          <w:tab w:val="num" w:pos="360"/>
        </w:tabs>
        <w:ind w:left="0" w:firstLine="0"/>
      </w:pPr>
      <w:rPr>
        <w:rFonts w:ascii="Symbol" w:hAnsi="Symbol" w:hint="default"/>
        <w:sz w:val="16"/>
      </w:rPr>
    </w:lvl>
    <w:lvl w:ilvl="2" w:tplc="469C5B14">
      <w:start w:val="1"/>
      <w:numFmt w:val="decimal"/>
      <w:lvlText w:val="%3."/>
      <w:lvlJc w:val="left"/>
      <w:pPr>
        <w:tabs>
          <w:tab w:val="num" w:pos="1080"/>
        </w:tabs>
        <w:ind w:left="720" w:firstLine="0"/>
      </w:pPr>
      <w:rPr>
        <w:rFonts w:ascii="Arial" w:hAnsi="Arial" w:hint="default"/>
        <w:b/>
        <w:i w:val="0"/>
        <w:sz w:val="16"/>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7">
    <w:nsid w:val="6FE57FD1"/>
    <w:multiLevelType w:val="hybridMultilevel"/>
    <w:tmpl w:val="9898A7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9A0341B"/>
    <w:multiLevelType w:val="hybridMultilevel"/>
    <w:tmpl w:val="4168C3D4"/>
    <w:lvl w:ilvl="0" w:tplc="141AB1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C9E0CE8"/>
    <w:multiLevelType w:val="hybridMultilevel"/>
    <w:tmpl w:val="800A89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D2A00C4"/>
    <w:multiLevelType w:val="hybridMultilevel"/>
    <w:tmpl w:val="49C8CE20"/>
    <w:lvl w:ilvl="0" w:tplc="6708367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EAE1B32"/>
    <w:multiLevelType w:val="hybridMultilevel"/>
    <w:tmpl w:val="1AE04F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FA12391"/>
    <w:multiLevelType w:val="hybridMultilevel"/>
    <w:tmpl w:val="71903C82"/>
    <w:lvl w:ilvl="0" w:tplc="A7EA47C4">
      <w:start w:val="1"/>
      <w:numFmt w:val="lowerLetter"/>
      <w:lvlText w:val="%1)"/>
      <w:lvlJc w:val="left"/>
      <w:pPr>
        <w:ind w:left="720" w:hanging="360"/>
      </w:pPr>
      <w:rPr>
        <w:rFonts w:hint="default"/>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12"/>
  </w:num>
  <w:num w:numId="5">
    <w:abstractNumId w:val="11"/>
  </w:num>
  <w:num w:numId="6">
    <w:abstractNumId w:val="10"/>
  </w:num>
  <w:num w:numId="7">
    <w:abstractNumId w:val="15"/>
  </w:num>
  <w:num w:numId="8">
    <w:abstractNumId w:val="19"/>
  </w:num>
  <w:num w:numId="9">
    <w:abstractNumId w:val="21"/>
  </w:num>
  <w:num w:numId="10">
    <w:abstractNumId w:val="13"/>
  </w:num>
  <w:num w:numId="11">
    <w:abstractNumId w:val="17"/>
  </w:num>
  <w:num w:numId="12">
    <w:abstractNumId w:val="14"/>
  </w:num>
  <w:num w:numId="13">
    <w:abstractNumId w:val="16"/>
  </w:num>
  <w:num w:numId="14">
    <w:abstractNumId w:val="7"/>
  </w:num>
  <w:num w:numId="15">
    <w:abstractNumId w:val="9"/>
  </w:num>
  <w:num w:numId="16">
    <w:abstractNumId w:val="20"/>
  </w:num>
  <w:num w:numId="17">
    <w:abstractNumId w:val="8"/>
  </w:num>
  <w:num w:numId="18">
    <w:abstractNumId w:val="5"/>
  </w:num>
  <w:num w:numId="19">
    <w:abstractNumId w:val="22"/>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8"/>
  </w:num>
  <w:num w:numId="24">
    <w:abstractNumId w:val="0"/>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removePersonalInformation/>
  <w:removeDateAndTime/>
  <w:embedSystemFonts/>
  <w:proofState w:spelling="clean"/>
  <w:defaultTabStop w:val="708"/>
  <w:hyphenationZone w:val="283"/>
  <w:doNotHyphenateCaps/>
  <w:drawingGridHorizontalSpacing w:val="120"/>
  <w:displayHorizontalDrawingGridEvery w:val="2"/>
  <w:noPunctuationKerning/>
  <w:characterSpacingControl w:val="doNotCompress"/>
  <w:doNotValidateAgainstSchema/>
  <w:doNotDemarcateInvalidXml/>
  <w:hdrShapeDefaults>
    <o:shapedefaults v:ext="edit" spidmax="15362"/>
    <o:shapelayout v:ext="edit">
      <o:idmap v:ext="edit" data="4"/>
    </o:shapelayout>
  </w:hdrShapeDefaults>
  <w:footnotePr>
    <w:footnote w:id="-1"/>
    <w:footnote w:id="0"/>
  </w:footnotePr>
  <w:endnotePr>
    <w:endnote w:id="-1"/>
    <w:endnote w:id="0"/>
  </w:endnotePr>
  <w:compat/>
  <w:rsids>
    <w:rsidRoot w:val="00D05EB5"/>
    <w:rsid w:val="00000121"/>
    <w:rsid w:val="000021BC"/>
    <w:rsid w:val="00005299"/>
    <w:rsid w:val="00006FD6"/>
    <w:rsid w:val="0001220D"/>
    <w:rsid w:val="00015221"/>
    <w:rsid w:val="00016261"/>
    <w:rsid w:val="000177F5"/>
    <w:rsid w:val="000211B3"/>
    <w:rsid w:val="00022E1F"/>
    <w:rsid w:val="0002664A"/>
    <w:rsid w:val="00030DE7"/>
    <w:rsid w:val="00036C89"/>
    <w:rsid w:val="00041F10"/>
    <w:rsid w:val="00043D01"/>
    <w:rsid w:val="00044FF3"/>
    <w:rsid w:val="0005179D"/>
    <w:rsid w:val="00056084"/>
    <w:rsid w:val="00056E51"/>
    <w:rsid w:val="000575A5"/>
    <w:rsid w:val="000600B5"/>
    <w:rsid w:val="000611A0"/>
    <w:rsid w:val="00072D2C"/>
    <w:rsid w:val="00072D6C"/>
    <w:rsid w:val="00076B9B"/>
    <w:rsid w:val="00077F1D"/>
    <w:rsid w:val="000839D0"/>
    <w:rsid w:val="00091C37"/>
    <w:rsid w:val="00092B9B"/>
    <w:rsid w:val="00095328"/>
    <w:rsid w:val="0009591C"/>
    <w:rsid w:val="000A0D6E"/>
    <w:rsid w:val="000B0777"/>
    <w:rsid w:val="000B187A"/>
    <w:rsid w:val="000B20F4"/>
    <w:rsid w:val="000B5841"/>
    <w:rsid w:val="000B689C"/>
    <w:rsid w:val="000C1641"/>
    <w:rsid w:val="000D0410"/>
    <w:rsid w:val="000D08AB"/>
    <w:rsid w:val="000D0EEB"/>
    <w:rsid w:val="000D3727"/>
    <w:rsid w:val="000E17F3"/>
    <w:rsid w:val="000E4259"/>
    <w:rsid w:val="000F46F2"/>
    <w:rsid w:val="000F5732"/>
    <w:rsid w:val="000F679C"/>
    <w:rsid w:val="00104174"/>
    <w:rsid w:val="00106A73"/>
    <w:rsid w:val="001077D9"/>
    <w:rsid w:val="0011046C"/>
    <w:rsid w:val="00114D25"/>
    <w:rsid w:val="00115056"/>
    <w:rsid w:val="001177CC"/>
    <w:rsid w:val="00117FF2"/>
    <w:rsid w:val="00124A0E"/>
    <w:rsid w:val="0012589D"/>
    <w:rsid w:val="00125BFC"/>
    <w:rsid w:val="001340A9"/>
    <w:rsid w:val="00135F23"/>
    <w:rsid w:val="001400EC"/>
    <w:rsid w:val="001405F3"/>
    <w:rsid w:val="00140E5A"/>
    <w:rsid w:val="001538E2"/>
    <w:rsid w:val="00155FFB"/>
    <w:rsid w:val="00164614"/>
    <w:rsid w:val="0016633B"/>
    <w:rsid w:val="001669A1"/>
    <w:rsid w:val="00166F41"/>
    <w:rsid w:val="001711E7"/>
    <w:rsid w:val="00171B1C"/>
    <w:rsid w:val="00182874"/>
    <w:rsid w:val="0019570C"/>
    <w:rsid w:val="00197D26"/>
    <w:rsid w:val="001A100C"/>
    <w:rsid w:val="001A23D8"/>
    <w:rsid w:val="001A2DAE"/>
    <w:rsid w:val="001B1BBC"/>
    <w:rsid w:val="001B415B"/>
    <w:rsid w:val="001B41CB"/>
    <w:rsid w:val="001B5895"/>
    <w:rsid w:val="001B7D85"/>
    <w:rsid w:val="001C032A"/>
    <w:rsid w:val="001C04ED"/>
    <w:rsid w:val="001C3268"/>
    <w:rsid w:val="001C4EC7"/>
    <w:rsid w:val="001C7C33"/>
    <w:rsid w:val="001D548B"/>
    <w:rsid w:val="001D5FA0"/>
    <w:rsid w:val="001E2DA1"/>
    <w:rsid w:val="001E5794"/>
    <w:rsid w:val="001F301A"/>
    <w:rsid w:val="001F4B2D"/>
    <w:rsid w:val="001F4E37"/>
    <w:rsid w:val="001F6658"/>
    <w:rsid w:val="001F6E18"/>
    <w:rsid w:val="00200276"/>
    <w:rsid w:val="00201278"/>
    <w:rsid w:val="00203FBC"/>
    <w:rsid w:val="00205A84"/>
    <w:rsid w:val="0020704B"/>
    <w:rsid w:val="00207720"/>
    <w:rsid w:val="0021270C"/>
    <w:rsid w:val="0021435B"/>
    <w:rsid w:val="00215681"/>
    <w:rsid w:val="002176D1"/>
    <w:rsid w:val="002229A5"/>
    <w:rsid w:val="00222BFC"/>
    <w:rsid w:val="002368F7"/>
    <w:rsid w:val="0024521E"/>
    <w:rsid w:val="002604A1"/>
    <w:rsid w:val="002629B4"/>
    <w:rsid w:val="0026575F"/>
    <w:rsid w:val="00276E31"/>
    <w:rsid w:val="00285859"/>
    <w:rsid w:val="00286BCA"/>
    <w:rsid w:val="00286DAD"/>
    <w:rsid w:val="002871A1"/>
    <w:rsid w:val="00291BDD"/>
    <w:rsid w:val="00292EA4"/>
    <w:rsid w:val="0029365B"/>
    <w:rsid w:val="00294849"/>
    <w:rsid w:val="00294D25"/>
    <w:rsid w:val="002965B6"/>
    <w:rsid w:val="002A0C79"/>
    <w:rsid w:val="002A21B7"/>
    <w:rsid w:val="002A3B9D"/>
    <w:rsid w:val="002A6073"/>
    <w:rsid w:val="002A6087"/>
    <w:rsid w:val="002A7220"/>
    <w:rsid w:val="002A7277"/>
    <w:rsid w:val="002B2119"/>
    <w:rsid w:val="002B2EE4"/>
    <w:rsid w:val="002B452E"/>
    <w:rsid w:val="002B5081"/>
    <w:rsid w:val="002B5332"/>
    <w:rsid w:val="002B72E2"/>
    <w:rsid w:val="002C0680"/>
    <w:rsid w:val="002C1DCC"/>
    <w:rsid w:val="002C2A24"/>
    <w:rsid w:val="002C49A9"/>
    <w:rsid w:val="002C5623"/>
    <w:rsid w:val="002D1879"/>
    <w:rsid w:val="002E07FD"/>
    <w:rsid w:val="002E0CA7"/>
    <w:rsid w:val="002E1E4A"/>
    <w:rsid w:val="002E2092"/>
    <w:rsid w:val="002E60FF"/>
    <w:rsid w:val="002E7013"/>
    <w:rsid w:val="002F0473"/>
    <w:rsid w:val="002F5CE0"/>
    <w:rsid w:val="002F7AEC"/>
    <w:rsid w:val="00300168"/>
    <w:rsid w:val="00304D1F"/>
    <w:rsid w:val="00306B62"/>
    <w:rsid w:val="00311D69"/>
    <w:rsid w:val="003209BE"/>
    <w:rsid w:val="0032467B"/>
    <w:rsid w:val="003248E6"/>
    <w:rsid w:val="00324C69"/>
    <w:rsid w:val="0032750E"/>
    <w:rsid w:val="00335BC8"/>
    <w:rsid w:val="00340810"/>
    <w:rsid w:val="00351359"/>
    <w:rsid w:val="00352EF5"/>
    <w:rsid w:val="003537E9"/>
    <w:rsid w:val="00355F32"/>
    <w:rsid w:val="0035641D"/>
    <w:rsid w:val="003571EF"/>
    <w:rsid w:val="00363512"/>
    <w:rsid w:val="003647E3"/>
    <w:rsid w:val="00371735"/>
    <w:rsid w:val="0037203F"/>
    <w:rsid w:val="00372040"/>
    <w:rsid w:val="00380893"/>
    <w:rsid w:val="00381CFB"/>
    <w:rsid w:val="00383DE4"/>
    <w:rsid w:val="00386EDA"/>
    <w:rsid w:val="00390A73"/>
    <w:rsid w:val="003A7909"/>
    <w:rsid w:val="003B1C5B"/>
    <w:rsid w:val="003B3945"/>
    <w:rsid w:val="003B4BEE"/>
    <w:rsid w:val="003B50B1"/>
    <w:rsid w:val="003C2446"/>
    <w:rsid w:val="003C426D"/>
    <w:rsid w:val="003C6B1F"/>
    <w:rsid w:val="003C7291"/>
    <w:rsid w:val="003D1B53"/>
    <w:rsid w:val="003D2B3E"/>
    <w:rsid w:val="003D4767"/>
    <w:rsid w:val="003D4A71"/>
    <w:rsid w:val="003E1861"/>
    <w:rsid w:val="003E3A8C"/>
    <w:rsid w:val="003E6F8E"/>
    <w:rsid w:val="003F1C1A"/>
    <w:rsid w:val="003F303E"/>
    <w:rsid w:val="003F3C99"/>
    <w:rsid w:val="003F4643"/>
    <w:rsid w:val="003F47FC"/>
    <w:rsid w:val="003F77F8"/>
    <w:rsid w:val="003F7F7A"/>
    <w:rsid w:val="0040125D"/>
    <w:rsid w:val="00402753"/>
    <w:rsid w:val="0040326C"/>
    <w:rsid w:val="00405395"/>
    <w:rsid w:val="00407397"/>
    <w:rsid w:val="00415632"/>
    <w:rsid w:val="00426CA7"/>
    <w:rsid w:val="00430981"/>
    <w:rsid w:val="00430E8B"/>
    <w:rsid w:val="004357C2"/>
    <w:rsid w:val="004404EF"/>
    <w:rsid w:val="00440782"/>
    <w:rsid w:val="00444F3E"/>
    <w:rsid w:val="0044610A"/>
    <w:rsid w:val="004465AE"/>
    <w:rsid w:val="00447E98"/>
    <w:rsid w:val="00461AA1"/>
    <w:rsid w:val="0046484F"/>
    <w:rsid w:val="004737AD"/>
    <w:rsid w:val="00474B68"/>
    <w:rsid w:val="00476B59"/>
    <w:rsid w:val="0047760E"/>
    <w:rsid w:val="00482448"/>
    <w:rsid w:val="004851B9"/>
    <w:rsid w:val="004853D8"/>
    <w:rsid w:val="004860C5"/>
    <w:rsid w:val="004919AA"/>
    <w:rsid w:val="00496EE9"/>
    <w:rsid w:val="004A7AD7"/>
    <w:rsid w:val="004B0544"/>
    <w:rsid w:val="004B1623"/>
    <w:rsid w:val="004B25B7"/>
    <w:rsid w:val="004B73F4"/>
    <w:rsid w:val="004C0EB2"/>
    <w:rsid w:val="004C2DCC"/>
    <w:rsid w:val="004C3806"/>
    <w:rsid w:val="004C5348"/>
    <w:rsid w:val="004C5D63"/>
    <w:rsid w:val="004D57DD"/>
    <w:rsid w:val="004D6F8C"/>
    <w:rsid w:val="004E01A0"/>
    <w:rsid w:val="004E16B8"/>
    <w:rsid w:val="004E2144"/>
    <w:rsid w:val="004E3C2E"/>
    <w:rsid w:val="004E7DFF"/>
    <w:rsid w:val="004F3288"/>
    <w:rsid w:val="004F4043"/>
    <w:rsid w:val="004F4C93"/>
    <w:rsid w:val="004F57A7"/>
    <w:rsid w:val="00501902"/>
    <w:rsid w:val="005124A3"/>
    <w:rsid w:val="00517971"/>
    <w:rsid w:val="005214C0"/>
    <w:rsid w:val="00522466"/>
    <w:rsid w:val="00523783"/>
    <w:rsid w:val="0052683D"/>
    <w:rsid w:val="00532689"/>
    <w:rsid w:val="0053481D"/>
    <w:rsid w:val="00534F96"/>
    <w:rsid w:val="00541714"/>
    <w:rsid w:val="00544D5F"/>
    <w:rsid w:val="005508D1"/>
    <w:rsid w:val="00550BEE"/>
    <w:rsid w:val="0055497A"/>
    <w:rsid w:val="005559A1"/>
    <w:rsid w:val="005576E9"/>
    <w:rsid w:val="00560AF1"/>
    <w:rsid w:val="00561132"/>
    <w:rsid w:val="00565AA6"/>
    <w:rsid w:val="00565CC9"/>
    <w:rsid w:val="00572384"/>
    <w:rsid w:val="00577CF4"/>
    <w:rsid w:val="0058171D"/>
    <w:rsid w:val="00582087"/>
    <w:rsid w:val="005832A4"/>
    <w:rsid w:val="005879F0"/>
    <w:rsid w:val="00587E16"/>
    <w:rsid w:val="00593354"/>
    <w:rsid w:val="005A3103"/>
    <w:rsid w:val="005A5289"/>
    <w:rsid w:val="005A6B99"/>
    <w:rsid w:val="005A7228"/>
    <w:rsid w:val="005B4214"/>
    <w:rsid w:val="005B7DB1"/>
    <w:rsid w:val="005C36B2"/>
    <w:rsid w:val="005C659D"/>
    <w:rsid w:val="005D00BA"/>
    <w:rsid w:val="005D09F8"/>
    <w:rsid w:val="005D5371"/>
    <w:rsid w:val="005D559B"/>
    <w:rsid w:val="005E1778"/>
    <w:rsid w:val="005E3351"/>
    <w:rsid w:val="005E4682"/>
    <w:rsid w:val="005F014B"/>
    <w:rsid w:val="005F3128"/>
    <w:rsid w:val="005F48B5"/>
    <w:rsid w:val="005F5820"/>
    <w:rsid w:val="005F5F29"/>
    <w:rsid w:val="005F7803"/>
    <w:rsid w:val="00601408"/>
    <w:rsid w:val="00605FA8"/>
    <w:rsid w:val="0061132F"/>
    <w:rsid w:val="0061469A"/>
    <w:rsid w:val="00616450"/>
    <w:rsid w:val="00616D12"/>
    <w:rsid w:val="00626CB9"/>
    <w:rsid w:val="00627845"/>
    <w:rsid w:val="00627A70"/>
    <w:rsid w:val="00630487"/>
    <w:rsid w:val="00630F0D"/>
    <w:rsid w:val="006326ED"/>
    <w:rsid w:val="00632AAB"/>
    <w:rsid w:val="00633108"/>
    <w:rsid w:val="00637E87"/>
    <w:rsid w:val="006417D9"/>
    <w:rsid w:val="00642772"/>
    <w:rsid w:val="00644331"/>
    <w:rsid w:val="00650055"/>
    <w:rsid w:val="006500F4"/>
    <w:rsid w:val="006549FB"/>
    <w:rsid w:val="0065669B"/>
    <w:rsid w:val="00662A8A"/>
    <w:rsid w:val="00663F5F"/>
    <w:rsid w:val="006643E5"/>
    <w:rsid w:val="00664658"/>
    <w:rsid w:val="0066587C"/>
    <w:rsid w:val="00667804"/>
    <w:rsid w:val="00667B02"/>
    <w:rsid w:val="00672A41"/>
    <w:rsid w:val="00674436"/>
    <w:rsid w:val="00676C95"/>
    <w:rsid w:val="0068104F"/>
    <w:rsid w:val="006839EF"/>
    <w:rsid w:val="00691AAC"/>
    <w:rsid w:val="00694C19"/>
    <w:rsid w:val="0069673A"/>
    <w:rsid w:val="00697CF0"/>
    <w:rsid w:val="006A4D79"/>
    <w:rsid w:val="006A5F86"/>
    <w:rsid w:val="006A7E21"/>
    <w:rsid w:val="006B4D1D"/>
    <w:rsid w:val="006B6173"/>
    <w:rsid w:val="006C17C1"/>
    <w:rsid w:val="006C5B8F"/>
    <w:rsid w:val="006D0E2D"/>
    <w:rsid w:val="006D22E9"/>
    <w:rsid w:val="006E40D0"/>
    <w:rsid w:val="006E681D"/>
    <w:rsid w:val="006F09A8"/>
    <w:rsid w:val="006F1122"/>
    <w:rsid w:val="006F64F5"/>
    <w:rsid w:val="00700806"/>
    <w:rsid w:val="00700BA6"/>
    <w:rsid w:val="00701D3F"/>
    <w:rsid w:val="00701D77"/>
    <w:rsid w:val="00703E34"/>
    <w:rsid w:val="00712F16"/>
    <w:rsid w:val="00717B06"/>
    <w:rsid w:val="00717E6E"/>
    <w:rsid w:val="00721791"/>
    <w:rsid w:val="0072413B"/>
    <w:rsid w:val="00725DE4"/>
    <w:rsid w:val="0073357A"/>
    <w:rsid w:val="00735325"/>
    <w:rsid w:val="00741C32"/>
    <w:rsid w:val="00746CA7"/>
    <w:rsid w:val="00753F99"/>
    <w:rsid w:val="00756AF4"/>
    <w:rsid w:val="0076186D"/>
    <w:rsid w:val="00761AAE"/>
    <w:rsid w:val="00762663"/>
    <w:rsid w:val="00762A85"/>
    <w:rsid w:val="00762EFE"/>
    <w:rsid w:val="0076410B"/>
    <w:rsid w:val="00764B9F"/>
    <w:rsid w:val="007659C0"/>
    <w:rsid w:val="007709BD"/>
    <w:rsid w:val="00771FF2"/>
    <w:rsid w:val="007737E5"/>
    <w:rsid w:val="00774395"/>
    <w:rsid w:val="007754DC"/>
    <w:rsid w:val="0078326A"/>
    <w:rsid w:val="00784BB9"/>
    <w:rsid w:val="007851DC"/>
    <w:rsid w:val="00785FE0"/>
    <w:rsid w:val="00786548"/>
    <w:rsid w:val="00791E7B"/>
    <w:rsid w:val="007932A8"/>
    <w:rsid w:val="007963A0"/>
    <w:rsid w:val="00797AC2"/>
    <w:rsid w:val="00797F48"/>
    <w:rsid w:val="007A13EA"/>
    <w:rsid w:val="007A3D34"/>
    <w:rsid w:val="007A5571"/>
    <w:rsid w:val="007A763B"/>
    <w:rsid w:val="007B13F2"/>
    <w:rsid w:val="007B58D3"/>
    <w:rsid w:val="007B69DC"/>
    <w:rsid w:val="007B710D"/>
    <w:rsid w:val="007C0DA5"/>
    <w:rsid w:val="007C2C23"/>
    <w:rsid w:val="007C2FEF"/>
    <w:rsid w:val="007C56C1"/>
    <w:rsid w:val="007C5E11"/>
    <w:rsid w:val="007C6354"/>
    <w:rsid w:val="007D369D"/>
    <w:rsid w:val="007D44C3"/>
    <w:rsid w:val="007D63C2"/>
    <w:rsid w:val="007E04A8"/>
    <w:rsid w:val="007E0C26"/>
    <w:rsid w:val="007E4D52"/>
    <w:rsid w:val="007E75D2"/>
    <w:rsid w:val="007F223B"/>
    <w:rsid w:val="007F2E14"/>
    <w:rsid w:val="007F6E47"/>
    <w:rsid w:val="00810A99"/>
    <w:rsid w:val="00810BB7"/>
    <w:rsid w:val="0081229F"/>
    <w:rsid w:val="00812A00"/>
    <w:rsid w:val="00820516"/>
    <w:rsid w:val="00820AB1"/>
    <w:rsid w:val="00826312"/>
    <w:rsid w:val="00826FF6"/>
    <w:rsid w:val="00831D75"/>
    <w:rsid w:val="00831DE9"/>
    <w:rsid w:val="00842C65"/>
    <w:rsid w:val="008516EB"/>
    <w:rsid w:val="008525E6"/>
    <w:rsid w:val="00853CD4"/>
    <w:rsid w:val="008547E0"/>
    <w:rsid w:val="008633CB"/>
    <w:rsid w:val="008709AA"/>
    <w:rsid w:val="00870CDB"/>
    <w:rsid w:val="00871609"/>
    <w:rsid w:val="008750A9"/>
    <w:rsid w:val="00883649"/>
    <w:rsid w:val="00883739"/>
    <w:rsid w:val="00892091"/>
    <w:rsid w:val="008929F4"/>
    <w:rsid w:val="008975EB"/>
    <w:rsid w:val="008A0095"/>
    <w:rsid w:val="008A0E40"/>
    <w:rsid w:val="008A79DE"/>
    <w:rsid w:val="008B035D"/>
    <w:rsid w:val="008B13CF"/>
    <w:rsid w:val="008B18C4"/>
    <w:rsid w:val="008B3C4A"/>
    <w:rsid w:val="008B739D"/>
    <w:rsid w:val="008C0397"/>
    <w:rsid w:val="008C0901"/>
    <w:rsid w:val="008C2258"/>
    <w:rsid w:val="008D39AF"/>
    <w:rsid w:val="008D6B68"/>
    <w:rsid w:val="008E047F"/>
    <w:rsid w:val="008E413D"/>
    <w:rsid w:val="008E6C53"/>
    <w:rsid w:val="008F4FA9"/>
    <w:rsid w:val="008F72C2"/>
    <w:rsid w:val="00900967"/>
    <w:rsid w:val="00903836"/>
    <w:rsid w:val="00904060"/>
    <w:rsid w:val="009043DA"/>
    <w:rsid w:val="009051A1"/>
    <w:rsid w:val="00905DAB"/>
    <w:rsid w:val="00906997"/>
    <w:rsid w:val="00907494"/>
    <w:rsid w:val="00912BD1"/>
    <w:rsid w:val="00914ED1"/>
    <w:rsid w:val="00916F7E"/>
    <w:rsid w:val="0092262F"/>
    <w:rsid w:val="009315E9"/>
    <w:rsid w:val="009328D8"/>
    <w:rsid w:val="00932993"/>
    <w:rsid w:val="0093399B"/>
    <w:rsid w:val="00935317"/>
    <w:rsid w:val="00936008"/>
    <w:rsid w:val="009364C1"/>
    <w:rsid w:val="00937F73"/>
    <w:rsid w:val="00940AA7"/>
    <w:rsid w:val="009430F2"/>
    <w:rsid w:val="00951491"/>
    <w:rsid w:val="0095683C"/>
    <w:rsid w:val="009575F1"/>
    <w:rsid w:val="0095761B"/>
    <w:rsid w:val="0096006B"/>
    <w:rsid w:val="009606D7"/>
    <w:rsid w:val="00962EE6"/>
    <w:rsid w:val="00965049"/>
    <w:rsid w:val="00966A5B"/>
    <w:rsid w:val="00966F9B"/>
    <w:rsid w:val="0096757E"/>
    <w:rsid w:val="00973EE3"/>
    <w:rsid w:val="009770F9"/>
    <w:rsid w:val="00977C8E"/>
    <w:rsid w:val="00980EF9"/>
    <w:rsid w:val="009875EE"/>
    <w:rsid w:val="00987811"/>
    <w:rsid w:val="0098792A"/>
    <w:rsid w:val="00991E9F"/>
    <w:rsid w:val="00993A53"/>
    <w:rsid w:val="009A3230"/>
    <w:rsid w:val="009B1076"/>
    <w:rsid w:val="009B37E0"/>
    <w:rsid w:val="009B4293"/>
    <w:rsid w:val="009B5F12"/>
    <w:rsid w:val="009B6AAA"/>
    <w:rsid w:val="009C24F1"/>
    <w:rsid w:val="009C3A9E"/>
    <w:rsid w:val="009C4274"/>
    <w:rsid w:val="009C5FEC"/>
    <w:rsid w:val="009C7E98"/>
    <w:rsid w:val="009D1A30"/>
    <w:rsid w:val="009D49CF"/>
    <w:rsid w:val="009D50EF"/>
    <w:rsid w:val="009E0356"/>
    <w:rsid w:val="009E1E3C"/>
    <w:rsid w:val="009E63DF"/>
    <w:rsid w:val="009E66FB"/>
    <w:rsid w:val="009F2FBB"/>
    <w:rsid w:val="009F7872"/>
    <w:rsid w:val="00A02FBA"/>
    <w:rsid w:val="00A05877"/>
    <w:rsid w:val="00A07D9A"/>
    <w:rsid w:val="00A10605"/>
    <w:rsid w:val="00A12AAE"/>
    <w:rsid w:val="00A13CB3"/>
    <w:rsid w:val="00A15725"/>
    <w:rsid w:val="00A17FE1"/>
    <w:rsid w:val="00A23275"/>
    <w:rsid w:val="00A23A1F"/>
    <w:rsid w:val="00A241B6"/>
    <w:rsid w:val="00A30ADB"/>
    <w:rsid w:val="00A30B5F"/>
    <w:rsid w:val="00A31FCF"/>
    <w:rsid w:val="00A322F7"/>
    <w:rsid w:val="00A36624"/>
    <w:rsid w:val="00A36A8D"/>
    <w:rsid w:val="00A425D0"/>
    <w:rsid w:val="00A4378F"/>
    <w:rsid w:val="00A45885"/>
    <w:rsid w:val="00A471B4"/>
    <w:rsid w:val="00A51B20"/>
    <w:rsid w:val="00A605D7"/>
    <w:rsid w:val="00A64E5F"/>
    <w:rsid w:val="00A66C48"/>
    <w:rsid w:val="00A66EB1"/>
    <w:rsid w:val="00A71B92"/>
    <w:rsid w:val="00A71BB8"/>
    <w:rsid w:val="00A7655D"/>
    <w:rsid w:val="00A776FB"/>
    <w:rsid w:val="00AA1919"/>
    <w:rsid w:val="00AA56BD"/>
    <w:rsid w:val="00AB383F"/>
    <w:rsid w:val="00AB715B"/>
    <w:rsid w:val="00AD046F"/>
    <w:rsid w:val="00AD2503"/>
    <w:rsid w:val="00AE3C3C"/>
    <w:rsid w:val="00AE5B3C"/>
    <w:rsid w:val="00AE775F"/>
    <w:rsid w:val="00AF175E"/>
    <w:rsid w:val="00AF5933"/>
    <w:rsid w:val="00B022D6"/>
    <w:rsid w:val="00B066DC"/>
    <w:rsid w:val="00B07058"/>
    <w:rsid w:val="00B12E41"/>
    <w:rsid w:val="00B134E3"/>
    <w:rsid w:val="00B14385"/>
    <w:rsid w:val="00B20C10"/>
    <w:rsid w:val="00B3621C"/>
    <w:rsid w:val="00B36703"/>
    <w:rsid w:val="00B404F2"/>
    <w:rsid w:val="00B424C0"/>
    <w:rsid w:val="00B453B5"/>
    <w:rsid w:val="00B53D8E"/>
    <w:rsid w:val="00B558C6"/>
    <w:rsid w:val="00B5594F"/>
    <w:rsid w:val="00B562E9"/>
    <w:rsid w:val="00B57D0E"/>
    <w:rsid w:val="00B642C5"/>
    <w:rsid w:val="00B65505"/>
    <w:rsid w:val="00B75E73"/>
    <w:rsid w:val="00B85C60"/>
    <w:rsid w:val="00B85D97"/>
    <w:rsid w:val="00B91D9C"/>
    <w:rsid w:val="00B95266"/>
    <w:rsid w:val="00BA0408"/>
    <w:rsid w:val="00BA0854"/>
    <w:rsid w:val="00BA226F"/>
    <w:rsid w:val="00BA3131"/>
    <w:rsid w:val="00BA540E"/>
    <w:rsid w:val="00BB1426"/>
    <w:rsid w:val="00BB2252"/>
    <w:rsid w:val="00BC071F"/>
    <w:rsid w:val="00BC33AF"/>
    <w:rsid w:val="00BC6D38"/>
    <w:rsid w:val="00BD419D"/>
    <w:rsid w:val="00BD639D"/>
    <w:rsid w:val="00BD7FD2"/>
    <w:rsid w:val="00BE16C5"/>
    <w:rsid w:val="00BE1F55"/>
    <w:rsid w:val="00BE285B"/>
    <w:rsid w:val="00BE52DC"/>
    <w:rsid w:val="00BF062D"/>
    <w:rsid w:val="00BF25C4"/>
    <w:rsid w:val="00BF7967"/>
    <w:rsid w:val="00C019E6"/>
    <w:rsid w:val="00C05404"/>
    <w:rsid w:val="00C05745"/>
    <w:rsid w:val="00C13B33"/>
    <w:rsid w:val="00C20012"/>
    <w:rsid w:val="00C21D74"/>
    <w:rsid w:val="00C23187"/>
    <w:rsid w:val="00C24893"/>
    <w:rsid w:val="00C36B71"/>
    <w:rsid w:val="00C36E0B"/>
    <w:rsid w:val="00C44668"/>
    <w:rsid w:val="00C505F9"/>
    <w:rsid w:val="00C5557A"/>
    <w:rsid w:val="00C55FFA"/>
    <w:rsid w:val="00C57664"/>
    <w:rsid w:val="00C64983"/>
    <w:rsid w:val="00C73AD3"/>
    <w:rsid w:val="00C76074"/>
    <w:rsid w:val="00C760AF"/>
    <w:rsid w:val="00C76CC3"/>
    <w:rsid w:val="00C8085E"/>
    <w:rsid w:val="00C81AD5"/>
    <w:rsid w:val="00C828DE"/>
    <w:rsid w:val="00C82E6E"/>
    <w:rsid w:val="00C83B1C"/>
    <w:rsid w:val="00C8519B"/>
    <w:rsid w:val="00C9037F"/>
    <w:rsid w:val="00C9411B"/>
    <w:rsid w:val="00C95882"/>
    <w:rsid w:val="00C966B8"/>
    <w:rsid w:val="00CA0D49"/>
    <w:rsid w:val="00CA3655"/>
    <w:rsid w:val="00CA3A45"/>
    <w:rsid w:val="00CA55DE"/>
    <w:rsid w:val="00CB589D"/>
    <w:rsid w:val="00CB5BF5"/>
    <w:rsid w:val="00CC0C74"/>
    <w:rsid w:val="00CC1526"/>
    <w:rsid w:val="00CC3737"/>
    <w:rsid w:val="00CD62F6"/>
    <w:rsid w:val="00CE4B48"/>
    <w:rsid w:val="00CF3B05"/>
    <w:rsid w:val="00CF59BC"/>
    <w:rsid w:val="00D05EB5"/>
    <w:rsid w:val="00D069C2"/>
    <w:rsid w:val="00D0733F"/>
    <w:rsid w:val="00D07709"/>
    <w:rsid w:val="00D07798"/>
    <w:rsid w:val="00D116A1"/>
    <w:rsid w:val="00D136BF"/>
    <w:rsid w:val="00D22ACE"/>
    <w:rsid w:val="00D24BCC"/>
    <w:rsid w:val="00D260EC"/>
    <w:rsid w:val="00D32107"/>
    <w:rsid w:val="00D35758"/>
    <w:rsid w:val="00D40E56"/>
    <w:rsid w:val="00D41AC6"/>
    <w:rsid w:val="00D43946"/>
    <w:rsid w:val="00D50836"/>
    <w:rsid w:val="00D50ACD"/>
    <w:rsid w:val="00D5708C"/>
    <w:rsid w:val="00D6645E"/>
    <w:rsid w:val="00D67ABD"/>
    <w:rsid w:val="00D67C8B"/>
    <w:rsid w:val="00D70806"/>
    <w:rsid w:val="00D70CF6"/>
    <w:rsid w:val="00D70F77"/>
    <w:rsid w:val="00D71E34"/>
    <w:rsid w:val="00D71E99"/>
    <w:rsid w:val="00D73F72"/>
    <w:rsid w:val="00D7708A"/>
    <w:rsid w:val="00D83E23"/>
    <w:rsid w:val="00D849ED"/>
    <w:rsid w:val="00D85517"/>
    <w:rsid w:val="00D90480"/>
    <w:rsid w:val="00D966E8"/>
    <w:rsid w:val="00DA13D7"/>
    <w:rsid w:val="00DB346D"/>
    <w:rsid w:val="00DB5319"/>
    <w:rsid w:val="00DC01B4"/>
    <w:rsid w:val="00DC4AD5"/>
    <w:rsid w:val="00DC5CCD"/>
    <w:rsid w:val="00DC608B"/>
    <w:rsid w:val="00DD10EF"/>
    <w:rsid w:val="00DD1DB6"/>
    <w:rsid w:val="00DD6DEC"/>
    <w:rsid w:val="00DE25EB"/>
    <w:rsid w:val="00DE2755"/>
    <w:rsid w:val="00DE5709"/>
    <w:rsid w:val="00DF1475"/>
    <w:rsid w:val="00DF28FC"/>
    <w:rsid w:val="00DF2F51"/>
    <w:rsid w:val="00DF5F8B"/>
    <w:rsid w:val="00E02461"/>
    <w:rsid w:val="00E04325"/>
    <w:rsid w:val="00E14B21"/>
    <w:rsid w:val="00E14E54"/>
    <w:rsid w:val="00E156A4"/>
    <w:rsid w:val="00E17789"/>
    <w:rsid w:val="00E21F32"/>
    <w:rsid w:val="00E26948"/>
    <w:rsid w:val="00E26D2F"/>
    <w:rsid w:val="00E35303"/>
    <w:rsid w:val="00E37FF3"/>
    <w:rsid w:val="00E42184"/>
    <w:rsid w:val="00E504F3"/>
    <w:rsid w:val="00E52100"/>
    <w:rsid w:val="00E62AA1"/>
    <w:rsid w:val="00E67EB6"/>
    <w:rsid w:val="00E7112C"/>
    <w:rsid w:val="00E72840"/>
    <w:rsid w:val="00E8089F"/>
    <w:rsid w:val="00E82876"/>
    <w:rsid w:val="00E848D9"/>
    <w:rsid w:val="00E9328C"/>
    <w:rsid w:val="00E9535A"/>
    <w:rsid w:val="00E9699E"/>
    <w:rsid w:val="00E96B67"/>
    <w:rsid w:val="00E97A4F"/>
    <w:rsid w:val="00EB3A00"/>
    <w:rsid w:val="00EB6B3E"/>
    <w:rsid w:val="00EB7C13"/>
    <w:rsid w:val="00EC54CC"/>
    <w:rsid w:val="00EC5D45"/>
    <w:rsid w:val="00ED1600"/>
    <w:rsid w:val="00ED1E89"/>
    <w:rsid w:val="00ED39AB"/>
    <w:rsid w:val="00ED421F"/>
    <w:rsid w:val="00ED5C71"/>
    <w:rsid w:val="00ED5CE1"/>
    <w:rsid w:val="00EE08E0"/>
    <w:rsid w:val="00EE3C98"/>
    <w:rsid w:val="00EE72FE"/>
    <w:rsid w:val="00EE78FA"/>
    <w:rsid w:val="00EF3B99"/>
    <w:rsid w:val="00EF4C07"/>
    <w:rsid w:val="00F01035"/>
    <w:rsid w:val="00F064DD"/>
    <w:rsid w:val="00F07534"/>
    <w:rsid w:val="00F07995"/>
    <w:rsid w:val="00F149B8"/>
    <w:rsid w:val="00F16BB3"/>
    <w:rsid w:val="00F16CB5"/>
    <w:rsid w:val="00F21FB1"/>
    <w:rsid w:val="00F25DDF"/>
    <w:rsid w:val="00F315AC"/>
    <w:rsid w:val="00F31AFA"/>
    <w:rsid w:val="00F332DA"/>
    <w:rsid w:val="00F3406D"/>
    <w:rsid w:val="00F3628A"/>
    <w:rsid w:val="00F4028D"/>
    <w:rsid w:val="00F473A9"/>
    <w:rsid w:val="00F47DD8"/>
    <w:rsid w:val="00F50CA2"/>
    <w:rsid w:val="00F545F1"/>
    <w:rsid w:val="00F625BF"/>
    <w:rsid w:val="00F625F4"/>
    <w:rsid w:val="00F6374E"/>
    <w:rsid w:val="00F6430A"/>
    <w:rsid w:val="00F72B78"/>
    <w:rsid w:val="00F745B0"/>
    <w:rsid w:val="00F8021C"/>
    <w:rsid w:val="00F8140E"/>
    <w:rsid w:val="00F82EBF"/>
    <w:rsid w:val="00F845F9"/>
    <w:rsid w:val="00F927CE"/>
    <w:rsid w:val="00F931C3"/>
    <w:rsid w:val="00F94E94"/>
    <w:rsid w:val="00F95C02"/>
    <w:rsid w:val="00F962F0"/>
    <w:rsid w:val="00F965C7"/>
    <w:rsid w:val="00F96E8D"/>
    <w:rsid w:val="00FA560B"/>
    <w:rsid w:val="00FA7E86"/>
    <w:rsid w:val="00FB1BDE"/>
    <w:rsid w:val="00FB203E"/>
    <w:rsid w:val="00FB2556"/>
    <w:rsid w:val="00FB37FE"/>
    <w:rsid w:val="00FB4364"/>
    <w:rsid w:val="00FC2B91"/>
    <w:rsid w:val="00FD29D8"/>
    <w:rsid w:val="00FD4805"/>
    <w:rsid w:val="00FE01B7"/>
    <w:rsid w:val="00FE24FE"/>
    <w:rsid w:val="00FE7567"/>
    <w:rsid w:val="00FF18D0"/>
    <w:rsid w:val="00FF4FAE"/>
    <w:rsid w:val="00FF5340"/>
    <w:rsid w:val="00FF6448"/>
    <w:rsid w:val="00FF71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EE3C98"/>
    <w:rPr>
      <w:sz w:val="24"/>
      <w:szCs w:val="24"/>
    </w:rPr>
  </w:style>
  <w:style w:type="paragraph" w:styleId="Titolo1">
    <w:name w:val="heading 1"/>
    <w:basedOn w:val="Normale"/>
    <w:next w:val="Normale"/>
    <w:link w:val="Titolo1Carattere"/>
    <w:uiPriority w:val="99"/>
    <w:qFormat/>
    <w:rsid w:val="00627845"/>
    <w:pPr>
      <w:keepNext/>
      <w:spacing w:before="240" w:after="60"/>
      <w:outlineLvl w:val="0"/>
    </w:pPr>
    <w:rPr>
      <w:rFonts w:ascii="Cambria" w:hAnsi="Cambria" w:cs="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27845"/>
    <w:rPr>
      <w:rFonts w:ascii="Cambria" w:hAnsi="Cambria" w:cs="Cambria"/>
      <w:b/>
      <w:bCs/>
      <w:kern w:val="32"/>
      <w:sz w:val="32"/>
      <w:szCs w:val="32"/>
    </w:rPr>
  </w:style>
  <w:style w:type="character" w:styleId="Collegamentoipertestuale">
    <w:name w:val="Hyperlink"/>
    <w:basedOn w:val="Carpredefinitoparagrafo"/>
    <w:uiPriority w:val="99"/>
    <w:rsid w:val="00EE3C98"/>
    <w:rPr>
      <w:color w:val="0000FF"/>
      <w:u w:val="single"/>
    </w:rPr>
  </w:style>
  <w:style w:type="paragraph" w:styleId="Corpodeltesto">
    <w:name w:val="Body Text"/>
    <w:basedOn w:val="Normale"/>
    <w:link w:val="CorpodeltestoCarattere"/>
    <w:uiPriority w:val="99"/>
    <w:rsid w:val="00EE3C98"/>
    <w:pPr>
      <w:jc w:val="center"/>
    </w:pPr>
    <w:rPr>
      <w:rFonts w:ascii="Arial" w:hAnsi="Arial" w:cs="Arial"/>
      <w:sz w:val="22"/>
      <w:szCs w:val="22"/>
    </w:rPr>
  </w:style>
  <w:style w:type="character" w:customStyle="1" w:styleId="CorpodeltestoCarattere">
    <w:name w:val="Corpo del testo Carattere"/>
    <w:basedOn w:val="Carpredefinitoparagrafo"/>
    <w:link w:val="Corpodeltesto"/>
    <w:uiPriority w:val="99"/>
    <w:semiHidden/>
    <w:rsid w:val="00061CB3"/>
    <w:rPr>
      <w:sz w:val="24"/>
      <w:szCs w:val="24"/>
    </w:rPr>
  </w:style>
  <w:style w:type="paragraph" w:styleId="Titolo">
    <w:name w:val="Title"/>
    <w:basedOn w:val="Normale"/>
    <w:link w:val="TitoloCarattere"/>
    <w:uiPriority w:val="99"/>
    <w:qFormat/>
    <w:rsid w:val="00EE3C98"/>
    <w:pPr>
      <w:jc w:val="center"/>
    </w:pPr>
    <w:rPr>
      <w:rFonts w:ascii="Arial" w:hAnsi="Arial" w:cs="Arial"/>
      <w:sz w:val="48"/>
      <w:szCs w:val="48"/>
    </w:rPr>
  </w:style>
  <w:style w:type="character" w:customStyle="1" w:styleId="TitoloCarattere">
    <w:name w:val="Titolo Carattere"/>
    <w:basedOn w:val="Carpredefinitoparagrafo"/>
    <w:link w:val="Titolo"/>
    <w:uiPriority w:val="10"/>
    <w:rsid w:val="00061CB3"/>
    <w:rPr>
      <w:rFonts w:asciiTheme="majorHAnsi" w:eastAsiaTheme="majorEastAsia" w:hAnsiTheme="majorHAnsi" w:cstheme="majorBidi"/>
      <w:b/>
      <w:bCs/>
      <w:kern w:val="28"/>
      <w:sz w:val="32"/>
      <w:szCs w:val="32"/>
    </w:rPr>
  </w:style>
  <w:style w:type="paragraph" w:styleId="NormaleWeb">
    <w:name w:val="Normal (Web)"/>
    <w:basedOn w:val="Normale"/>
    <w:uiPriority w:val="99"/>
    <w:rsid w:val="00A241B6"/>
    <w:pPr>
      <w:spacing w:before="100" w:beforeAutospacing="1" w:after="100" w:afterAutospacing="1"/>
    </w:pPr>
  </w:style>
  <w:style w:type="character" w:customStyle="1" w:styleId="provvnumart1">
    <w:name w:val="provv_numart1"/>
    <w:uiPriority w:val="99"/>
    <w:rsid w:val="00A241B6"/>
    <w:rPr>
      <w:rFonts w:ascii="Verdana" w:hAnsi="Verdana" w:cs="Verdana"/>
      <w:b/>
      <w:bCs/>
    </w:rPr>
  </w:style>
  <w:style w:type="character" w:customStyle="1" w:styleId="provvrubrica1">
    <w:name w:val="provv_rubrica1"/>
    <w:uiPriority w:val="99"/>
    <w:rsid w:val="00A241B6"/>
    <w:rPr>
      <w:rFonts w:ascii="Verdana" w:hAnsi="Verdana" w:cs="Verdana"/>
      <w:i/>
      <w:iCs/>
    </w:rPr>
  </w:style>
  <w:style w:type="paragraph" w:customStyle="1" w:styleId="provvr01">
    <w:name w:val="provv_r01"/>
    <w:basedOn w:val="Normale"/>
    <w:uiPriority w:val="99"/>
    <w:rsid w:val="00A241B6"/>
    <w:pPr>
      <w:spacing w:before="100" w:beforeAutospacing="1" w:after="100" w:afterAutospacing="1"/>
      <w:jc w:val="both"/>
    </w:pPr>
    <w:rPr>
      <w:rFonts w:ascii="Verdana" w:hAnsi="Verdana" w:cs="Verdana"/>
    </w:rPr>
  </w:style>
  <w:style w:type="paragraph" w:styleId="Testonotaapidipagina">
    <w:name w:val="footnote text"/>
    <w:basedOn w:val="Normale"/>
    <w:link w:val="TestonotaapidipaginaCarattere"/>
    <w:uiPriority w:val="99"/>
    <w:semiHidden/>
    <w:rsid w:val="003F1C1A"/>
    <w:rPr>
      <w:sz w:val="20"/>
      <w:szCs w:val="20"/>
    </w:rPr>
  </w:style>
  <w:style w:type="character" w:customStyle="1" w:styleId="TestonotaapidipaginaCarattere">
    <w:name w:val="Testo nota a piè di pagina Carattere"/>
    <w:basedOn w:val="Carpredefinitoparagrafo"/>
    <w:link w:val="Testonotaapidipagina"/>
    <w:uiPriority w:val="99"/>
    <w:semiHidden/>
    <w:rsid w:val="00061CB3"/>
    <w:rPr>
      <w:sz w:val="20"/>
      <w:szCs w:val="20"/>
    </w:rPr>
  </w:style>
  <w:style w:type="character" w:styleId="Rimandonotaapidipagina">
    <w:name w:val="footnote reference"/>
    <w:basedOn w:val="Carpredefinitoparagrafo"/>
    <w:uiPriority w:val="99"/>
    <w:semiHidden/>
    <w:rsid w:val="003F1C1A"/>
    <w:rPr>
      <w:vertAlign w:val="superscript"/>
    </w:rPr>
  </w:style>
  <w:style w:type="paragraph" w:styleId="Testofumetto">
    <w:name w:val="Balloon Text"/>
    <w:basedOn w:val="Normale"/>
    <w:link w:val="TestofumettoCarattere"/>
    <w:uiPriority w:val="99"/>
    <w:semiHidden/>
    <w:rsid w:val="00C83B1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1CB3"/>
    <w:rPr>
      <w:sz w:val="0"/>
      <w:szCs w:val="0"/>
    </w:rPr>
  </w:style>
  <w:style w:type="character" w:customStyle="1" w:styleId="linkneltesto">
    <w:name w:val="link_nel_testo"/>
    <w:uiPriority w:val="99"/>
    <w:rsid w:val="002871A1"/>
    <w:rPr>
      <w:i/>
      <w:iCs/>
    </w:rPr>
  </w:style>
  <w:style w:type="paragraph" w:customStyle="1" w:styleId="provvr0">
    <w:name w:val="provv_r0"/>
    <w:basedOn w:val="Normale"/>
    <w:uiPriority w:val="99"/>
    <w:rsid w:val="004E16B8"/>
    <w:pPr>
      <w:spacing w:before="100" w:beforeAutospacing="1" w:after="100" w:afterAutospacing="1"/>
      <w:jc w:val="both"/>
    </w:pPr>
  </w:style>
  <w:style w:type="paragraph" w:customStyle="1" w:styleId="provvr1">
    <w:name w:val="provv_r1"/>
    <w:basedOn w:val="Normale"/>
    <w:uiPriority w:val="99"/>
    <w:rsid w:val="009875EE"/>
    <w:pPr>
      <w:spacing w:before="100" w:beforeAutospacing="1" w:after="100" w:afterAutospacing="1"/>
      <w:ind w:firstLine="400"/>
      <w:jc w:val="both"/>
    </w:pPr>
  </w:style>
  <w:style w:type="paragraph" w:customStyle="1" w:styleId="provvr2">
    <w:name w:val="provv_r2"/>
    <w:basedOn w:val="Normale"/>
    <w:uiPriority w:val="99"/>
    <w:rsid w:val="009875EE"/>
    <w:pPr>
      <w:spacing w:before="100" w:beforeAutospacing="1" w:after="100" w:afterAutospacing="1"/>
      <w:ind w:firstLine="600"/>
      <w:jc w:val="both"/>
    </w:pPr>
  </w:style>
  <w:style w:type="character" w:customStyle="1" w:styleId="provvnumcomma">
    <w:name w:val="provv_numcomma"/>
    <w:uiPriority w:val="99"/>
    <w:rsid w:val="00DC01B4"/>
  </w:style>
  <w:style w:type="paragraph" w:styleId="Paragrafoelenco">
    <w:name w:val="List Paragraph"/>
    <w:basedOn w:val="Normale"/>
    <w:uiPriority w:val="34"/>
    <w:qFormat/>
    <w:rsid w:val="002C2A24"/>
    <w:pPr>
      <w:spacing w:after="200" w:line="276" w:lineRule="auto"/>
      <w:ind w:left="720"/>
    </w:pPr>
    <w:rPr>
      <w:rFonts w:ascii="Calibri" w:hAnsi="Calibri" w:cs="Calibri"/>
      <w:sz w:val="22"/>
      <w:szCs w:val="22"/>
      <w:lang w:eastAsia="en-US"/>
    </w:rPr>
  </w:style>
  <w:style w:type="character" w:styleId="Numeroriga">
    <w:name w:val="line number"/>
    <w:basedOn w:val="Carpredefinitoparagrafo"/>
    <w:uiPriority w:val="99"/>
    <w:rsid w:val="007B58D3"/>
  </w:style>
  <w:style w:type="paragraph" w:styleId="Intestazione">
    <w:name w:val="header"/>
    <w:basedOn w:val="Normale"/>
    <w:link w:val="IntestazioneCarattere"/>
    <w:uiPriority w:val="99"/>
    <w:rsid w:val="007B5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7B58D3"/>
    <w:rPr>
      <w:sz w:val="24"/>
      <w:szCs w:val="24"/>
    </w:rPr>
  </w:style>
  <w:style w:type="paragraph" w:styleId="Pidipagina">
    <w:name w:val="footer"/>
    <w:basedOn w:val="Normale"/>
    <w:link w:val="PidipaginaCarattere"/>
    <w:uiPriority w:val="99"/>
    <w:rsid w:val="007B58D3"/>
    <w:pPr>
      <w:tabs>
        <w:tab w:val="center" w:pos="4819"/>
        <w:tab w:val="right" w:pos="9638"/>
      </w:tabs>
    </w:pPr>
  </w:style>
  <w:style w:type="character" w:customStyle="1" w:styleId="PidipaginaCarattere">
    <w:name w:val="Piè di pagina Carattere"/>
    <w:basedOn w:val="Carpredefinitoparagrafo"/>
    <w:link w:val="Pidipagina"/>
    <w:uiPriority w:val="99"/>
    <w:locked/>
    <w:rsid w:val="007B58D3"/>
    <w:rPr>
      <w:sz w:val="24"/>
      <w:szCs w:val="24"/>
    </w:rPr>
  </w:style>
  <w:style w:type="paragraph" w:styleId="Corpodeltesto2">
    <w:name w:val="Body Text 2"/>
    <w:basedOn w:val="Normale"/>
    <w:link w:val="Corpodeltesto2Carattere"/>
    <w:uiPriority w:val="99"/>
    <w:rsid w:val="004465AE"/>
    <w:pPr>
      <w:spacing w:after="120" w:line="480" w:lineRule="auto"/>
    </w:pPr>
  </w:style>
  <w:style w:type="character" w:customStyle="1" w:styleId="Corpodeltesto2Carattere">
    <w:name w:val="Corpo del testo 2 Carattere"/>
    <w:basedOn w:val="Carpredefinitoparagrafo"/>
    <w:link w:val="Corpodeltesto2"/>
    <w:uiPriority w:val="99"/>
    <w:semiHidden/>
    <w:rsid w:val="00061CB3"/>
    <w:rPr>
      <w:sz w:val="24"/>
      <w:szCs w:val="24"/>
    </w:rPr>
  </w:style>
  <w:style w:type="table" w:styleId="Grigliatabella">
    <w:name w:val="Table Grid"/>
    <w:basedOn w:val="Tabellanormale"/>
    <w:uiPriority w:val="59"/>
    <w:rsid w:val="00980E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uiPriority w:val="99"/>
    <w:rsid w:val="003C2446"/>
  </w:style>
  <w:style w:type="paragraph" w:styleId="Nessunaspaziatura">
    <w:name w:val="No Spacing"/>
    <w:link w:val="NessunaspaziaturaCarattere"/>
    <w:uiPriority w:val="99"/>
    <w:qFormat/>
    <w:rsid w:val="00D22ACE"/>
    <w:rPr>
      <w:rFonts w:ascii="Calibri" w:hAnsi="Calibri" w:cs="Calibri"/>
      <w:lang w:eastAsia="en-US"/>
    </w:rPr>
  </w:style>
  <w:style w:type="character" w:customStyle="1" w:styleId="NessunaspaziaturaCarattere">
    <w:name w:val="Nessuna spaziatura Carattere"/>
    <w:link w:val="Nessunaspaziatura"/>
    <w:uiPriority w:val="99"/>
    <w:locked/>
    <w:rsid w:val="00D22ACE"/>
    <w:rPr>
      <w:rFonts w:ascii="Calibri" w:hAnsi="Calibri" w:cs="Calibri"/>
      <w:sz w:val="22"/>
      <w:szCs w:val="22"/>
      <w:lang w:val="it-IT" w:eastAsia="en-US"/>
    </w:rPr>
  </w:style>
  <w:style w:type="paragraph" w:styleId="Titolosommario">
    <w:name w:val="TOC Heading"/>
    <w:basedOn w:val="Titolo1"/>
    <w:next w:val="Normale"/>
    <w:uiPriority w:val="39"/>
    <w:qFormat/>
    <w:rsid w:val="00627845"/>
    <w:pPr>
      <w:keepLines/>
      <w:spacing w:before="480" w:after="0" w:line="276" w:lineRule="auto"/>
      <w:outlineLvl w:val="9"/>
    </w:pPr>
    <w:rPr>
      <w:color w:val="365F91"/>
      <w:kern w:val="0"/>
      <w:sz w:val="28"/>
      <w:szCs w:val="28"/>
      <w:lang w:eastAsia="en-US"/>
    </w:rPr>
  </w:style>
  <w:style w:type="table" w:styleId="Tabellacontemporanea">
    <w:name w:val="Table Contemporary"/>
    <w:basedOn w:val="Tabellanormale"/>
    <w:uiPriority w:val="99"/>
    <w:rsid w:val="007D369D"/>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colonne5">
    <w:name w:val="Table Columns 5"/>
    <w:basedOn w:val="Tabellanormale"/>
    <w:uiPriority w:val="99"/>
    <w:rsid w:val="007D369D"/>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ombreggiatura1">
    <w:name w:val="Table Subtle 1"/>
    <w:basedOn w:val="Tabellanormale"/>
    <w:uiPriority w:val="99"/>
    <w:rsid w:val="007D369D"/>
    <w:rPr>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rsid w:val="007D369D"/>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rsid w:val="007D36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chiara-Colore5">
    <w:name w:val="Light Grid Accent 5"/>
    <w:basedOn w:val="Tabellanormale"/>
    <w:uiPriority w:val="99"/>
    <w:rsid w:val="007D369D"/>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Cambr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Tabellaeffetti3D1">
    <w:name w:val="Table 3D effects 1"/>
    <w:basedOn w:val="Tabellanormale"/>
    <w:uiPriority w:val="99"/>
    <w:rsid w:val="007D369D"/>
    <w:rPr>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colonne2">
    <w:name w:val="Table Columns 2"/>
    <w:basedOn w:val="Tabellanormale"/>
    <w:uiPriority w:val="99"/>
    <w:rsid w:val="007D369D"/>
    <w:rPr>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itoloA">
    <w:name w:val="Titolo A"/>
    <w:basedOn w:val="Normale"/>
    <w:uiPriority w:val="99"/>
    <w:rsid w:val="00B424C0"/>
    <w:pPr>
      <w:spacing w:line="360" w:lineRule="auto"/>
      <w:ind w:right="567"/>
      <w:jc w:val="center"/>
    </w:pPr>
    <w:rPr>
      <w:rFonts w:ascii="Arial" w:hAnsi="Arial" w:cs="Arial"/>
      <w:b/>
      <w:bCs/>
      <w:sz w:val="32"/>
      <w:szCs w:val="32"/>
    </w:rPr>
  </w:style>
  <w:style w:type="paragraph" w:customStyle="1" w:styleId="TitoloB">
    <w:name w:val="Titolo B"/>
    <w:basedOn w:val="Normale"/>
    <w:uiPriority w:val="99"/>
    <w:rsid w:val="008B035D"/>
    <w:pPr>
      <w:spacing w:after="120" w:line="360" w:lineRule="auto"/>
      <w:ind w:right="567"/>
    </w:pPr>
    <w:rPr>
      <w:rFonts w:ascii="Arial" w:hAnsi="Arial" w:cs="Arial"/>
      <w:b/>
      <w:bCs/>
      <w:sz w:val="22"/>
      <w:szCs w:val="22"/>
    </w:rPr>
  </w:style>
  <w:style w:type="paragraph" w:customStyle="1" w:styleId="TitoloC">
    <w:name w:val="Titolo C"/>
    <w:basedOn w:val="Corpodeltesto"/>
    <w:uiPriority w:val="99"/>
    <w:rsid w:val="008B035D"/>
    <w:pPr>
      <w:spacing w:after="120" w:line="360" w:lineRule="auto"/>
      <w:jc w:val="both"/>
    </w:pPr>
    <w:rPr>
      <w:u w:val="single"/>
    </w:rPr>
  </w:style>
  <w:style w:type="paragraph" w:customStyle="1" w:styleId="Style5">
    <w:name w:val="Style5"/>
    <w:basedOn w:val="Normale"/>
    <w:uiPriority w:val="99"/>
    <w:rsid w:val="000E17F3"/>
    <w:pPr>
      <w:widowControl w:val="0"/>
      <w:autoSpaceDE w:val="0"/>
      <w:autoSpaceDN w:val="0"/>
      <w:adjustRightInd w:val="0"/>
      <w:spacing w:line="278" w:lineRule="exact"/>
    </w:pPr>
  </w:style>
  <w:style w:type="character" w:customStyle="1" w:styleId="FontStyle26">
    <w:name w:val="Font Style26"/>
    <w:uiPriority w:val="99"/>
    <w:rsid w:val="000E17F3"/>
    <w:rPr>
      <w:rFonts w:ascii="Times New Roman" w:hAnsi="Times New Roman" w:cs="Times New Roman"/>
      <w:color w:val="000000"/>
      <w:sz w:val="20"/>
      <w:szCs w:val="20"/>
    </w:rPr>
  </w:style>
  <w:style w:type="paragraph" w:customStyle="1" w:styleId="Style12">
    <w:name w:val="Style12"/>
    <w:basedOn w:val="Normale"/>
    <w:uiPriority w:val="99"/>
    <w:rsid w:val="000E17F3"/>
    <w:pPr>
      <w:widowControl w:val="0"/>
      <w:autoSpaceDE w:val="0"/>
      <w:autoSpaceDN w:val="0"/>
      <w:adjustRightInd w:val="0"/>
      <w:spacing w:line="278" w:lineRule="exact"/>
      <w:ind w:firstLine="173"/>
      <w:jc w:val="both"/>
    </w:pPr>
  </w:style>
  <w:style w:type="table" w:styleId="Grigliamedia1-Colore1">
    <w:name w:val="Medium Grid 1 Accent 1"/>
    <w:basedOn w:val="Tabellanormale"/>
    <w:uiPriority w:val="67"/>
    <w:rsid w:val="000E17F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Elencoscuro1">
    <w:name w:val="Elenco scuro1"/>
    <w:basedOn w:val="Tabellanormale"/>
    <w:uiPriority w:val="70"/>
    <w:rsid w:val="000E17F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Sfondochiaro-Colore6">
    <w:name w:val="Light Shading Accent 6"/>
    <w:basedOn w:val="Tabellanormale"/>
    <w:uiPriority w:val="60"/>
    <w:rsid w:val="000E17F3"/>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Elencochiaro-Colore11">
    <w:name w:val="Elenco chiaro - Colore 11"/>
    <w:basedOn w:val="Tabellanormale"/>
    <w:uiPriority w:val="61"/>
    <w:rsid w:val="000E17F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C81AD5"/>
    <w:pPr>
      <w:autoSpaceDE w:val="0"/>
      <w:autoSpaceDN w:val="0"/>
      <w:adjustRightInd w:val="0"/>
    </w:pPr>
    <w:rPr>
      <w:color w:val="000000"/>
      <w:sz w:val="24"/>
      <w:szCs w:val="24"/>
    </w:rPr>
  </w:style>
  <w:style w:type="character" w:styleId="Enfasicorsivo">
    <w:name w:val="Emphasis"/>
    <w:basedOn w:val="Carpredefinitoparagrafo"/>
    <w:uiPriority w:val="20"/>
    <w:qFormat/>
    <w:locked/>
    <w:rsid w:val="003F303E"/>
    <w:rPr>
      <w:b w:val="0"/>
      <w:bCs w:val="0"/>
      <w:i/>
      <w:iCs/>
    </w:rPr>
  </w:style>
  <w:style w:type="paragraph" w:styleId="Sommario2">
    <w:name w:val="toc 2"/>
    <w:basedOn w:val="Normale"/>
    <w:next w:val="Normale"/>
    <w:autoRedefine/>
    <w:uiPriority w:val="39"/>
    <w:unhideWhenUsed/>
    <w:rsid w:val="00ED421F"/>
    <w:pPr>
      <w:tabs>
        <w:tab w:val="right" w:leader="dot" w:pos="14107"/>
      </w:tabs>
      <w:jc w:val="right"/>
    </w:pPr>
  </w:style>
  <w:style w:type="character" w:styleId="Enfasigrassetto">
    <w:name w:val="Strong"/>
    <w:basedOn w:val="Carpredefinitoparagrafo"/>
    <w:uiPriority w:val="22"/>
    <w:qFormat/>
    <w:locked/>
    <w:rsid w:val="005268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EE3C98"/>
    <w:rPr>
      <w:sz w:val="24"/>
      <w:szCs w:val="24"/>
    </w:rPr>
  </w:style>
  <w:style w:type="paragraph" w:styleId="Titolo1">
    <w:name w:val="heading 1"/>
    <w:basedOn w:val="Normale"/>
    <w:next w:val="Normale"/>
    <w:link w:val="Titolo1Carattere"/>
    <w:uiPriority w:val="99"/>
    <w:qFormat/>
    <w:rsid w:val="00627845"/>
    <w:pPr>
      <w:keepNext/>
      <w:spacing w:before="240" w:after="60"/>
      <w:outlineLvl w:val="0"/>
    </w:pPr>
    <w:rPr>
      <w:rFonts w:ascii="Cambria" w:hAnsi="Cambria" w:cs="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27845"/>
    <w:rPr>
      <w:rFonts w:ascii="Cambria" w:hAnsi="Cambria" w:cs="Cambria"/>
      <w:b/>
      <w:bCs/>
      <w:kern w:val="32"/>
      <w:sz w:val="32"/>
      <w:szCs w:val="32"/>
    </w:rPr>
  </w:style>
  <w:style w:type="character" w:styleId="Collegamentoipertestuale">
    <w:name w:val="Hyperlink"/>
    <w:basedOn w:val="Carpredefinitoparagrafo"/>
    <w:uiPriority w:val="99"/>
    <w:rsid w:val="00EE3C98"/>
    <w:rPr>
      <w:color w:val="0000FF"/>
      <w:u w:val="single"/>
    </w:rPr>
  </w:style>
  <w:style w:type="paragraph" w:styleId="Corpotesto">
    <w:name w:val="Body Text"/>
    <w:basedOn w:val="Normale"/>
    <w:link w:val="CorpotestoCarattere"/>
    <w:uiPriority w:val="99"/>
    <w:rsid w:val="00EE3C98"/>
    <w:pPr>
      <w:jc w:val="center"/>
    </w:pPr>
    <w:rPr>
      <w:rFonts w:ascii="Arial" w:hAnsi="Arial" w:cs="Arial"/>
      <w:sz w:val="22"/>
      <w:szCs w:val="22"/>
    </w:rPr>
  </w:style>
  <w:style w:type="character" w:customStyle="1" w:styleId="CorpotestoCarattere">
    <w:name w:val="Corpo testo Carattere"/>
    <w:basedOn w:val="Carpredefinitoparagrafo"/>
    <w:link w:val="Corpotesto"/>
    <w:uiPriority w:val="99"/>
    <w:semiHidden/>
    <w:rsid w:val="00061CB3"/>
    <w:rPr>
      <w:sz w:val="24"/>
      <w:szCs w:val="24"/>
    </w:rPr>
  </w:style>
  <w:style w:type="paragraph" w:styleId="Titolo">
    <w:name w:val="Title"/>
    <w:basedOn w:val="Normale"/>
    <w:link w:val="TitoloCarattere"/>
    <w:uiPriority w:val="99"/>
    <w:qFormat/>
    <w:rsid w:val="00EE3C98"/>
    <w:pPr>
      <w:jc w:val="center"/>
    </w:pPr>
    <w:rPr>
      <w:rFonts w:ascii="Arial" w:hAnsi="Arial" w:cs="Arial"/>
      <w:sz w:val="48"/>
      <w:szCs w:val="48"/>
    </w:rPr>
  </w:style>
  <w:style w:type="character" w:customStyle="1" w:styleId="TitoloCarattere">
    <w:name w:val="Titolo Carattere"/>
    <w:basedOn w:val="Carpredefinitoparagrafo"/>
    <w:link w:val="Titolo"/>
    <w:uiPriority w:val="10"/>
    <w:rsid w:val="00061CB3"/>
    <w:rPr>
      <w:rFonts w:asciiTheme="majorHAnsi" w:eastAsiaTheme="majorEastAsia" w:hAnsiTheme="majorHAnsi" w:cstheme="majorBidi"/>
      <w:b/>
      <w:bCs/>
      <w:kern w:val="28"/>
      <w:sz w:val="32"/>
      <w:szCs w:val="32"/>
    </w:rPr>
  </w:style>
  <w:style w:type="paragraph" w:styleId="NormaleWeb">
    <w:name w:val="Normal (Web)"/>
    <w:basedOn w:val="Normale"/>
    <w:uiPriority w:val="99"/>
    <w:rsid w:val="00A241B6"/>
    <w:pPr>
      <w:spacing w:before="100" w:beforeAutospacing="1" w:after="100" w:afterAutospacing="1"/>
    </w:pPr>
  </w:style>
  <w:style w:type="character" w:customStyle="1" w:styleId="provvnumart1">
    <w:name w:val="provv_numart1"/>
    <w:uiPriority w:val="99"/>
    <w:rsid w:val="00A241B6"/>
    <w:rPr>
      <w:rFonts w:ascii="Verdana" w:hAnsi="Verdana" w:cs="Verdana"/>
      <w:b/>
      <w:bCs/>
    </w:rPr>
  </w:style>
  <w:style w:type="character" w:customStyle="1" w:styleId="provvrubrica1">
    <w:name w:val="provv_rubrica1"/>
    <w:uiPriority w:val="99"/>
    <w:rsid w:val="00A241B6"/>
    <w:rPr>
      <w:rFonts w:ascii="Verdana" w:hAnsi="Verdana" w:cs="Verdana"/>
      <w:i/>
      <w:iCs/>
    </w:rPr>
  </w:style>
  <w:style w:type="paragraph" w:customStyle="1" w:styleId="provvr01">
    <w:name w:val="provv_r01"/>
    <w:basedOn w:val="Normale"/>
    <w:uiPriority w:val="99"/>
    <w:rsid w:val="00A241B6"/>
    <w:pPr>
      <w:spacing w:before="100" w:beforeAutospacing="1" w:after="100" w:afterAutospacing="1"/>
      <w:jc w:val="both"/>
    </w:pPr>
    <w:rPr>
      <w:rFonts w:ascii="Verdana" w:hAnsi="Verdana" w:cs="Verdana"/>
    </w:rPr>
  </w:style>
  <w:style w:type="paragraph" w:styleId="Testonotaapidipagina">
    <w:name w:val="footnote text"/>
    <w:basedOn w:val="Normale"/>
    <w:link w:val="TestonotaapidipaginaCarattere"/>
    <w:uiPriority w:val="99"/>
    <w:semiHidden/>
    <w:rsid w:val="003F1C1A"/>
    <w:rPr>
      <w:sz w:val="20"/>
      <w:szCs w:val="20"/>
    </w:rPr>
  </w:style>
  <w:style w:type="character" w:customStyle="1" w:styleId="TestonotaapidipaginaCarattere">
    <w:name w:val="Testo nota a piè di pagina Carattere"/>
    <w:basedOn w:val="Carpredefinitoparagrafo"/>
    <w:link w:val="Testonotaapidipagina"/>
    <w:uiPriority w:val="99"/>
    <w:semiHidden/>
    <w:rsid w:val="00061CB3"/>
    <w:rPr>
      <w:sz w:val="20"/>
      <w:szCs w:val="20"/>
    </w:rPr>
  </w:style>
  <w:style w:type="character" w:styleId="Rimandonotaapidipagina">
    <w:name w:val="footnote reference"/>
    <w:basedOn w:val="Carpredefinitoparagrafo"/>
    <w:uiPriority w:val="99"/>
    <w:semiHidden/>
    <w:rsid w:val="003F1C1A"/>
    <w:rPr>
      <w:vertAlign w:val="superscript"/>
    </w:rPr>
  </w:style>
  <w:style w:type="paragraph" w:styleId="Testofumetto">
    <w:name w:val="Balloon Text"/>
    <w:basedOn w:val="Normale"/>
    <w:link w:val="TestofumettoCarattere"/>
    <w:uiPriority w:val="99"/>
    <w:semiHidden/>
    <w:rsid w:val="00C83B1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1CB3"/>
    <w:rPr>
      <w:sz w:val="0"/>
      <w:szCs w:val="0"/>
    </w:rPr>
  </w:style>
  <w:style w:type="character" w:customStyle="1" w:styleId="linkneltesto">
    <w:name w:val="link_nel_testo"/>
    <w:uiPriority w:val="99"/>
    <w:rsid w:val="002871A1"/>
    <w:rPr>
      <w:i/>
      <w:iCs/>
    </w:rPr>
  </w:style>
  <w:style w:type="paragraph" w:customStyle="1" w:styleId="provvr0">
    <w:name w:val="provv_r0"/>
    <w:basedOn w:val="Normale"/>
    <w:uiPriority w:val="99"/>
    <w:rsid w:val="004E16B8"/>
    <w:pPr>
      <w:spacing w:before="100" w:beforeAutospacing="1" w:after="100" w:afterAutospacing="1"/>
      <w:jc w:val="both"/>
    </w:pPr>
  </w:style>
  <w:style w:type="paragraph" w:customStyle="1" w:styleId="provvr1">
    <w:name w:val="provv_r1"/>
    <w:basedOn w:val="Normale"/>
    <w:uiPriority w:val="99"/>
    <w:rsid w:val="009875EE"/>
    <w:pPr>
      <w:spacing w:before="100" w:beforeAutospacing="1" w:after="100" w:afterAutospacing="1"/>
      <w:ind w:firstLine="400"/>
      <w:jc w:val="both"/>
    </w:pPr>
  </w:style>
  <w:style w:type="paragraph" w:customStyle="1" w:styleId="provvr2">
    <w:name w:val="provv_r2"/>
    <w:basedOn w:val="Normale"/>
    <w:uiPriority w:val="99"/>
    <w:rsid w:val="009875EE"/>
    <w:pPr>
      <w:spacing w:before="100" w:beforeAutospacing="1" w:after="100" w:afterAutospacing="1"/>
      <w:ind w:firstLine="600"/>
      <w:jc w:val="both"/>
    </w:pPr>
  </w:style>
  <w:style w:type="character" w:customStyle="1" w:styleId="provvnumcomma">
    <w:name w:val="provv_numcomma"/>
    <w:uiPriority w:val="99"/>
    <w:rsid w:val="00DC01B4"/>
  </w:style>
  <w:style w:type="paragraph" w:styleId="Paragrafoelenco">
    <w:name w:val="List Paragraph"/>
    <w:basedOn w:val="Normale"/>
    <w:uiPriority w:val="34"/>
    <w:qFormat/>
    <w:rsid w:val="002C2A24"/>
    <w:pPr>
      <w:spacing w:after="200" w:line="276" w:lineRule="auto"/>
      <w:ind w:left="720"/>
    </w:pPr>
    <w:rPr>
      <w:rFonts w:ascii="Calibri" w:hAnsi="Calibri" w:cs="Calibri"/>
      <w:sz w:val="22"/>
      <w:szCs w:val="22"/>
      <w:lang w:eastAsia="en-US"/>
    </w:rPr>
  </w:style>
  <w:style w:type="character" w:styleId="Numeroriga">
    <w:name w:val="line number"/>
    <w:basedOn w:val="Carpredefinitoparagrafo"/>
    <w:uiPriority w:val="99"/>
    <w:rsid w:val="007B58D3"/>
  </w:style>
  <w:style w:type="paragraph" w:styleId="Intestazione">
    <w:name w:val="header"/>
    <w:basedOn w:val="Normale"/>
    <w:link w:val="IntestazioneCarattere"/>
    <w:uiPriority w:val="99"/>
    <w:rsid w:val="007B5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7B58D3"/>
    <w:rPr>
      <w:sz w:val="24"/>
      <w:szCs w:val="24"/>
    </w:rPr>
  </w:style>
  <w:style w:type="paragraph" w:styleId="Pidipagina">
    <w:name w:val="footer"/>
    <w:basedOn w:val="Normale"/>
    <w:link w:val="PidipaginaCarattere"/>
    <w:uiPriority w:val="99"/>
    <w:rsid w:val="007B58D3"/>
    <w:pPr>
      <w:tabs>
        <w:tab w:val="center" w:pos="4819"/>
        <w:tab w:val="right" w:pos="9638"/>
      </w:tabs>
    </w:pPr>
  </w:style>
  <w:style w:type="character" w:customStyle="1" w:styleId="PidipaginaCarattere">
    <w:name w:val="Piè di pagina Carattere"/>
    <w:basedOn w:val="Carpredefinitoparagrafo"/>
    <w:link w:val="Pidipagina"/>
    <w:uiPriority w:val="99"/>
    <w:locked/>
    <w:rsid w:val="007B58D3"/>
    <w:rPr>
      <w:sz w:val="24"/>
      <w:szCs w:val="24"/>
    </w:rPr>
  </w:style>
  <w:style w:type="paragraph" w:styleId="Corpodeltesto2">
    <w:name w:val="Body Text 2"/>
    <w:basedOn w:val="Normale"/>
    <w:link w:val="Corpodeltesto2Carattere"/>
    <w:uiPriority w:val="99"/>
    <w:rsid w:val="004465AE"/>
    <w:pPr>
      <w:spacing w:after="120" w:line="480" w:lineRule="auto"/>
    </w:pPr>
  </w:style>
  <w:style w:type="character" w:customStyle="1" w:styleId="Corpodeltesto2Carattere">
    <w:name w:val="Corpo del testo 2 Carattere"/>
    <w:basedOn w:val="Carpredefinitoparagrafo"/>
    <w:link w:val="Corpodeltesto2"/>
    <w:uiPriority w:val="99"/>
    <w:semiHidden/>
    <w:rsid w:val="00061CB3"/>
    <w:rPr>
      <w:sz w:val="24"/>
      <w:szCs w:val="24"/>
    </w:rPr>
  </w:style>
  <w:style w:type="table" w:styleId="Grigliatabella">
    <w:name w:val="Table Grid"/>
    <w:basedOn w:val="Tabellanormale"/>
    <w:uiPriority w:val="59"/>
    <w:rsid w:val="00980E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rsid w:val="003C2446"/>
  </w:style>
  <w:style w:type="paragraph" w:styleId="Nessunaspaziatura">
    <w:name w:val="No Spacing"/>
    <w:link w:val="NessunaspaziaturaCarattere"/>
    <w:uiPriority w:val="99"/>
    <w:qFormat/>
    <w:rsid w:val="00D22ACE"/>
    <w:rPr>
      <w:rFonts w:ascii="Calibri" w:hAnsi="Calibri" w:cs="Calibri"/>
      <w:lang w:eastAsia="en-US"/>
    </w:rPr>
  </w:style>
  <w:style w:type="character" w:customStyle="1" w:styleId="NessunaspaziaturaCarattere">
    <w:name w:val="Nessuna spaziatura Carattere"/>
    <w:link w:val="Nessunaspaziatura"/>
    <w:uiPriority w:val="99"/>
    <w:locked/>
    <w:rsid w:val="00D22ACE"/>
    <w:rPr>
      <w:rFonts w:ascii="Calibri" w:hAnsi="Calibri" w:cs="Calibri"/>
      <w:sz w:val="22"/>
      <w:szCs w:val="22"/>
      <w:lang w:val="it-IT" w:eastAsia="en-US"/>
    </w:rPr>
  </w:style>
  <w:style w:type="paragraph" w:styleId="Titolosommario">
    <w:name w:val="TOC Heading"/>
    <w:basedOn w:val="Titolo1"/>
    <w:next w:val="Normale"/>
    <w:uiPriority w:val="39"/>
    <w:qFormat/>
    <w:rsid w:val="00627845"/>
    <w:pPr>
      <w:keepLines/>
      <w:spacing w:before="480" w:after="0" w:line="276" w:lineRule="auto"/>
      <w:outlineLvl w:val="9"/>
    </w:pPr>
    <w:rPr>
      <w:color w:val="365F91"/>
      <w:kern w:val="0"/>
      <w:sz w:val="28"/>
      <w:szCs w:val="28"/>
      <w:lang w:eastAsia="en-US"/>
    </w:rPr>
  </w:style>
  <w:style w:type="table" w:styleId="Tabellacontemporanea">
    <w:name w:val="Table Contemporary"/>
    <w:basedOn w:val="Tabellanormale"/>
    <w:uiPriority w:val="99"/>
    <w:rsid w:val="007D369D"/>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colonne5">
    <w:name w:val="Table Columns 5"/>
    <w:basedOn w:val="Tabellanormale"/>
    <w:uiPriority w:val="99"/>
    <w:rsid w:val="007D369D"/>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ombreggiatura1">
    <w:name w:val="Table Subtle 1"/>
    <w:basedOn w:val="Tabellanormale"/>
    <w:uiPriority w:val="99"/>
    <w:rsid w:val="007D369D"/>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rsid w:val="007D369D"/>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rsid w:val="007D369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chiara-Colore5">
    <w:name w:val="Light Grid Accent 5"/>
    <w:basedOn w:val="Tabellanormale"/>
    <w:uiPriority w:val="99"/>
    <w:rsid w:val="007D369D"/>
    <w:rPr>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Cambr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Cambr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Tabellaeffetti3D1">
    <w:name w:val="Table 3D effects 1"/>
    <w:basedOn w:val="Tabellanormale"/>
    <w:uiPriority w:val="99"/>
    <w:rsid w:val="007D369D"/>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colonne2">
    <w:name w:val="Table Columns 2"/>
    <w:basedOn w:val="Tabellanormale"/>
    <w:uiPriority w:val="99"/>
    <w:rsid w:val="007D369D"/>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itoloA">
    <w:name w:val="Titolo A"/>
    <w:basedOn w:val="Normale"/>
    <w:uiPriority w:val="99"/>
    <w:rsid w:val="00B424C0"/>
    <w:pPr>
      <w:spacing w:line="360" w:lineRule="auto"/>
      <w:ind w:right="567"/>
      <w:jc w:val="center"/>
    </w:pPr>
    <w:rPr>
      <w:rFonts w:ascii="Arial" w:hAnsi="Arial" w:cs="Arial"/>
      <w:b/>
      <w:bCs/>
      <w:sz w:val="32"/>
      <w:szCs w:val="32"/>
    </w:rPr>
  </w:style>
  <w:style w:type="paragraph" w:customStyle="1" w:styleId="TitoloB">
    <w:name w:val="Titolo B"/>
    <w:basedOn w:val="Normale"/>
    <w:uiPriority w:val="99"/>
    <w:rsid w:val="008B035D"/>
    <w:pPr>
      <w:spacing w:after="120" w:line="360" w:lineRule="auto"/>
      <w:ind w:right="567"/>
    </w:pPr>
    <w:rPr>
      <w:rFonts w:ascii="Arial" w:hAnsi="Arial" w:cs="Arial"/>
      <w:b/>
      <w:bCs/>
      <w:sz w:val="22"/>
      <w:szCs w:val="22"/>
    </w:rPr>
  </w:style>
  <w:style w:type="paragraph" w:customStyle="1" w:styleId="TitoloC">
    <w:name w:val="Titolo C"/>
    <w:basedOn w:val="Corpotesto"/>
    <w:uiPriority w:val="99"/>
    <w:rsid w:val="008B035D"/>
    <w:pPr>
      <w:spacing w:after="120" w:line="360" w:lineRule="auto"/>
      <w:jc w:val="both"/>
    </w:pPr>
    <w:rPr>
      <w:u w:val="single"/>
    </w:rPr>
  </w:style>
  <w:style w:type="paragraph" w:customStyle="1" w:styleId="Style5">
    <w:name w:val="Style5"/>
    <w:basedOn w:val="Normale"/>
    <w:uiPriority w:val="99"/>
    <w:rsid w:val="000E17F3"/>
    <w:pPr>
      <w:widowControl w:val="0"/>
      <w:autoSpaceDE w:val="0"/>
      <w:autoSpaceDN w:val="0"/>
      <w:adjustRightInd w:val="0"/>
      <w:spacing w:line="278" w:lineRule="exact"/>
    </w:pPr>
  </w:style>
  <w:style w:type="character" w:customStyle="1" w:styleId="FontStyle26">
    <w:name w:val="Font Style26"/>
    <w:uiPriority w:val="99"/>
    <w:rsid w:val="000E17F3"/>
    <w:rPr>
      <w:rFonts w:ascii="Times New Roman" w:hAnsi="Times New Roman" w:cs="Times New Roman"/>
      <w:color w:val="000000"/>
      <w:sz w:val="20"/>
      <w:szCs w:val="20"/>
    </w:rPr>
  </w:style>
  <w:style w:type="paragraph" w:customStyle="1" w:styleId="Style12">
    <w:name w:val="Style12"/>
    <w:basedOn w:val="Normale"/>
    <w:uiPriority w:val="99"/>
    <w:rsid w:val="000E17F3"/>
    <w:pPr>
      <w:widowControl w:val="0"/>
      <w:autoSpaceDE w:val="0"/>
      <w:autoSpaceDN w:val="0"/>
      <w:adjustRightInd w:val="0"/>
      <w:spacing w:line="278" w:lineRule="exact"/>
      <w:ind w:firstLine="173"/>
      <w:jc w:val="both"/>
    </w:pPr>
  </w:style>
  <w:style w:type="table" w:styleId="Grigliamedia1-Colore1">
    <w:name w:val="Medium Grid 1 Accent 1"/>
    <w:basedOn w:val="Tabellanormale"/>
    <w:uiPriority w:val="67"/>
    <w:rsid w:val="000E17F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Elencoscuro1">
    <w:name w:val="Elenco scuro1"/>
    <w:basedOn w:val="Tabellanormale"/>
    <w:uiPriority w:val="70"/>
    <w:rsid w:val="000E17F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Sfondochiaro-Colore6">
    <w:name w:val="Light Shading Accent 6"/>
    <w:basedOn w:val="Tabellanormale"/>
    <w:uiPriority w:val="60"/>
    <w:rsid w:val="000E17F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Elencochiaro-Colore11">
    <w:name w:val="Elenco chiaro - Colore 11"/>
    <w:basedOn w:val="Tabellanormale"/>
    <w:uiPriority w:val="61"/>
    <w:rsid w:val="000E17F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C81AD5"/>
    <w:pPr>
      <w:autoSpaceDE w:val="0"/>
      <w:autoSpaceDN w:val="0"/>
      <w:adjustRightInd w:val="0"/>
    </w:pPr>
    <w:rPr>
      <w:color w:val="000000"/>
      <w:sz w:val="24"/>
      <w:szCs w:val="24"/>
    </w:rPr>
  </w:style>
  <w:style w:type="character" w:styleId="Enfasicorsivo">
    <w:name w:val="Emphasis"/>
    <w:basedOn w:val="Carpredefinitoparagrafo"/>
    <w:uiPriority w:val="20"/>
    <w:qFormat/>
    <w:locked/>
    <w:rsid w:val="003F303E"/>
    <w:rPr>
      <w:b w:val="0"/>
      <w:bCs w:val="0"/>
      <w:i/>
      <w:iCs/>
    </w:rPr>
  </w:style>
  <w:style w:type="paragraph" w:styleId="Sommario2">
    <w:name w:val="toc 2"/>
    <w:basedOn w:val="Normale"/>
    <w:next w:val="Normale"/>
    <w:autoRedefine/>
    <w:uiPriority w:val="39"/>
    <w:unhideWhenUsed/>
    <w:rsid w:val="00ED421F"/>
    <w:pPr>
      <w:tabs>
        <w:tab w:val="right" w:leader="dot" w:pos="14107"/>
      </w:tabs>
      <w:jc w:val="right"/>
    </w:pPr>
  </w:style>
  <w:style w:type="character" w:styleId="Enfasigrassetto">
    <w:name w:val="Strong"/>
    <w:basedOn w:val="Carpredefinitoparagrafo"/>
    <w:uiPriority w:val="22"/>
    <w:qFormat/>
    <w:locked/>
    <w:rsid w:val="0052683D"/>
    <w:rPr>
      <w:b/>
      <w:bCs/>
    </w:rPr>
  </w:style>
</w:styles>
</file>

<file path=word/webSettings.xml><?xml version="1.0" encoding="utf-8"?>
<w:webSettings xmlns:r="http://schemas.openxmlformats.org/officeDocument/2006/relationships" xmlns:w="http://schemas.openxmlformats.org/wordprocessingml/2006/main">
  <w:divs>
    <w:div w:id="325327096">
      <w:bodyDiv w:val="1"/>
      <w:marLeft w:val="0"/>
      <w:marRight w:val="0"/>
      <w:marTop w:val="0"/>
      <w:marBottom w:val="0"/>
      <w:divBdr>
        <w:top w:val="none" w:sz="0" w:space="0" w:color="auto"/>
        <w:left w:val="none" w:sz="0" w:space="0" w:color="auto"/>
        <w:bottom w:val="none" w:sz="0" w:space="0" w:color="auto"/>
        <w:right w:val="none" w:sz="0" w:space="0" w:color="auto"/>
      </w:divBdr>
      <w:divsChild>
        <w:div w:id="1874877307">
          <w:marLeft w:val="288"/>
          <w:marRight w:val="0"/>
          <w:marTop w:val="115"/>
          <w:marBottom w:val="0"/>
          <w:divBdr>
            <w:top w:val="none" w:sz="0" w:space="0" w:color="auto"/>
            <w:left w:val="none" w:sz="0" w:space="0" w:color="auto"/>
            <w:bottom w:val="none" w:sz="0" w:space="0" w:color="auto"/>
            <w:right w:val="none" w:sz="0" w:space="0" w:color="auto"/>
          </w:divBdr>
        </w:div>
      </w:divsChild>
    </w:div>
    <w:div w:id="498815884">
      <w:bodyDiv w:val="1"/>
      <w:marLeft w:val="0"/>
      <w:marRight w:val="0"/>
      <w:marTop w:val="0"/>
      <w:marBottom w:val="0"/>
      <w:divBdr>
        <w:top w:val="none" w:sz="0" w:space="0" w:color="auto"/>
        <w:left w:val="none" w:sz="0" w:space="0" w:color="auto"/>
        <w:bottom w:val="none" w:sz="0" w:space="0" w:color="auto"/>
        <w:right w:val="none" w:sz="0" w:space="0" w:color="auto"/>
      </w:divBdr>
    </w:div>
    <w:div w:id="554900710">
      <w:bodyDiv w:val="1"/>
      <w:marLeft w:val="0"/>
      <w:marRight w:val="0"/>
      <w:marTop w:val="0"/>
      <w:marBottom w:val="0"/>
      <w:divBdr>
        <w:top w:val="none" w:sz="0" w:space="0" w:color="auto"/>
        <w:left w:val="none" w:sz="0" w:space="0" w:color="auto"/>
        <w:bottom w:val="none" w:sz="0" w:space="0" w:color="auto"/>
        <w:right w:val="none" w:sz="0" w:space="0" w:color="auto"/>
      </w:divBdr>
    </w:div>
    <w:div w:id="681323488">
      <w:marLeft w:val="0"/>
      <w:marRight w:val="0"/>
      <w:marTop w:val="0"/>
      <w:marBottom w:val="0"/>
      <w:divBdr>
        <w:top w:val="none" w:sz="0" w:space="0" w:color="auto"/>
        <w:left w:val="none" w:sz="0" w:space="0" w:color="auto"/>
        <w:bottom w:val="none" w:sz="0" w:space="0" w:color="auto"/>
        <w:right w:val="none" w:sz="0" w:space="0" w:color="auto"/>
      </w:divBdr>
    </w:div>
    <w:div w:id="681323489">
      <w:marLeft w:val="0"/>
      <w:marRight w:val="0"/>
      <w:marTop w:val="0"/>
      <w:marBottom w:val="0"/>
      <w:divBdr>
        <w:top w:val="none" w:sz="0" w:space="0" w:color="auto"/>
        <w:left w:val="none" w:sz="0" w:space="0" w:color="auto"/>
        <w:bottom w:val="none" w:sz="0" w:space="0" w:color="auto"/>
        <w:right w:val="none" w:sz="0" w:space="0" w:color="auto"/>
      </w:divBdr>
    </w:div>
    <w:div w:id="681323490">
      <w:marLeft w:val="0"/>
      <w:marRight w:val="0"/>
      <w:marTop w:val="0"/>
      <w:marBottom w:val="0"/>
      <w:divBdr>
        <w:top w:val="none" w:sz="0" w:space="0" w:color="auto"/>
        <w:left w:val="none" w:sz="0" w:space="0" w:color="auto"/>
        <w:bottom w:val="none" w:sz="0" w:space="0" w:color="auto"/>
        <w:right w:val="none" w:sz="0" w:space="0" w:color="auto"/>
      </w:divBdr>
    </w:div>
    <w:div w:id="681323492">
      <w:marLeft w:val="0"/>
      <w:marRight w:val="0"/>
      <w:marTop w:val="0"/>
      <w:marBottom w:val="0"/>
      <w:divBdr>
        <w:top w:val="none" w:sz="0" w:space="0" w:color="auto"/>
        <w:left w:val="none" w:sz="0" w:space="0" w:color="auto"/>
        <w:bottom w:val="none" w:sz="0" w:space="0" w:color="auto"/>
        <w:right w:val="none" w:sz="0" w:space="0" w:color="auto"/>
      </w:divBdr>
    </w:div>
    <w:div w:id="681323494">
      <w:marLeft w:val="0"/>
      <w:marRight w:val="0"/>
      <w:marTop w:val="0"/>
      <w:marBottom w:val="0"/>
      <w:divBdr>
        <w:top w:val="none" w:sz="0" w:space="0" w:color="auto"/>
        <w:left w:val="none" w:sz="0" w:space="0" w:color="auto"/>
        <w:bottom w:val="none" w:sz="0" w:space="0" w:color="auto"/>
        <w:right w:val="none" w:sz="0" w:space="0" w:color="auto"/>
      </w:divBdr>
      <w:divsChild>
        <w:div w:id="681323491">
          <w:marLeft w:val="0"/>
          <w:marRight w:val="0"/>
          <w:marTop w:val="0"/>
          <w:marBottom w:val="0"/>
          <w:divBdr>
            <w:top w:val="none" w:sz="0" w:space="0" w:color="auto"/>
            <w:left w:val="none" w:sz="0" w:space="0" w:color="auto"/>
            <w:bottom w:val="none" w:sz="0" w:space="0" w:color="auto"/>
            <w:right w:val="none" w:sz="0" w:space="0" w:color="auto"/>
          </w:divBdr>
          <w:divsChild>
            <w:div w:id="6813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6044">
      <w:bodyDiv w:val="1"/>
      <w:marLeft w:val="0"/>
      <w:marRight w:val="0"/>
      <w:marTop w:val="0"/>
      <w:marBottom w:val="0"/>
      <w:divBdr>
        <w:top w:val="none" w:sz="0" w:space="0" w:color="auto"/>
        <w:left w:val="none" w:sz="0" w:space="0" w:color="auto"/>
        <w:bottom w:val="none" w:sz="0" w:space="0" w:color="auto"/>
        <w:right w:val="none" w:sz="0" w:space="0" w:color="auto"/>
      </w:divBdr>
      <w:divsChild>
        <w:div w:id="523521158">
          <w:marLeft w:val="0"/>
          <w:marRight w:val="0"/>
          <w:marTop w:val="0"/>
          <w:marBottom w:val="0"/>
          <w:divBdr>
            <w:top w:val="none" w:sz="0" w:space="0" w:color="auto"/>
            <w:left w:val="none" w:sz="0" w:space="0" w:color="auto"/>
            <w:bottom w:val="none" w:sz="0" w:space="0" w:color="auto"/>
            <w:right w:val="none" w:sz="0" w:space="0" w:color="auto"/>
          </w:divBdr>
          <w:divsChild>
            <w:div w:id="1622032583">
              <w:marLeft w:val="0"/>
              <w:marRight w:val="0"/>
              <w:marTop w:val="0"/>
              <w:marBottom w:val="0"/>
              <w:divBdr>
                <w:top w:val="none" w:sz="0" w:space="0" w:color="auto"/>
                <w:left w:val="none" w:sz="0" w:space="0" w:color="auto"/>
                <w:bottom w:val="none" w:sz="0" w:space="0" w:color="auto"/>
                <w:right w:val="none" w:sz="0" w:space="0" w:color="auto"/>
              </w:divBdr>
              <w:divsChild>
                <w:div w:id="1460227096">
                  <w:marLeft w:val="0"/>
                  <w:marRight w:val="0"/>
                  <w:marTop w:val="0"/>
                  <w:marBottom w:val="0"/>
                  <w:divBdr>
                    <w:top w:val="none" w:sz="0" w:space="0" w:color="auto"/>
                    <w:left w:val="none" w:sz="0" w:space="0" w:color="auto"/>
                    <w:bottom w:val="none" w:sz="0" w:space="0" w:color="auto"/>
                    <w:right w:val="none" w:sz="0" w:space="0" w:color="auto"/>
                  </w:divBdr>
                  <w:divsChild>
                    <w:div w:id="1536649255">
                      <w:marLeft w:val="0"/>
                      <w:marRight w:val="0"/>
                      <w:marTop w:val="0"/>
                      <w:marBottom w:val="0"/>
                      <w:divBdr>
                        <w:top w:val="none" w:sz="0" w:space="0" w:color="auto"/>
                        <w:left w:val="none" w:sz="0" w:space="0" w:color="auto"/>
                        <w:bottom w:val="none" w:sz="0" w:space="0" w:color="auto"/>
                        <w:right w:val="none" w:sz="0" w:space="0" w:color="auto"/>
                      </w:divBdr>
                      <w:divsChild>
                        <w:div w:id="83306668">
                          <w:marLeft w:val="0"/>
                          <w:marRight w:val="0"/>
                          <w:marTop w:val="120"/>
                          <w:marBottom w:val="240"/>
                          <w:divBdr>
                            <w:top w:val="none" w:sz="0" w:space="0" w:color="auto"/>
                            <w:left w:val="none" w:sz="0" w:space="0" w:color="auto"/>
                            <w:bottom w:val="single" w:sz="4" w:space="12" w:color="BBBBBB"/>
                            <w:right w:val="none" w:sz="0" w:space="0" w:color="auto"/>
                          </w:divBdr>
                          <w:divsChild>
                            <w:div w:id="5811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054412">
      <w:bodyDiv w:val="1"/>
      <w:marLeft w:val="0"/>
      <w:marRight w:val="0"/>
      <w:marTop w:val="0"/>
      <w:marBottom w:val="0"/>
      <w:divBdr>
        <w:top w:val="none" w:sz="0" w:space="0" w:color="auto"/>
        <w:left w:val="none" w:sz="0" w:space="0" w:color="auto"/>
        <w:bottom w:val="none" w:sz="0" w:space="0" w:color="auto"/>
        <w:right w:val="none" w:sz="0" w:space="0" w:color="auto"/>
      </w:divBdr>
      <w:divsChild>
        <w:div w:id="796871526">
          <w:marLeft w:val="288"/>
          <w:marRight w:val="0"/>
          <w:marTop w:val="115"/>
          <w:marBottom w:val="0"/>
          <w:divBdr>
            <w:top w:val="none" w:sz="0" w:space="0" w:color="auto"/>
            <w:left w:val="none" w:sz="0" w:space="0" w:color="auto"/>
            <w:bottom w:val="none" w:sz="0" w:space="0" w:color="auto"/>
            <w:right w:val="none" w:sz="0" w:space="0" w:color="auto"/>
          </w:divBdr>
        </w:div>
        <w:div w:id="665282433">
          <w:marLeft w:val="288"/>
          <w:marRight w:val="0"/>
          <w:marTop w:val="115"/>
          <w:marBottom w:val="0"/>
          <w:divBdr>
            <w:top w:val="none" w:sz="0" w:space="0" w:color="auto"/>
            <w:left w:val="none" w:sz="0" w:space="0" w:color="auto"/>
            <w:bottom w:val="none" w:sz="0" w:space="0" w:color="auto"/>
            <w:right w:val="none" w:sz="0" w:space="0" w:color="auto"/>
          </w:divBdr>
        </w:div>
      </w:divsChild>
    </w:div>
    <w:div w:id="1538467558">
      <w:bodyDiv w:val="1"/>
      <w:marLeft w:val="0"/>
      <w:marRight w:val="0"/>
      <w:marTop w:val="0"/>
      <w:marBottom w:val="0"/>
      <w:divBdr>
        <w:top w:val="none" w:sz="0" w:space="0" w:color="auto"/>
        <w:left w:val="none" w:sz="0" w:space="0" w:color="auto"/>
        <w:bottom w:val="none" w:sz="0" w:space="0" w:color="auto"/>
        <w:right w:val="none" w:sz="0" w:space="0" w:color="auto"/>
      </w:divBdr>
      <w:divsChild>
        <w:div w:id="1154952669">
          <w:marLeft w:val="288"/>
          <w:marRight w:val="0"/>
          <w:marTop w:val="115"/>
          <w:marBottom w:val="0"/>
          <w:divBdr>
            <w:top w:val="none" w:sz="0" w:space="0" w:color="auto"/>
            <w:left w:val="none" w:sz="0" w:space="0" w:color="auto"/>
            <w:bottom w:val="none" w:sz="0" w:space="0" w:color="auto"/>
            <w:right w:val="none" w:sz="0" w:space="0" w:color="auto"/>
          </w:divBdr>
        </w:div>
        <w:div w:id="1242837561">
          <w:marLeft w:val="288"/>
          <w:marRight w:val="0"/>
          <w:marTop w:val="115"/>
          <w:marBottom w:val="0"/>
          <w:divBdr>
            <w:top w:val="none" w:sz="0" w:space="0" w:color="auto"/>
            <w:left w:val="none" w:sz="0" w:space="0" w:color="auto"/>
            <w:bottom w:val="none" w:sz="0" w:space="0" w:color="auto"/>
            <w:right w:val="none" w:sz="0" w:space="0" w:color="auto"/>
          </w:divBdr>
        </w:div>
      </w:divsChild>
    </w:div>
    <w:div w:id="1973175094">
      <w:bodyDiv w:val="1"/>
      <w:marLeft w:val="0"/>
      <w:marRight w:val="0"/>
      <w:marTop w:val="0"/>
      <w:marBottom w:val="0"/>
      <w:divBdr>
        <w:top w:val="none" w:sz="0" w:space="0" w:color="auto"/>
        <w:left w:val="none" w:sz="0" w:space="0" w:color="auto"/>
        <w:bottom w:val="none" w:sz="0" w:space="0" w:color="auto"/>
        <w:right w:val="none" w:sz="0" w:space="0" w:color="auto"/>
      </w:divBdr>
      <w:divsChild>
        <w:div w:id="1632831252">
          <w:marLeft w:val="288"/>
          <w:marRight w:val="0"/>
          <w:marTop w:val="115"/>
          <w:marBottom w:val="0"/>
          <w:divBdr>
            <w:top w:val="none" w:sz="0" w:space="0" w:color="auto"/>
            <w:left w:val="none" w:sz="0" w:space="0" w:color="auto"/>
            <w:bottom w:val="none" w:sz="0" w:space="0" w:color="auto"/>
            <w:right w:val="none" w:sz="0" w:space="0" w:color="auto"/>
          </w:divBdr>
        </w:div>
        <w:div w:id="1202208101">
          <w:marLeft w:val="288"/>
          <w:marRight w:val="0"/>
          <w:marTop w:val="115"/>
          <w:marBottom w:val="0"/>
          <w:divBdr>
            <w:top w:val="none" w:sz="0" w:space="0" w:color="auto"/>
            <w:left w:val="none" w:sz="0" w:space="0" w:color="auto"/>
            <w:bottom w:val="none" w:sz="0" w:space="0" w:color="auto"/>
            <w:right w:val="none" w:sz="0" w:space="0" w:color="auto"/>
          </w:divBdr>
        </w:div>
      </w:divsChild>
    </w:div>
    <w:div w:id="197925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t.mef.gov.it/"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2B2B5-9722-44B3-B81D-A1539C8F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2380</Words>
  <Characters>13569</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2020-07-13T09:12:00Z</dcterms:created>
  <dcterms:modified xsi:type="dcterms:W3CDTF">2020-07-13T09:12:00Z</dcterms:modified>
</cp:coreProperties>
</file>