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9"/>
        <w:gridCol w:w="3326"/>
        <w:gridCol w:w="224"/>
        <w:gridCol w:w="707"/>
        <w:gridCol w:w="574"/>
        <w:gridCol w:w="490"/>
        <w:gridCol w:w="574"/>
        <w:gridCol w:w="488"/>
        <w:gridCol w:w="579"/>
        <w:gridCol w:w="930"/>
        <w:gridCol w:w="574"/>
        <w:gridCol w:w="399"/>
        <w:gridCol w:w="574"/>
      </w:tblGrid>
      <w:tr w:rsidR="00D17C7D" w:rsidRPr="0086145B" w:rsidTr="00D17C7D">
        <w:trPr>
          <w:trHeight w:hRule="exact" w:val="458"/>
          <w:jc w:val="center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C7D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7116" w:rsidRPr="0086145B" w:rsidRDefault="00A57116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Categoria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Misure del compenso orario lordo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N. ore</w:t>
            </w:r>
          </w:p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145B">
              <w:rPr>
                <w:rFonts w:ascii="Arial" w:hAnsi="Arial" w:cs="Arial"/>
                <w:sz w:val="16"/>
                <w:szCs w:val="16"/>
              </w:rPr>
              <w:t>eff</w:t>
            </w:r>
            <w:proofErr w:type="spellEnd"/>
            <w:r w:rsidRPr="0086145B">
              <w:rPr>
                <w:rFonts w:ascii="Arial" w:hAnsi="Arial" w:cs="Arial"/>
                <w:sz w:val="16"/>
                <w:szCs w:val="16"/>
              </w:rPr>
              <w:t>. Prestate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Importo totale lordo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Oneri riflessi a carico Ente</w:t>
            </w:r>
          </w:p>
        </w:tc>
      </w:tr>
      <w:tr w:rsidR="00D17C7D" w:rsidRPr="0086145B" w:rsidTr="00D17C7D">
        <w:trPr>
          <w:cantSplit/>
          <w:trHeight w:hRule="exact" w:val="838"/>
          <w:jc w:val="center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Diurno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Notturno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45B">
              <w:rPr>
                <w:rFonts w:ascii="Arial" w:hAnsi="Arial" w:cs="Arial"/>
                <w:sz w:val="16"/>
                <w:szCs w:val="16"/>
              </w:rPr>
              <w:t>o festivo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Notturno festivo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Diurne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Notturne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45B">
              <w:rPr>
                <w:rFonts w:ascii="Arial" w:hAnsi="Arial" w:cs="Arial"/>
                <w:sz w:val="16"/>
                <w:szCs w:val="16"/>
              </w:rPr>
              <w:t>Notturne festive</w:t>
            </w: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D448EF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8EF">
              <w:rPr>
                <w:rFonts w:ascii="Arial" w:hAnsi="Arial" w:cs="Arial"/>
                <w:sz w:val="16"/>
                <w:szCs w:val="16"/>
              </w:rPr>
              <w:t>IRAP (8,50%)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D448EF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8EF">
              <w:rPr>
                <w:rFonts w:ascii="Arial" w:hAnsi="Arial" w:cs="Arial"/>
                <w:sz w:val="16"/>
                <w:szCs w:val="16"/>
              </w:rPr>
              <w:t>INAIL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17C7D" w:rsidRPr="00D448EF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8EF">
              <w:rPr>
                <w:rFonts w:ascii="Arial" w:hAnsi="Arial" w:cs="Arial"/>
                <w:sz w:val="16"/>
                <w:szCs w:val="16"/>
              </w:rPr>
              <w:t>INPDAP</w:t>
            </w:r>
          </w:p>
          <w:p w:rsidR="00D17C7D" w:rsidRPr="00D448EF" w:rsidRDefault="00D17C7D" w:rsidP="00170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D448EF">
              <w:rPr>
                <w:rFonts w:ascii="Arial" w:hAnsi="Arial" w:cs="Arial"/>
                <w:sz w:val="16"/>
                <w:szCs w:val="16"/>
              </w:rPr>
              <w:t>23,80</w:t>
            </w:r>
            <w:r>
              <w:rPr>
                <w:rFonts w:ascii="Arial" w:hAnsi="Arial" w:cs="Arial"/>
                <w:sz w:val="16"/>
                <w:szCs w:val="16"/>
              </w:rPr>
              <w:t>%)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GASPARRI ENRICO</w:t>
            </w:r>
          </w:p>
        </w:tc>
        <w:tc>
          <w:tcPr>
            <w:tcW w:w="1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164847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1.989,98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266,53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48,71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95206">
              <w:rPr>
                <w:rFonts w:ascii="Arial" w:hAnsi="Arial" w:cs="Arial"/>
                <w:sz w:val="16"/>
                <w:szCs w:val="16"/>
              </w:rPr>
              <w:t>.305,23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164847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195,84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64847">
              <w:rPr>
                <w:rFonts w:ascii="Arial" w:hAnsi="Arial" w:cs="Arial"/>
                <w:sz w:val="16"/>
                <w:szCs w:val="16"/>
              </w:rPr>
              <w:t>48,64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PACIONI ANDREA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569,66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569,66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48,42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135,58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CUGNIGNI ROSELLA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133,62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167,39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39,84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BASSETTI EMIDIO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19,61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TOTALI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164847">
              <w:rPr>
                <w:rFonts w:ascii="Arial" w:hAnsi="Arial" w:cs="Arial"/>
                <w:sz w:val="16"/>
                <w:szCs w:val="16"/>
              </w:rPr>
              <w:t>926,58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64847">
              <w:rPr>
                <w:rFonts w:ascii="Arial" w:hAnsi="Arial" w:cs="Arial"/>
                <w:sz w:val="16"/>
                <w:szCs w:val="16"/>
              </w:rPr>
              <w:t>65.60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64847">
              <w:rPr>
                <w:rFonts w:ascii="Arial" w:hAnsi="Arial" w:cs="Arial"/>
                <w:sz w:val="16"/>
                <w:szCs w:val="16"/>
              </w:rPr>
              <w:t>43,67</w:t>
            </w: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 INPDAP a carico dell’Ente (onere riflesso – 23,80% della colonna “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867C18">
              <w:rPr>
                <w:rFonts w:ascii="Arial" w:hAnsi="Arial" w:cs="Arial"/>
                <w:i/>
                <w:sz w:val="16"/>
                <w:szCs w:val="16"/>
              </w:rPr>
              <w:t>mporto totale lordo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64847">
              <w:rPr>
                <w:rFonts w:ascii="Arial" w:hAnsi="Arial" w:cs="Arial"/>
                <w:sz w:val="16"/>
                <w:szCs w:val="16"/>
              </w:rPr>
              <w:t>43,67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pct"/>
            <w:gridSpan w:val="8"/>
            <w:tcBorders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 a carico dell’Ente (8,50% della colonna “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867C18">
              <w:rPr>
                <w:rFonts w:ascii="Arial" w:hAnsi="Arial" w:cs="Arial"/>
                <w:i/>
                <w:sz w:val="16"/>
                <w:szCs w:val="16"/>
              </w:rPr>
              <w:t>mporto totale lordo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64847">
              <w:rPr>
                <w:rFonts w:ascii="Arial" w:hAnsi="Arial" w:cs="Arial"/>
                <w:sz w:val="16"/>
                <w:szCs w:val="16"/>
              </w:rPr>
              <w:t>65,60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pct"/>
            <w:gridSpan w:val="8"/>
            <w:tcBorders>
              <w:right w:val="single" w:sz="4" w:space="0" w:color="auto"/>
            </w:tcBorders>
            <w:vAlign w:val="center"/>
          </w:tcPr>
          <w:p w:rsidR="00D17C7D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 INAIL a carico dell’Ente (percentuale dell’Ente sulla colonna “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867C18">
              <w:rPr>
                <w:rFonts w:ascii="Arial" w:hAnsi="Arial" w:cs="Arial"/>
                <w:i/>
                <w:sz w:val="16"/>
                <w:szCs w:val="16"/>
              </w:rPr>
              <w:t>mporto totale lordo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D17C7D" w:rsidRPr="00B62CF1" w:rsidRDefault="00D17C7D" w:rsidP="0017099F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C7D" w:rsidRPr="00B62CF1" w:rsidRDefault="00D17C7D" w:rsidP="0017099F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C7D" w:rsidRPr="00B62CF1" w:rsidRDefault="00D17C7D" w:rsidP="001709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C7D" w:rsidRPr="0086145B" w:rsidTr="00D17C7D">
        <w:trPr>
          <w:trHeight w:hRule="exact" w:val="340"/>
          <w:jc w:val="center"/>
        </w:trPr>
        <w:tc>
          <w:tcPr>
            <w:tcW w:w="13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pct"/>
            <w:gridSpan w:val="8"/>
            <w:tcBorders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Totale complessivo della spesa ammessa a rimborso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164847">
              <w:rPr>
                <w:rFonts w:ascii="Arial" w:hAnsi="Arial" w:cs="Arial"/>
                <w:sz w:val="16"/>
                <w:szCs w:val="16"/>
              </w:rPr>
              <w:t>935,85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D17C7D" w:rsidRPr="0086145B" w:rsidRDefault="00D17C7D" w:rsidP="0017099F">
            <w:pPr>
              <w:widowControl w:val="0"/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348C" w:rsidRDefault="000E348C"/>
    <w:sectPr w:rsidR="000E348C" w:rsidSect="000E3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compat/>
  <w:rsids>
    <w:rsidRoot w:val="00D17C7D"/>
    <w:rsid w:val="000E348C"/>
    <w:rsid w:val="0014597B"/>
    <w:rsid w:val="00164847"/>
    <w:rsid w:val="00795206"/>
    <w:rsid w:val="007B419C"/>
    <w:rsid w:val="00A57116"/>
    <w:rsid w:val="00C9798A"/>
    <w:rsid w:val="00D17C7D"/>
    <w:rsid w:val="00D5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rag1</cp:lastModifiedBy>
  <cp:revision>2</cp:revision>
  <cp:lastPrinted>2016-09-09T08:01:00Z</cp:lastPrinted>
  <dcterms:created xsi:type="dcterms:W3CDTF">2016-09-09T08:21:00Z</dcterms:created>
  <dcterms:modified xsi:type="dcterms:W3CDTF">2016-09-09T08:21:00Z</dcterms:modified>
</cp:coreProperties>
</file>