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78D" w:rsidRPr="0095078D" w:rsidRDefault="0095078D" w:rsidP="0095078D">
      <w:pPr>
        <w:spacing w:after="0" w:line="240" w:lineRule="auto"/>
        <w:jc w:val="center"/>
        <w:rPr>
          <w:rFonts w:ascii="Arial" w:eastAsiaTheme="minorEastAsia" w:hAnsi="Arial" w:cs="Times New Roman"/>
          <w:sz w:val="36"/>
          <w:szCs w:val="24"/>
          <w:lang w:eastAsia="it-IT"/>
        </w:rPr>
      </w:pPr>
      <w:r w:rsidRPr="0095078D">
        <w:rPr>
          <w:rFonts w:ascii="Arial" w:eastAsiaTheme="minorEastAsia" w:hAnsi="Arial" w:cs="Times New Roman"/>
          <w:i/>
          <w:sz w:val="32"/>
          <w:szCs w:val="24"/>
          <w:lang w:eastAsia="it-IT"/>
        </w:rPr>
        <w:t xml:space="preserve">Comune </w:t>
      </w:r>
      <w:proofErr w:type="gramStart"/>
      <w:r w:rsidRPr="0095078D">
        <w:rPr>
          <w:rFonts w:ascii="Arial" w:eastAsiaTheme="minorEastAsia" w:hAnsi="Arial" w:cs="Times New Roman"/>
          <w:i/>
          <w:sz w:val="32"/>
          <w:szCs w:val="24"/>
          <w:lang w:eastAsia="it-IT"/>
        </w:rPr>
        <w:t>di  Santa</w:t>
      </w:r>
      <w:proofErr w:type="gramEnd"/>
      <w:r w:rsidRPr="0095078D">
        <w:rPr>
          <w:rFonts w:ascii="Arial" w:eastAsiaTheme="minorEastAsia" w:hAnsi="Arial" w:cs="Times New Roman"/>
          <w:i/>
          <w:sz w:val="32"/>
          <w:szCs w:val="24"/>
          <w:lang w:eastAsia="it-IT"/>
        </w:rPr>
        <w:t xml:space="preserve"> Vittoria in Matenano (Prov.</w:t>
      </w:r>
      <w:r w:rsidRPr="0095078D">
        <w:rPr>
          <w:rFonts w:ascii="Arial" w:eastAsiaTheme="minorEastAsia" w:hAnsi="Arial" w:cs="Times New Roman"/>
          <w:sz w:val="20"/>
          <w:szCs w:val="24"/>
          <w:lang w:eastAsia="it-IT"/>
        </w:rPr>
        <w:t xml:space="preserve"> FM</w:t>
      </w:r>
      <w:r w:rsidRPr="0095078D">
        <w:rPr>
          <w:rFonts w:ascii="Arial" w:eastAsiaTheme="minorEastAsia" w:hAnsi="Arial" w:cs="Times New Roman"/>
          <w:i/>
          <w:sz w:val="32"/>
          <w:szCs w:val="24"/>
          <w:lang w:eastAsia="it-IT"/>
        </w:rPr>
        <w:t>)                      ALL. A</w:t>
      </w:r>
    </w:p>
    <w:p w:rsidR="0095078D" w:rsidRPr="0095078D" w:rsidRDefault="0095078D" w:rsidP="0095078D">
      <w:pPr>
        <w:spacing w:before="40" w:after="12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SERVIZIO FINANZIARIO</w:t>
      </w:r>
    </w:p>
    <w:p w:rsidR="0095078D" w:rsidRPr="0095078D" w:rsidRDefault="0095078D" w:rsidP="0095078D">
      <w:pPr>
        <w:spacing w:after="0" w:line="240" w:lineRule="auto"/>
        <w:jc w:val="center"/>
        <w:rPr>
          <w:rFonts w:ascii="Arial" w:eastAsiaTheme="minorEastAsia" w:hAnsi="Arial" w:cs="Times New Roman"/>
          <w:b/>
          <w:sz w:val="28"/>
          <w:szCs w:val="28"/>
          <w:lang w:eastAsia="it-IT"/>
        </w:rPr>
      </w:pPr>
      <w:r w:rsidRPr="0095078D">
        <w:rPr>
          <w:rFonts w:ascii="Arial" w:eastAsiaTheme="minorEastAsia" w:hAnsi="Arial" w:cs="Times New Roman"/>
          <w:b/>
          <w:sz w:val="28"/>
          <w:szCs w:val="28"/>
          <w:lang w:eastAsia="it-IT"/>
        </w:rPr>
        <w:t>RICOGNIZIONE SPESE DI PERSONALE (MEDIA TRIENNIO 2011-2013) E INDIVIDUAZIONE LIMITE DI SPESA</w:t>
      </w:r>
    </w:p>
    <w:p w:rsidR="0095078D" w:rsidRPr="0095078D" w:rsidRDefault="0095078D" w:rsidP="0095078D">
      <w:pPr>
        <w:spacing w:after="0" w:line="240" w:lineRule="auto"/>
        <w:jc w:val="center"/>
        <w:outlineLvl w:val="0"/>
        <w:rPr>
          <w:rFonts w:ascii="Arial" w:eastAsiaTheme="minorEastAsia" w:hAnsi="Arial" w:cs="Times New Roman"/>
          <w:b/>
          <w:i/>
          <w:sz w:val="28"/>
          <w:szCs w:val="28"/>
          <w:lang w:eastAsia="it-IT"/>
        </w:rPr>
      </w:pPr>
      <w:r w:rsidRPr="0095078D">
        <w:rPr>
          <w:rFonts w:ascii="Arial" w:eastAsiaTheme="minorEastAsia" w:hAnsi="Arial" w:cs="Times New Roman"/>
          <w:b/>
          <w:i/>
          <w:sz w:val="28"/>
          <w:szCs w:val="28"/>
          <w:lang w:eastAsia="it-IT"/>
        </w:rPr>
        <w:t>(ENTI SOGGETTI A PATTO DI STABILITA’ NEL 2015)</w:t>
      </w:r>
    </w:p>
    <w:p w:rsidR="0095078D" w:rsidRPr="0095078D" w:rsidRDefault="0095078D" w:rsidP="0095078D">
      <w:pPr>
        <w:spacing w:after="0" w:line="240" w:lineRule="auto"/>
        <w:jc w:val="center"/>
        <w:outlineLvl w:val="0"/>
        <w:rPr>
          <w:rFonts w:ascii="Arial" w:eastAsiaTheme="minorEastAsia" w:hAnsi="Arial" w:cs="Times New Roman"/>
          <w:i/>
          <w:sz w:val="20"/>
          <w:szCs w:val="24"/>
          <w:lang w:eastAsia="it-IT"/>
        </w:rPr>
      </w:pPr>
      <w:r w:rsidRPr="0095078D">
        <w:rPr>
          <w:rFonts w:ascii="Arial" w:eastAsiaTheme="minorEastAsia" w:hAnsi="Arial" w:cs="Times New Roman"/>
          <w:i/>
          <w:sz w:val="20"/>
          <w:szCs w:val="24"/>
          <w:lang w:eastAsia="it-IT"/>
        </w:rPr>
        <w:t>(art. 1, commi 557, 557-bis, 557-ter e 557-quater, L. 27 dicembre 2006, n. 296)</w:t>
      </w:r>
    </w:p>
    <w:p w:rsidR="0095078D" w:rsidRPr="0095078D" w:rsidRDefault="0095078D" w:rsidP="0095078D">
      <w:pPr>
        <w:spacing w:after="0" w:line="240" w:lineRule="auto"/>
        <w:jc w:val="both"/>
        <w:rPr>
          <w:rFonts w:ascii="Arial" w:eastAsiaTheme="minorEastAsia" w:hAnsi="Arial" w:cs="Times New Roman"/>
          <w:sz w:val="16"/>
          <w:szCs w:val="16"/>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619"/>
        <w:gridCol w:w="1339"/>
        <w:gridCol w:w="1621"/>
        <w:gridCol w:w="1512"/>
        <w:gridCol w:w="1621"/>
        <w:gridCol w:w="1415"/>
      </w:tblGrid>
      <w:tr w:rsidR="0095078D" w:rsidRPr="0095078D" w:rsidTr="00371563">
        <w:tc>
          <w:tcPr>
            <w:tcW w:w="181"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N.D.</w:t>
            </w:r>
          </w:p>
        </w:tc>
        <w:tc>
          <w:tcPr>
            <w:tcW w:w="2257"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Voce</w:t>
            </w:r>
          </w:p>
        </w:tc>
        <w:tc>
          <w:tcPr>
            <w:tcW w:w="457"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Rif. al bilancio</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o normativo</w:t>
            </w:r>
          </w:p>
        </w:tc>
        <w:tc>
          <w:tcPr>
            <w:tcW w:w="553"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2011</w:t>
            </w:r>
            <w:r w:rsidRPr="0095078D">
              <w:rPr>
                <w:rFonts w:ascii="Arial Narrow" w:eastAsiaTheme="minorEastAsia" w:hAnsi="Arial Narrow" w:cs="Times New Roman"/>
                <w:b/>
                <w:sz w:val="20"/>
                <w:szCs w:val="24"/>
                <w:vertAlign w:val="superscript"/>
                <w:lang w:eastAsia="it-IT"/>
              </w:rPr>
              <w:footnoteReference w:id="1"/>
            </w:r>
          </w:p>
        </w:tc>
        <w:tc>
          <w:tcPr>
            <w:tcW w:w="516"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2012</w:t>
            </w:r>
            <w:r w:rsidRPr="0095078D">
              <w:rPr>
                <w:rFonts w:ascii="Arial Narrow" w:eastAsiaTheme="minorEastAsia" w:hAnsi="Arial Narrow" w:cs="Times New Roman"/>
                <w:b/>
                <w:sz w:val="20"/>
                <w:szCs w:val="24"/>
                <w:vertAlign w:val="superscript"/>
                <w:lang w:eastAsia="it-IT"/>
              </w:rPr>
              <w:footnoteReference w:id="2"/>
            </w:r>
          </w:p>
        </w:tc>
        <w:tc>
          <w:tcPr>
            <w:tcW w:w="553"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2013</w:t>
            </w:r>
            <w:r w:rsidRPr="0095078D">
              <w:rPr>
                <w:rFonts w:ascii="Arial Narrow" w:eastAsiaTheme="minorEastAsia" w:hAnsi="Arial Narrow" w:cs="Times New Roman"/>
                <w:b/>
                <w:sz w:val="20"/>
                <w:szCs w:val="24"/>
                <w:vertAlign w:val="superscript"/>
                <w:lang w:eastAsia="it-IT"/>
              </w:rPr>
              <w:footnoteReference w:id="3"/>
            </w:r>
          </w:p>
        </w:tc>
        <w:tc>
          <w:tcPr>
            <w:tcW w:w="483" w:type="pc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 TRIENNIO</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Retribuzioni lorde personale a </w:t>
            </w:r>
            <w:r w:rsidRPr="0095078D">
              <w:rPr>
                <w:rFonts w:ascii="Arial Narrow" w:eastAsiaTheme="minorEastAsia" w:hAnsi="Arial Narrow" w:cs="Times New Roman"/>
                <w:b/>
                <w:sz w:val="20"/>
                <w:szCs w:val="24"/>
                <w:lang w:eastAsia="it-IT"/>
              </w:rPr>
              <w:t>tempo indeterminato</w:t>
            </w:r>
            <w:r w:rsidRPr="0095078D">
              <w:rPr>
                <w:rFonts w:ascii="Arial Narrow" w:eastAsiaTheme="minorEastAsia" w:hAnsi="Arial Narrow" w:cs="Times New Roman"/>
                <w:sz w:val="20"/>
                <w:szCs w:val="24"/>
                <w:lang w:eastAsia="it-IT"/>
              </w:rPr>
              <w:t>, compreso il segretario comunale</w:t>
            </w:r>
            <w:r w:rsidRPr="0095078D">
              <w:rPr>
                <w:rFonts w:ascii="Arial Narrow" w:eastAsiaTheme="minorEastAsia" w:hAnsi="Arial Narrow" w:cs="Times New Roman"/>
                <w:sz w:val="20"/>
                <w:szCs w:val="24"/>
                <w:vertAlign w:val="superscript"/>
                <w:lang w:eastAsia="it-IT"/>
              </w:rPr>
              <w:footnoteReference w:id="4"/>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01</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259.181</w:t>
            </w:r>
            <w:proofErr w:type="gramEnd"/>
            <w:r w:rsidRPr="0095078D">
              <w:rPr>
                <w:rFonts w:ascii="Arial Narrow" w:eastAsiaTheme="minorEastAsia" w:hAnsi="Arial Narrow" w:cs="Times New Roman"/>
                <w:sz w:val="20"/>
                <w:szCs w:val="24"/>
                <w:lang w:eastAsia="it-IT"/>
              </w:rPr>
              <w:t>,45</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253.993,39</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230.822,17</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743.997,01</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2</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Retribuzioni lorde personale a </w:t>
            </w:r>
            <w:r w:rsidRPr="0095078D">
              <w:rPr>
                <w:rFonts w:ascii="Arial Narrow" w:eastAsiaTheme="minorEastAsia" w:hAnsi="Arial Narrow" w:cs="Times New Roman"/>
                <w:b/>
                <w:sz w:val="20"/>
                <w:szCs w:val="24"/>
                <w:lang w:eastAsia="it-IT"/>
              </w:rPr>
              <w:t>tempo determinato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01</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3</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Collaborazioni coordinate e continuative</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4</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Altre spese per personale impiegato con forme flessibili di lavoro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5</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personale utilizzato in convenzione (quota parte di costo effettivamente sostenuto)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6</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personale in comando presso l’ente</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7</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Incarichi dirigenziali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110, comma 1 e comma 2, TUEL</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8</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Personale uffici di staff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90 TUEL</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13.425</w:t>
            </w:r>
            <w:proofErr w:type="gramEnd"/>
            <w:r w:rsidRPr="0095078D">
              <w:rPr>
                <w:rFonts w:ascii="Arial Narrow" w:eastAsiaTheme="minorEastAsia" w:hAnsi="Arial Narrow" w:cs="Times New Roman"/>
                <w:sz w:val="20"/>
                <w:szCs w:val="24"/>
                <w:lang w:eastAsia="it-IT"/>
              </w:rPr>
              <w:t>,65</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14.097,72</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16.111,68</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43.635,05</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9</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con contratto di formazione e lavoro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10</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Oneri contributivi a carico ente</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68.073,42</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67.121,57</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62.296,81</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197.491,80</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11</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la previdenza e l’assistenza delle forze di P.M. e per i progetti di miglioramento della circolazione stradale finanziate con proventi del codice della strada</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12</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IRAP</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07</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28.635,60</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28.060</w:t>
            </w:r>
            <w:proofErr w:type="gramEnd"/>
            <w:r w:rsidRPr="0095078D">
              <w:rPr>
                <w:rFonts w:ascii="Arial" w:eastAsiaTheme="minorEastAsia" w:hAnsi="Arial" w:cs="Times New Roman"/>
                <w:sz w:val="20"/>
                <w:szCs w:val="24"/>
                <w:lang w:eastAsia="it-IT"/>
              </w:rPr>
              <w:t>,56</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28.223,15</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xml:space="preserve">€ 84.919,31    </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13</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Oneri per lavoratori socialmente utili</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14</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Buoni pasto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15</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Assegno nucleo familiare</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16</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equo indennizzo</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17</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soggetti utilizzati a vario titolo senza estinzione del rapporto di pubblico impiego in strutture e organismi variamente partecipati o comunque facenti capo all’ente</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lastRenderedPageBreak/>
              <w:t>18</w:t>
            </w:r>
          </w:p>
        </w:tc>
        <w:tc>
          <w:tcPr>
            <w:tcW w:w="2257" w:type="pct"/>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Altro …………………………………………………………………..........................................</w:t>
            </w:r>
          </w:p>
        </w:tc>
        <w:tc>
          <w:tcPr>
            <w:tcW w:w="457"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16"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553" w:type="pct"/>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483" w:type="pct"/>
            <w:shd w:val="clear" w:color="auto" w:fill="F2F2F2"/>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181" w:type="pc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19</w:t>
            </w:r>
          </w:p>
        </w:tc>
        <w:tc>
          <w:tcPr>
            <w:tcW w:w="2714" w:type="pct"/>
            <w:gridSpan w:val="2"/>
            <w:vAlign w:val="center"/>
          </w:tcPr>
          <w:p w:rsidR="0095078D" w:rsidRPr="0095078D" w:rsidRDefault="0095078D" w:rsidP="0095078D">
            <w:pPr>
              <w:numPr>
                <w:ilvl w:val="0"/>
                <w:numId w:val="5"/>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 SPESE DI PERSONALE (voci da 1 a 18)</w:t>
            </w:r>
          </w:p>
        </w:tc>
        <w:tc>
          <w:tcPr>
            <w:tcW w:w="553" w:type="pct"/>
            <w:tcBorders>
              <w:bottom w:val="double" w:sz="4" w:space="0" w:color="auto"/>
            </w:tcBorders>
            <w:shd w:val="clear" w:color="auto" w:fill="B4C6E7"/>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369.316</w:t>
            </w:r>
            <w:proofErr w:type="gramEnd"/>
            <w:r w:rsidRPr="0095078D">
              <w:rPr>
                <w:rFonts w:ascii="Arial" w:eastAsiaTheme="minorEastAsia" w:hAnsi="Arial" w:cs="Times New Roman"/>
                <w:sz w:val="20"/>
                <w:szCs w:val="24"/>
                <w:lang w:eastAsia="it-IT"/>
              </w:rPr>
              <w:t>,12</w:t>
            </w:r>
            <w:r w:rsidRPr="0095078D">
              <w:rPr>
                <w:rFonts w:ascii="Arial Narrow" w:eastAsiaTheme="minorEastAsia" w:hAnsi="Arial Narrow" w:cs="Times New Roman"/>
                <w:sz w:val="20"/>
                <w:szCs w:val="24"/>
                <w:lang w:eastAsia="it-IT"/>
              </w:rPr>
              <w:t xml:space="preserve"> </w:t>
            </w:r>
          </w:p>
        </w:tc>
        <w:tc>
          <w:tcPr>
            <w:tcW w:w="516" w:type="pct"/>
            <w:tcBorders>
              <w:bottom w:val="double" w:sz="4" w:space="0" w:color="auto"/>
            </w:tcBorders>
            <w:shd w:val="clear" w:color="auto" w:fill="B4C6E7"/>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363.273,24</w:t>
            </w:r>
            <w:r w:rsidRPr="0095078D">
              <w:rPr>
                <w:rFonts w:ascii="Arial Narrow" w:eastAsiaTheme="minorEastAsia" w:hAnsi="Arial Narrow" w:cs="Times New Roman"/>
                <w:sz w:val="20"/>
                <w:szCs w:val="24"/>
                <w:lang w:eastAsia="it-IT"/>
              </w:rPr>
              <w:t xml:space="preserve"> </w:t>
            </w:r>
          </w:p>
        </w:tc>
        <w:tc>
          <w:tcPr>
            <w:tcW w:w="553" w:type="pct"/>
            <w:tcBorders>
              <w:bottom w:val="double" w:sz="4" w:space="0" w:color="auto"/>
            </w:tcBorders>
            <w:shd w:val="clear" w:color="auto" w:fill="B4C6E7"/>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xml:space="preserve"> € 337.453,81    </w:t>
            </w:r>
            <w:r w:rsidRPr="0095078D">
              <w:rPr>
                <w:rFonts w:ascii="Arial Narrow" w:eastAsiaTheme="minorEastAsia" w:hAnsi="Arial Narrow" w:cs="Times New Roman"/>
                <w:sz w:val="20"/>
                <w:szCs w:val="24"/>
                <w:lang w:eastAsia="it-IT"/>
              </w:rPr>
              <w:t xml:space="preserve">     </w:t>
            </w:r>
          </w:p>
        </w:tc>
        <w:tc>
          <w:tcPr>
            <w:tcW w:w="483" w:type="pct"/>
            <w:tcBorders>
              <w:bottom w:val="double" w:sz="4" w:space="0" w:color="auto"/>
            </w:tcBorders>
            <w:shd w:val="clear" w:color="auto" w:fill="B4C6E7"/>
            <w:vAlign w:val="center"/>
          </w:tcPr>
          <w:p w:rsidR="0095078D" w:rsidRPr="0095078D" w:rsidRDefault="0095078D" w:rsidP="0095078D">
            <w:pPr>
              <w:spacing w:after="0" w:line="240" w:lineRule="auto"/>
              <w:jc w:val="right"/>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1.070.043</w:t>
            </w:r>
            <w:proofErr w:type="gramEnd"/>
            <w:r w:rsidRPr="0095078D">
              <w:rPr>
                <w:rFonts w:ascii="Arial" w:eastAsiaTheme="minorEastAsia" w:hAnsi="Arial" w:cs="Times New Roman"/>
                <w:sz w:val="20"/>
                <w:szCs w:val="24"/>
                <w:lang w:eastAsia="it-IT"/>
              </w:rPr>
              <w:t xml:space="preserve">,17 </w:t>
            </w:r>
            <w:r w:rsidRPr="0095078D">
              <w:rPr>
                <w:rFonts w:ascii="Arial Narrow" w:eastAsiaTheme="minorEastAsia" w:hAnsi="Arial Narrow" w:cs="Times New Roman"/>
                <w:sz w:val="20"/>
                <w:szCs w:val="24"/>
                <w:lang w:eastAsia="it-IT"/>
              </w:rPr>
              <w:t xml:space="preserve"> </w:t>
            </w:r>
          </w:p>
        </w:tc>
      </w:tr>
    </w:tbl>
    <w:p w:rsidR="0095078D" w:rsidRPr="0095078D" w:rsidRDefault="0095078D" w:rsidP="0095078D">
      <w:pPr>
        <w:spacing w:after="0" w:line="240" w:lineRule="auto"/>
        <w:jc w:val="both"/>
        <w:rPr>
          <w:rFonts w:ascii="Arial" w:eastAsiaTheme="minorEastAsia" w:hAnsi="Arial" w:cs="Times New Roman"/>
          <w:sz w:val="20"/>
          <w:szCs w:val="20"/>
          <w:lang w:eastAsia="it-IT"/>
        </w:rPr>
      </w:pPr>
    </w:p>
    <w:p w:rsidR="0095078D" w:rsidRPr="0095078D" w:rsidRDefault="0095078D" w:rsidP="0095078D">
      <w:pPr>
        <w:spacing w:after="0" w:line="240" w:lineRule="auto"/>
        <w:jc w:val="both"/>
        <w:rPr>
          <w:rFonts w:ascii="Arial" w:eastAsiaTheme="minorEastAsia" w:hAnsi="Arial" w:cs="Times New Roman"/>
          <w:sz w:val="20"/>
          <w:szCs w:val="20"/>
          <w:lang w:eastAsia="it-IT"/>
        </w:rPr>
      </w:pPr>
    </w:p>
    <w:tbl>
      <w:tblPr>
        <w:tblW w:w="1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793"/>
        <w:gridCol w:w="1417"/>
        <w:gridCol w:w="1602"/>
        <w:gridCol w:w="1559"/>
        <w:gridCol w:w="1701"/>
        <w:gridCol w:w="1417"/>
      </w:tblGrid>
      <w:tr w:rsidR="0095078D" w:rsidRPr="0095078D" w:rsidTr="00371563">
        <w:trPr>
          <w:trHeight w:val="284"/>
        </w:trPr>
        <w:tc>
          <w:tcPr>
            <w:tcW w:w="15033" w:type="dxa"/>
            <w:gridSpan w:val="7"/>
            <w:shd w:val="clear" w:color="auto" w:fill="E6E6E6"/>
            <w:vAlign w:val="center"/>
          </w:tcPr>
          <w:p w:rsidR="0095078D" w:rsidRPr="0095078D" w:rsidRDefault="0095078D" w:rsidP="0095078D">
            <w:pPr>
              <w:keepNext/>
              <w:spacing w:after="0" w:line="240" w:lineRule="auto"/>
              <w:jc w:val="center"/>
              <w:outlineLvl w:val="1"/>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A DETRARRE</w:t>
            </w:r>
          </w:p>
        </w:tc>
      </w:tr>
      <w:tr w:rsidR="0095078D" w:rsidRPr="0095078D" w:rsidTr="00371563">
        <w:tc>
          <w:tcPr>
            <w:tcW w:w="544"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N.D.</w:t>
            </w:r>
          </w:p>
        </w:tc>
        <w:tc>
          <w:tcPr>
            <w:tcW w:w="6793"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Voce</w:t>
            </w:r>
          </w:p>
        </w:tc>
        <w:tc>
          <w:tcPr>
            <w:tcW w:w="1417"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Rif. al bilancio</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o normativo</w:t>
            </w:r>
          </w:p>
        </w:tc>
        <w:tc>
          <w:tcPr>
            <w:tcW w:w="1602"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2011</w:t>
            </w:r>
            <w:r w:rsidRPr="0095078D">
              <w:rPr>
                <w:rFonts w:ascii="Arial Narrow" w:eastAsiaTheme="minorEastAsia" w:hAnsi="Arial Narrow" w:cs="Times New Roman"/>
                <w:b/>
                <w:sz w:val="20"/>
                <w:szCs w:val="24"/>
                <w:vertAlign w:val="superscript"/>
                <w:lang w:eastAsia="it-IT"/>
              </w:rPr>
              <w:footnoteReference w:id="5"/>
            </w:r>
          </w:p>
        </w:tc>
        <w:tc>
          <w:tcPr>
            <w:tcW w:w="1559"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2012</w:t>
            </w:r>
            <w:r w:rsidRPr="0095078D">
              <w:rPr>
                <w:rFonts w:ascii="Arial Narrow" w:eastAsiaTheme="minorEastAsia" w:hAnsi="Arial Narrow" w:cs="Times New Roman"/>
                <w:b/>
                <w:sz w:val="20"/>
                <w:szCs w:val="24"/>
                <w:vertAlign w:val="superscript"/>
                <w:lang w:eastAsia="it-IT"/>
              </w:rPr>
              <w:footnoteReference w:id="6"/>
            </w:r>
          </w:p>
        </w:tc>
        <w:tc>
          <w:tcPr>
            <w:tcW w:w="1701"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ANNO 2013</w:t>
            </w:r>
            <w:r w:rsidRPr="0095078D">
              <w:rPr>
                <w:rFonts w:ascii="Arial Narrow" w:eastAsiaTheme="minorEastAsia" w:hAnsi="Arial Narrow" w:cs="Times New Roman"/>
                <w:b/>
                <w:sz w:val="20"/>
                <w:szCs w:val="24"/>
                <w:vertAlign w:val="superscript"/>
                <w:lang w:eastAsia="it-IT"/>
              </w:rPr>
              <w:footnoteReference w:id="7"/>
            </w:r>
          </w:p>
        </w:tc>
        <w:tc>
          <w:tcPr>
            <w:tcW w:w="1417"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 TRIENNIO</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0"/>
                <w:lang w:eastAsia="it-IT"/>
              </w:rPr>
            </w:pPr>
            <w:r w:rsidRPr="0095078D">
              <w:rPr>
                <w:rFonts w:ascii="Arial Narrow" w:eastAsiaTheme="minorEastAsia" w:hAnsi="Arial Narrow" w:cs="Times New Roman"/>
                <w:sz w:val="20"/>
                <w:szCs w:val="20"/>
                <w:lang w:eastAsia="it-IT"/>
              </w:rPr>
              <w:t>Spese per straordinario elettorale a carico di altre amministrazioni</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2</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sostenute per categorie protette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L. n. 68/1999 (nei limiti della quota d’obbligo)</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3</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contratti di formazione e lavoro prorogati per espressa previsione di legge</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4</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di personale totalmente a carico di finanziamenti comunitari o privati</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5</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trasferito dalla regione o dallo Stato per l’esercizio di funzioni delegate</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6</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Oneri derivanti dai rinnovi contrattuali</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7</w:t>
            </w:r>
          </w:p>
        </w:tc>
        <w:tc>
          <w:tcPr>
            <w:tcW w:w="6793" w:type="dxa"/>
            <w:vAlign w:val="center"/>
          </w:tcPr>
          <w:p w:rsidR="0095078D" w:rsidRPr="0095078D" w:rsidRDefault="0095078D" w:rsidP="0095078D">
            <w:pPr>
              <w:spacing w:before="40" w:after="4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Diritti di rogito segretario, incentivi di progettazione, incentivi recupero evasione ICI</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821,48</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314,75</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1.136,23</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8</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la formazione </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9</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missioni</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1.977,70</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10</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comandato o utilizzato in convenzione da altre amministrazioni per le quali è previsto il rimborso a carico dell’ente utilizzatore</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11</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personale stagionale finanziato con quote dei proventi per violazioni al </w:t>
            </w:r>
            <w:proofErr w:type="spellStart"/>
            <w:r w:rsidRPr="0095078D">
              <w:rPr>
                <w:rFonts w:ascii="Arial Narrow" w:eastAsiaTheme="minorEastAsia" w:hAnsi="Arial Narrow" w:cs="Times New Roman"/>
                <w:sz w:val="20"/>
                <w:szCs w:val="24"/>
                <w:lang w:eastAsia="it-IT"/>
              </w:rPr>
              <w:t>C.d.S</w:t>
            </w:r>
            <w:proofErr w:type="spellEnd"/>
            <w:r w:rsidRPr="0095078D">
              <w:rPr>
                <w:rFonts w:ascii="Arial Narrow" w:eastAsiaTheme="minorEastAsia" w:hAnsi="Arial Narrow" w:cs="Times New Roman"/>
                <w:sz w:val="20"/>
                <w:szCs w:val="24"/>
                <w:lang w:eastAsia="it-IT"/>
              </w:rPr>
              <w:t>.</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12</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l’assunzione di personale </w:t>
            </w:r>
            <w:r w:rsidRPr="0095078D">
              <w:rPr>
                <w:rFonts w:ascii="Arial Narrow" w:eastAsiaTheme="minorEastAsia" w:hAnsi="Arial Narrow" w:cs="Times New Roman"/>
                <w:i/>
                <w:sz w:val="20"/>
                <w:szCs w:val="24"/>
                <w:lang w:eastAsia="it-IT"/>
              </w:rPr>
              <w:t xml:space="preserve">ex </w:t>
            </w:r>
            <w:r w:rsidRPr="0095078D">
              <w:rPr>
                <w:rFonts w:ascii="Arial Narrow" w:eastAsiaTheme="minorEastAsia" w:hAnsi="Arial Narrow" w:cs="Times New Roman"/>
                <w:sz w:val="20"/>
                <w:szCs w:val="24"/>
                <w:lang w:eastAsia="it-IT"/>
              </w:rPr>
              <w:t>dipendente dei Monopoli di Stato</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13</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Maggiori spese autorizzate, entro il 31 maggio 2010, ai sensi dell’art. 3, c. 120, legge n. 244/2007</w:t>
            </w:r>
            <w:r w:rsidRPr="0095078D">
              <w:rPr>
                <w:rFonts w:ascii="Arial Narrow" w:eastAsiaTheme="minorEastAsia" w:hAnsi="Arial Narrow" w:cs="Times New Roman"/>
                <w:sz w:val="20"/>
                <w:szCs w:val="24"/>
                <w:vertAlign w:val="superscript"/>
                <w:lang w:eastAsia="it-IT"/>
              </w:rPr>
              <w:footnoteReference w:id="8"/>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495"/>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14</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lavoro straordinario e altri oneri di personale direttamente connessi all’</w:t>
            </w:r>
            <w:proofErr w:type="spellStart"/>
            <w:r w:rsidRPr="0095078D">
              <w:rPr>
                <w:rFonts w:ascii="Arial Narrow" w:eastAsiaTheme="minorEastAsia" w:hAnsi="Arial Narrow" w:cs="Times New Roman"/>
                <w:sz w:val="20"/>
                <w:szCs w:val="24"/>
                <w:lang w:eastAsia="it-IT"/>
              </w:rPr>
              <w:t>attivit</w:t>
            </w:r>
            <w:r w:rsidRPr="0095078D">
              <w:rPr>
                <w:rFonts w:ascii="Calibri" w:eastAsiaTheme="minorEastAsia" w:hAnsi="Calibri" w:cs="Calibri"/>
                <w:sz w:val="20"/>
                <w:szCs w:val="24"/>
                <w:lang w:eastAsia="it-IT"/>
              </w:rPr>
              <w:t>a</w:t>
            </w:r>
            <w:proofErr w:type="spellEnd"/>
            <w:r w:rsidRPr="0095078D">
              <w:rPr>
                <w:rFonts w:ascii="Calibri" w:eastAsiaTheme="minorEastAsia" w:hAnsi="Calibri" w:cs="Calibri"/>
                <w:sz w:val="20"/>
                <w:szCs w:val="24"/>
                <w:lang w:eastAsia="it-IT"/>
              </w:rPr>
              <w:t>̀</w:t>
            </w:r>
            <w:r w:rsidRPr="0095078D">
              <w:rPr>
                <w:rFonts w:ascii="Arial Narrow" w:eastAsiaTheme="minorEastAsia" w:hAnsi="Arial Narrow" w:cs="Times New Roman"/>
                <w:sz w:val="20"/>
                <w:szCs w:val="24"/>
                <w:lang w:eastAsia="it-IT"/>
              </w:rPr>
              <w:t xml:space="preserve"> di Censimento finanziate dall’ISTAT (circ. Ministero Economia e Finanze n. 16/2012)</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6.000,00</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5.681,52</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15</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assunzioni di personale con contratto dipendente e/o collaborazione coordinata e continuativa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3-bis, c. 8 e 9 del D.L. n. 95/2012</w:t>
            </w:r>
            <w:r w:rsidRPr="0095078D">
              <w:rPr>
                <w:rFonts w:ascii="Arial Narrow" w:eastAsiaTheme="minorEastAsia" w:hAnsi="Arial Narrow" w:cs="Times New Roman"/>
                <w:sz w:val="20"/>
                <w:szCs w:val="24"/>
                <w:vertAlign w:val="superscript"/>
                <w:lang w:eastAsia="it-IT"/>
              </w:rPr>
              <w:footnoteReference w:id="9"/>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lastRenderedPageBreak/>
              <w:t>16</w:t>
            </w:r>
          </w:p>
        </w:tc>
        <w:tc>
          <w:tcPr>
            <w:tcW w:w="6793"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Altro ………………………………………………………………….............................................</w:t>
            </w:r>
          </w:p>
        </w:tc>
        <w:tc>
          <w:tcPr>
            <w:tcW w:w="1417"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602"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55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701"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c>
          <w:tcPr>
            <w:tcW w:w="1417" w:type="dxa"/>
            <w:shd w:val="clear" w:color="auto" w:fill="F2F2F2"/>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w:t>
            </w:r>
          </w:p>
        </w:tc>
      </w:tr>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17</w:t>
            </w:r>
          </w:p>
        </w:tc>
        <w:tc>
          <w:tcPr>
            <w:tcW w:w="8210" w:type="dxa"/>
            <w:gridSpan w:val="2"/>
            <w:vAlign w:val="center"/>
          </w:tcPr>
          <w:p w:rsidR="0095078D" w:rsidRPr="0095078D" w:rsidRDefault="0095078D" w:rsidP="0095078D">
            <w:p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B) TOTALE SPESE ESCLUSE (voci da 1 a 16)</w:t>
            </w:r>
          </w:p>
        </w:tc>
        <w:tc>
          <w:tcPr>
            <w:tcW w:w="1602" w:type="dxa"/>
            <w:tcBorders>
              <w:bottom w:val="double" w:sz="4" w:space="0" w:color="auto"/>
            </w:tcBorders>
            <w:shd w:val="clear" w:color="auto" w:fill="B4C6E7"/>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7.977,70</w:t>
            </w:r>
          </w:p>
        </w:tc>
        <w:tc>
          <w:tcPr>
            <w:tcW w:w="1559" w:type="dxa"/>
            <w:tcBorders>
              <w:bottom w:val="double" w:sz="4" w:space="0" w:color="auto"/>
            </w:tcBorders>
            <w:shd w:val="clear" w:color="auto" w:fill="B4C6E7"/>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6.503</w:t>
            </w:r>
            <w:proofErr w:type="gramEnd"/>
            <w:r w:rsidRPr="0095078D">
              <w:rPr>
                <w:rFonts w:ascii="Arial" w:eastAsiaTheme="minorEastAsia" w:hAnsi="Arial" w:cs="Times New Roman"/>
                <w:sz w:val="20"/>
                <w:szCs w:val="24"/>
                <w:lang w:eastAsia="it-IT"/>
              </w:rPr>
              <w:t>,00</w:t>
            </w:r>
            <w:r w:rsidRPr="0095078D">
              <w:rPr>
                <w:rFonts w:ascii="Arial Narrow" w:eastAsiaTheme="minorEastAsia" w:hAnsi="Arial Narrow" w:cs="Times New Roman"/>
                <w:sz w:val="20"/>
                <w:szCs w:val="24"/>
                <w:lang w:eastAsia="it-IT"/>
              </w:rPr>
              <w:t xml:space="preserve"> </w:t>
            </w:r>
          </w:p>
        </w:tc>
        <w:tc>
          <w:tcPr>
            <w:tcW w:w="1701" w:type="dxa"/>
            <w:tcBorders>
              <w:bottom w:val="double" w:sz="4" w:space="0" w:color="auto"/>
            </w:tcBorders>
            <w:shd w:val="clear" w:color="auto" w:fill="B4C6E7"/>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314,75</w:t>
            </w:r>
          </w:p>
        </w:tc>
        <w:tc>
          <w:tcPr>
            <w:tcW w:w="1417" w:type="dxa"/>
            <w:tcBorders>
              <w:bottom w:val="double" w:sz="4" w:space="0" w:color="auto"/>
            </w:tcBorders>
            <w:shd w:val="clear" w:color="auto" w:fill="B4C6E7"/>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14.795,45</w:t>
            </w:r>
          </w:p>
        </w:tc>
      </w:tr>
    </w:tbl>
    <w:p w:rsidR="0095078D" w:rsidRPr="0095078D" w:rsidRDefault="0095078D" w:rsidP="0095078D">
      <w:pPr>
        <w:spacing w:after="0" w:line="240" w:lineRule="auto"/>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2681"/>
        <w:gridCol w:w="1451"/>
      </w:tblGrid>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18</w:t>
            </w:r>
          </w:p>
        </w:tc>
        <w:tc>
          <w:tcPr>
            <w:tcW w:w="13030" w:type="dxa"/>
            <w:vAlign w:val="center"/>
          </w:tcPr>
          <w:p w:rsidR="0095078D" w:rsidRPr="0095078D" w:rsidRDefault="0095078D" w:rsidP="0095078D">
            <w:pPr>
              <w:numPr>
                <w:ilvl w:val="0"/>
                <w:numId w:val="6"/>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 DI PERSONALE NETTA TRIENNIO 2011-2013 (A - B)</w:t>
            </w:r>
          </w:p>
        </w:tc>
        <w:tc>
          <w:tcPr>
            <w:tcW w:w="1460" w:type="dxa"/>
            <w:tcBorders>
              <w:top w:val="double" w:sz="4" w:space="0" w:color="auto"/>
              <w:bottom w:val="double" w:sz="4" w:space="0" w:color="auto"/>
            </w:tcBorders>
            <w:shd w:val="clear" w:color="auto" w:fill="F7CAAC"/>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1.055.247,72</w:t>
            </w:r>
          </w:p>
        </w:tc>
      </w:tr>
    </w:tbl>
    <w:p w:rsidR="0095078D" w:rsidRPr="0095078D" w:rsidRDefault="0095078D" w:rsidP="0095078D">
      <w:pPr>
        <w:spacing w:before="40" w:after="40" w:line="240" w:lineRule="auto"/>
        <w:jc w:val="both"/>
        <w:rPr>
          <w:rFonts w:ascii="Arial" w:eastAsiaTheme="minorEastAsia" w:hAnsi="Arial" w:cs="Times New Roman"/>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2684"/>
        <w:gridCol w:w="1448"/>
      </w:tblGrid>
      <w:tr w:rsidR="0095078D" w:rsidRPr="0095078D" w:rsidTr="00371563">
        <w:trPr>
          <w:trHeight w:val="312"/>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19</w:t>
            </w:r>
          </w:p>
        </w:tc>
        <w:tc>
          <w:tcPr>
            <w:tcW w:w="13030" w:type="dxa"/>
            <w:vAlign w:val="center"/>
          </w:tcPr>
          <w:p w:rsidR="0095078D" w:rsidRPr="0095078D" w:rsidRDefault="0095078D" w:rsidP="0095078D">
            <w:p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 DI PERSONALE MEDIA TRIENNIO 2011-2013 (LIMITE PER IL 2019) (C / 3)</w:t>
            </w:r>
          </w:p>
        </w:tc>
        <w:tc>
          <w:tcPr>
            <w:tcW w:w="1460" w:type="dxa"/>
            <w:tcBorders>
              <w:top w:val="double" w:sz="4" w:space="0" w:color="auto"/>
              <w:bottom w:val="double" w:sz="4" w:space="0" w:color="auto"/>
            </w:tcBorders>
            <w:shd w:val="clear" w:color="auto" w:fill="F7CAAC"/>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r w:rsidRPr="0095078D">
              <w:rPr>
                <w:rFonts w:ascii="Arial Narrow" w:eastAsiaTheme="minorEastAsia" w:hAnsi="Arial Narrow" w:cs="Times New Roman"/>
                <w:sz w:val="20"/>
                <w:szCs w:val="24"/>
                <w:lang w:eastAsia="it-IT"/>
              </w:rPr>
              <w:t xml:space="preserve">   351.749,24</w:t>
            </w:r>
          </w:p>
        </w:tc>
      </w:tr>
    </w:tbl>
    <w:p w:rsidR="0095078D" w:rsidRPr="0095078D" w:rsidRDefault="0095078D" w:rsidP="0095078D">
      <w:pPr>
        <w:spacing w:before="40" w:after="40" w:line="240" w:lineRule="auto"/>
        <w:jc w:val="both"/>
        <w:rPr>
          <w:rFonts w:ascii="Arial" w:eastAsiaTheme="minorEastAsia" w:hAnsi="Arial" w:cs="Times New Roman"/>
          <w:sz w:val="16"/>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16"/>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16"/>
          <w:szCs w:val="24"/>
          <w:lang w:eastAsia="it-IT"/>
        </w:rPr>
      </w:pPr>
    </w:p>
    <w:p w:rsidR="0095078D" w:rsidRPr="0095078D" w:rsidRDefault="0095078D" w:rsidP="0095078D">
      <w:pPr>
        <w:spacing w:after="0" w:line="240" w:lineRule="auto"/>
        <w:jc w:val="right"/>
        <w:rPr>
          <w:rFonts w:ascii="Arial" w:eastAsiaTheme="minorEastAsia" w:hAnsi="Arial" w:cs="Times New Roman"/>
          <w:sz w:val="16"/>
          <w:szCs w:val="24"/>
          <w:lang w:eastAsia="it-IT"/>
        </w:rPr>
      </w:pPr>
      <w:proofErr w:type="gramStart"/>
      <w:r w:rsidRPr="0095078D">
        <w:rPr>
          <w:rFonts w:ascii="Arial" w:eastAsiaTheme="minorEastAsia" w:hAnsi="Arial" w:cs="Times New Roman"/>
          <w:sz w:val="20"/>
          <w:szCs w:val="24"/>
          <w:lang w:eastAsia="it-IT"/>
        </w:rPr>
        <w:t>Data  16</w:t>
      </w:r>
      <w:proofErr w:type="gramEnd"/>
      <w:r w:rsidRPr="0095078D">
        <w:rPr>
          <w:rFonts w:ascii="Arial" w:eastAsiaTheme="minorEastAsia" w:hAnsi="Arial" w:cs="Times New Roman"/>
          <w:sz w:val="20"/>
          <w:szCs w:val="24"/>
          <w:lang w:eastAsia="it-IT"/>
        </w:rPr>
        <w:t>/07/2018</w:t>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t xml:space="preserve"> </w:t>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t xml:space="preserve">                              Il Responsabile del servizio finanziario Dr. Enrico</w:t>
      </w:r>
    </w:p>
    <w:p w:rsidR="0095078D" w:rsidRPr="0095078D" w:rsidRDefault="0095078D" w:rsidP="0095078D">
      <w:pPr>
        <w:spacing w:after="0" w:line="240" w:lineRule="auto"/>
        <w:jc w:val="right"/>
        <w:rPr>
          <w:rFonts w:ascii="Arial" w:eastAsiaTheme="minorEastAsia" w:hAnsi="Arial" w:cs="Times New Roman"/>
          <w:sz w:val="16"/>
          <w:szCs w:val="24"/>
          <w:lang w:eastAsia="it-IT"/>
        </w:rPr>
      </w:pPr>
    </w:p>
    <w:p w:rsidR="0095078D" w:rsidRPr="0095078D" w:rsidRDefault="0095078D" w:rsidP="0095078D">
      <w:pPr>
        <w:spacing w:after="0" w:line="240" w:lineRule="auto"/>
        <w:jc w:val="right"/>
        <w:rPr>
          <w:rFonts w:ascii="Arial" w:eastAsiaTheme="minorEastAsia" w:hAnsi="Arial" w:cs="Times New Roman"/>
          <w:sz w:val="16"/>
          <w:szCs w:val="24"/>
          <w:lang w:eastAsia="it-IT"/>
        </w:rPr>
      </w:pPr>
    </w:p>
    <w:p w:rsidR="0095078D" w:rsidRPr="0095078D" w:rsidRDefault="0095078D" w:rsidP="0095078D">
      <w:pPr>
        <w:spacing w:after="0" w:line="240" w:lineRule="auto"/>
        <w:jc w:val="right"/>
        <w:rPr>
          <w:rFonts w:ascii="Arial" w:eastAsiaTheme="minorEastAsia" w:hAnsi="Arial" w:cs="Times New Roman"/>
          <w:sz w:val="16"/>
          <w:szCs w:val="24"/>
          <w:lang w:eastAsia="it-IT"/>
        </w:rPr>
      </w:pPr>
    </w:p>
    <w:p w:rsidR="0095078D" w:rsidRPr="0095078D" w:rsidRDefault="0095078D" w:rsidP="0095078D">
      <w:pPr>
        <w:spacing w:after="0" w:line="240" w:lineRule="auto"/>
        <w:jc w:val="right"/>
        <w:rPr>
          <w:rFonts w:ascii="Arial" w:eastAsiaTheme="minorEastAsia" w:hAnsi="Arial" w:cs="Times New Roman"/>
          <w:sz w:val="16"/>
          <w:szCs w:val="24"/>
          <w:lang w:eastAsia="it-IT"/>
        </w:rPr>
      </w:pPr>
      <w:r w:rsidRPr="0095078D">
        <w:rPr>
          <w:rFonts w:ascii="Arial" w:eastAsiaTheme="minorEastAsia" w:hAnsi="Arial" w:cs="Times New Roman"/>
          <w:sz w:val="16"/>
          <w:szCs w:val="24"/>
          <w:lang w:eastAsia="it-IT"/>
        </w:rPr>
        <w:br w:type="page"/>
      </w:r>
    </w:p>
    <w:p w:rsidR="0095078D" w:rsidRPr="0095078D" w:rsidRDefault="0095078D" w:rsidP="0095078D">
      <w:pPr>
        <w:spacing w:after="0" w:line="240" w:lineRule="auto"/>
        <w:jc w:val="right"/>
        <w:rPr>
          <w:rFonts w:ascii="Arial" w:eastAsiaTheme="minorEastAsia" w:hAnsi="Arial" w:cs="Times New Roman"/>
          <w:sz w:val="16"/>
          <w:szCs w:val="24"/>
          <w:lang w:eastAsia="it-IT"/>
        </w:rPr>
      </w:pPr>
      <w:r w:rsidRPr="0095078D">
        <w:rPr>
          <w:rFonts w:ascii="Arial" w:eastAsiaTheme="minorEastAsia" w:hAnsi="Arial" w:cs="Times New Roman"/>
          <w:sz w:val="16"/>
          <w:szCs w:val="24"/>
          <w:lang w:eastAsia="it-IT"/>
        </w:rPr>
        <w:lastRenderedPageBreak/>
        <w:t>Allegato B) alla determinazione n. …………. in data ………………….</w:t>
      </w:r>
    </w:p>
    <w:p w:rsidR="0095078D" w:rsidRPr="0095078D" w:rsidRDefault="0095078D" w:rsidP="0095078D">
      <w:pPr>
        <w:spacing w:after="0" w:line="240" w:lineRule="auto"/>
        <w:jc w:val="both"/>
        <w:rPr>
          <w:rFonts w:ascii="Arial" w:eastAsiaTheme="minorEastAsia" w:hAnsi="Arial" w:cs="Times New Roman"/>
          <w:sz w:val="16"/>
          <w:szCs w:val="24"/>
          <w:lang w:eastAsia="it-IT"/>
        </w:rPr>
      </w:pPr>
    </w:p>
    <w:p w:rsidR="0095078D" w:rsidRPr="0095078D" w:rsidRDefault="0095078D" w:rsidP="0095078D">
      <w:pPr>
        <w:spacing w:after="0" w:line="240" w:lineRule="auto"/>
        <w:jc w:val="center"/>
        <w:rPr>
          <w:rFonts w:ascii="Arial" w:eastAsiaTheme="minorEastAsia" w:hAnsi="Arial" w:cs="Times New Roman"/>
          <w:sz w:val="36"/>
          <w:szCs w:val="24"/>
          <w:lang w:eastAsia="it-IT"/>
        </w:rPr>
      </w:pPr>
      <w:r w:rsidRPr="0095078D">
        <w:rPr>
          <w:rFonts w:ascii="Arial" w:eastAsiaTheme="minorEastAsia" w:hAnsi="Arial" w:cs="Times New Roman"/>
          <w:i/>
          <w:sz w:val="32"/>
          <w:szCs w:val="24"/>
          <w:lang w:eastAsia="it-IT"/>
        </w:rPr>
        <w:t>Comune di Santa Vittoria in Matenano (Prov.</w:t>
      </w:r>
      <w:r w:rsidRPr="0095078D">
        <w:rPr>
          <w:rFonts w:ascii="Arial" w:eastAsiaTheme="minorEastAsia" w:hAnsi="Arial" w:cs="Times New Roman"/>
          <w:sz w:val="20"/>
          <w:szCs w:val="24"/>
          <w:lang w:eastAsia="it-IT"/>
        </w:rPr>
        <w:t xml:space="preserve"> Fermo</w:t>
      </w:r>
      <w:r w:rsidRPr="0095078D">
        <w:rPr>
          <w:rFonts w:ascii="Arial" w:eastAsiaTheme="minorEastAsia" w:hAnsi="Arial" w:cs="Times New Roman"/>
          <w:i/>
          <w:sz w:val="32"/>
          <w:szCs w:val="24"/>
          <w:lang w:eastAsia="it-IT"/>
        </w:rPr>
        <w:t>)</w:t>
      </w:r>
    </w:p>
    <w:p w:rsidR="0095078D" w:rsidRPr="0095078D" w:rsidRDefault="0095078D" w:rsidP="0095078D">
      <w:pPr>
        <w:keepNext/>
        <w:spacing w:before="40" w:after="40" w:line="240" w:lineRule="auto"/>
        <w:jc w:val="center"/>
        <w:outlineLvl w:val="0"/>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SERVIZIO FINANZIARIO-PERSONALE</w:t>
      </w:r>
    </w:p>
    <w:p w:rsidR="0095078D" w:rsidRPr="0095078D" w:rsidRDefault="0095078D" w:rsidP="0095078D">
      <w:pPr>
        <w:spacing w:after="0" w:line="240" w:lineRule="auto"/>
        <w:jc w:val="center"/>
        <w:rPr>
          <w:rFonts w:ascii="Arial" w:eastAsiaTheme="minorEastAsia" w:hAnsi="Arial" w:cs="Times New Roman"/>
          <w:b/>
          <w:sz w:val="20"/>
          <w:szCs w:val="24"/>
          <w:lang w:eastAsia="it-IT"/>
        </w:rPr>
      </w:pPr>
    </w:p>
    <w:p w:rsidR="0095078D" w:rsidRPr="0095078D" w:rsidRDefault="0095078D" w:rsidP="0095078D">
      <w:pPr>
        <w:spacing w:after="0" w:line="240" w:lineRule="auto"/>
        <w:jc w:val="center"/>
        <w:rPr>
          <w:rFonts w:ascii="Arial" w:eastAsiaTheme="minorEastAsia" w:hAnsi="Arial" w:cs="Times New Roman"/>
          <w:b/>
          <w:lang w:eastAsia="it-IT"/>
        </w:rPr>
      </w:pPr>
      <w:r w:rsidRPr="0095078D">
        <w:rPr>
          <w:rFonts w:ascii="Arial" w:eastAsiaTheme="minorEastAsia" w:hAnsi="Arial" w:cs="Times New Roman"/>
          <w:b/>
          <w:lang w:eastAsia="it-IT"/>
        </w:rPr>
        <w:t>VERIFICA DELLA COERENZA DELLE SPESE DI PERSONALE PER L’ANNO 2019 CON IL LIMITE DELLA MEDIA DEL TRIENNIO 2011-2013</w:t>
      </w:r>
    </w:p>
    <w:p w:rsidR="0095078D" w:rsidRPr="0095078D" w:rsidRDefault="0095078D" w:rsidP="0095078D">
      <w:pPr>
        <w:spacing w:before="40" w:after="40" w:line="240" w:lineRule="auto"/>
        <w:jc w:val="center"/>
        <w:rPr>
          <w:rFonts w:ascii="Arial" w:eastAsiaTheme="minorEastAsia" w:hAnsi="Arial" w:cs="Times New Roman"/>
          <w:i/>
          <w:sz w:val="20"/>
          <w:szCs w:val="24"/>
          <w:lang w:eastAsia="it-IT"/>
        </w:rPr>
      </w:pPr>
      <w:r w:rsidRPr="0095078D">
        <w:rPr>
          <w:rFonts w:ascii="Arial" w:eastAsiaTheme="minorEastAsia" w:hAnsi="Arial" w:cs="Times New Roman"/>
          <w:i/>
          <w:sz w:val="20"/>
          <w:szCs w:val="24"/>
          <w:lang w:eastAsia="it-IT"/>
        </w:rPr>
        <w:t>(art. 1, commi 557 - 557-quater, L. 27 dicembre 2006, n. 296)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8069"/>
        <w:gridCol w:w="1620"/>
        <w:gridCol w:w="1440"/>
        <w:gridCol w:w="1440"/>
        <w:gridCol w:w="1440"/>
      </w:tblGrid>
      <w:tr w:rsidR="0095078D" w:rsidRPr="0095078D" w:rsidTr="00371563">
        <w:tc>
          <w:tcPr>
            <w:tcW w:w="544"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N.D.</w:t>
            </w:r>
          </w:p>
        </w:tc>
        <w:tc>
          <w:tcPr>
            <w:tcW w:w="8069"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Voce</w:t>
            </w:r>
          </w:p>
        </w:tc>
        <w:tc>
          <w:tcPr>
            <w:tcW w:w="1620"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Rif. al bilancio</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 Rif. normativo</w:t>
            </w:r>
          </w:p>
        </w:tc>
        <w:tc>
          <w:tcPr>
            <w:tcW w:w="4320" w:type="dxa"/>
            <w:gridSpan w:val="3"/>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 ANNO 2019</w:t>
            </w:r>
            <w:r w:rsidRPr="0095078D">
              <w:rPr>
                <w:rFonts w:ascii="Arial Narrow" w:eastAsiaTheme="minorEastAsia" w:hAnsi="Arial Narrow" w:cs="Times New Roman"/>
                <w:b/>
                <w:sz w:val="20"/>
                <w:szCs w:val="24"/>
                <w:vertAlign w:val="superscript"/>
                <w:lang w:eastAsia="it-IT"/>
              </w:rPr>
              <w:footnoteReference w:id="10"/>
            </w:r>
          </w:p>
        </w:tc>
      </w:tr>
      <w:tr w:rsidR="0095078D" w:rsidRPr="0095078D" w:rsidTr="00371563">
        <w:tc>
          <w:tcPr>
            <w:tcW w:w="544"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8069"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620"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Spese già contratte</w:t>
            </w:r>
            <w:r w:rsidRPr="0095078D">
              <w:rPr>
                <w:rFonts w:ascii="Arial Narrow" w:eastAsiaTheme="minorEastAsia" w:hAnsi="Arial Narrow" w:cs="Times New Roman"/>
                <w:b/>
                <w:sz w:val="20"/>
                <w:szCs w:val="24"/>
                <w:vertAlign w:val="superscript"/>
                <w:lang w:eastAsia="it-IT"/>
              </w:rPr>
              <w:footnoteReference w:id="11"/>
            </w:r>
          </w:p>
        </w:tc>
        <w:tc>
          <w:tcPr>
            <w:tcW w:w="1440" w:type="dxa"/>
            <w:shd w:val="clear" w:color="auto" w:fill="E0E0E0"/>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Nuove spese programmate</w:t>
            </w: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w:t>
            </w:r>
          </w:p>
        </w:tc>
      </w:tr>
      <w:tr w:rsidR="0095078D" w:rsidRPr="0095078D" w:rsidTr="00371563">
        <w:tc>
          <w:tcPr>
            <w:tcW w:w="544"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8069"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620"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(1)</w:t>
            </w:r>
          </w:p>
        </w:tc>
        <w:tc>
          <w:tcPr>
            <w:tcW w:w="1440" w:type="dxa"/>
            <w:shd w:val="clear" w:color="auto" w:fill="E0E0E0"/>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(2)</w:t>
            </w: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(1 + 2)</w:t>
            </w:r>
          </w:p>
        </w:tc>
      </w:tr>
      <w:tr w:rsidR="0095078D" w:rsidRPr="0095078D" w:rsidTr="00371563">
        <w:trPr>
          <w:trHeight w:val="256"/>
        </w:trPr>
        <w:tc>
          <w:tcPr>
            <w:tcW w:w="14553" w:type="dxa"/>
            <w:gridSpan w:val="6"/>
            <w:shd w:val="clear" w:color="auto" w:fill="E6E6E6"/>
            <w:vAlign w:val="center"/>
          </w:tcPr>
          <w:p w:rsidR="0095078D" w:rsidRPr="0095078D" w:rsidRDefault="0095078D" w:rsidP="0095078D">
            <w:pPr>
              <w:keepNext/>
              <w:spacing w:after="0" w:line="240" w:lineRule="auto"/>
              <w:jc w:val="center"/>
              <w:outlineLvl w:val="1"/>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A SOMMARE</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Retribuzioni lorde personale a </w:t>
            </w:r>
            <w:r w:rsidRPr="0095078D">
              <w:rPr>
                <w:rFonts w:ascii="Arial Narrow" w:eastAsiaTheme="minorEastAsia" w:hAnsi="Arial Narrow" w:cs="Times New Roman"/>
                <w:b/>
                <w:sz w:val="20"/>
                <w:szCs w:val="24"/>
                <w:lang w:eastAsia="it-IT"/>
              </w:rPr>
              <w:t>tempo indeterminato</w:t>
            </w:r>
            <w:r w:rsidRPr="0095078D">
              <w:rPr>
                <w:rFonts w:ascii="Arial Narrow" w:eastAsiaTheme="minorEastAsia" w:hAnsi="Arial Narrow" w:cs="Times New Roman"/>
                <w:sz w:val="20"/>
                <w:szCs w:val="24"/>
                <w:lang w:eastAsia="it-IT"/>
              </w:rPr>
              <w:t>, compreso il segretario comunale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01</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   260.265,44</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2</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Retribuzioni lorde personale a </w:t>
            </w:r>
            <w:r w:rsidRPr="0095078D">
              <w:rPr>
                <w:rFonts w:ascii="Arial Narrow" w:eastAsiaTheme="minorEastAsia" w:hAnsi="Arial Narrow" w:cs="Times New Roman"/>
                <w:b/>
                <w:sz w:val="20"/>
                <w:szCs w:val="24"/>
                <w:lang w:eastAsia="it-IT"/>
              </w:rPr>
              <w:t>tempo determinato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01</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   7.207,59</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cantSplit/>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3</w:t>
            </w:r>
          </w:p>
        </w:tc>
        <w:tc>
          <w:tcPr>
            <w:tcW w:w="8069" w:type="dxa"/>
            <w:vAlign w:val="center"/>
          </w:tcPr>
          <w:p w:rsidR="0095078D" w:rsidRPr="0095078D" w:rsidRDefault="0095078D" w:rsidP="0095078D">
            <w:pPr>
              <w:keepNext/>
              <w:spacing w:after="0" w:line="240" w:lineRule="auto"/>
              <w:outlineLvl w:val="1"/>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Collaborazioni coordinate e continuative</w:t>
            </w:r>
          </w:p>
        </w:tc>
        <w:tc>
          <w:tcPr>
            <w:tcW w:w="1620" w:type="dxa"/>
            <w:vMerge w:val="restart"/>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val="en-GB" w:eastAsia="it-IT"/>
              </w:rPr>
            </w:pPr>
            <w:r w:rsidRPr="0095078D">
              <w:rPr>
                <w:rFonts w:ascii="Arial Narrow" w:eastAsiaTheme="minorEastAsia" w:hAnsi="Arial Narrow" w:cs="Times New Roman"/>
                <w:sz w:val="20"/>
                <w:szCs w:val="24"/>
                <w:lang w:val="en-GB" w:eastAsia="it-IT"/>
              </w:rPr>
              <w:t>Art. 14, comma 2 L. n. 89/2014 e Art. 1, c. 557-</w:t>
            </w:r>
            <w:r w:rsidRPr="0095078D">
              <w:rPr>
                <w:rFonts w:ascii="Arial Narrow" w:eastAsiaTheme="minorEastAsia" w:hAnsi="Arial Narrow" w:cs="Times New Roman"/>
                <w:i/>
                <w:sz w:val="20"/>
                <w:szCs w:val="24"/>
                <w:lang w:val="en-GB" w:eastAsia="it-IT"/>
              </w:rPr>
              <w:t>bis</w:t>
            </w:r>
            <w:r w:rsidRPr="0095078D">
              <w:rPr>
                <w:rFonts w:ascii="Arial Narrow" w:eastAsiaTheme="minorEastAsia" w:hAnsi="Arial Narrow" w:cs="Times New Roman"/>
                <w:sz w:val="20"/>
                <w:szCs w:val="24"/>
                <w:lang w:val="en-GB" w:eastAsia="it-IT"/>
              </w:rPr>
              <w:t>,</w:t>
            </w:r>
          </w:p>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L. 296/06</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cantSplit/>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4</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Altre spese per personale impiegato con forme flessibili di lavoro</w:t>
            </w:r>
          </w:p>
        </w:tc>
        <w:tc>
          <w:tcPr>
            <w:tcW w:w="1620" w:type="dxa"/>
            <w:vMerge/>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5</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personale utilizzato in convenzione (quota parte di costo effettivamente sostenuto)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6</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Somme rimborsate ad altre amministrazioni per il personale in posizione di comando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7</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Incarichi dirigenziali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110, comma 1 e comma 2, TUEL</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Art. 1, c. 557-</w:t>
            </w:r>
            <w:r w:rsidRPr="0095078D">
              <w:rPr>
                <w:rFonts w:ascii="Arial Narrow" w:eastAsiaTheme="minorEastAsia" w:hAnsi="Arial Narrow" w:cs="Times New Roman"/>
                <w:i/>
                <w:sz w:val="20"/>
                <w:szCs w:val="24"/>
                <w:lang w:eastAsia="it-IT"/>
              </w:rPr>
              <w:t>bis</w:t>
            </w:r>
            <w:r w:rsidRPr="0095078D">
              <w:rPr>
                <w:rFonts w:ascii="Arial Narrow" w:eastAsiaTheme="minorEastAsia" w:hAnsi="Arial Narrow" w:cs="Times New Roman"/>
                <w:sz w:val="20"/>
                <w:szCs w:val="24"/>
                <w:lang w:eastAsia="it-IT"/>
              </w:rPr>
              <w:t>,</w:t>
            </w:r>
          </w:p>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L. 296/06</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8</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Personale uffici di staff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90 TUEL</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9</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con contratto di formazione e lavoro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w:eastAsiaTheme="minorEastAsia" w:hAnsi="Arial"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10</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Oneri contributivi a carico ente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proofErr w:type="gramStart"/>
            <w:r w:rsidRPr="0095078D">
              <w:rPr>
                <w:rFonts w:ascii="Arial" w:eastAsiaTheme="minorEastAsia" w:hAnsi="Arial" w:cs="Times New Roman"/>
                <w:sz w:val="18"/>
                <w:szCs w:val="18"/>
                <w:lang w:eastAsia="it-IT"/>
              </w:rPr>
              <w:t>€  76.549</w:t>
            </w:r>
            <w:proofErr w:type="gramEnd"/>
            <w:r w:rsidRPr="0095078D">
              <w:rPr>
                <w:rFonts w:ascii="Arial" w:eastAsiaTheme="minorEastAsia" w:hAnsi="Arial" w:cs="Times New Roman"/>
                <w:sz w:val="18"/>
                <w:szCs w:val="18"/>
                <w:lang w:eastAsia="it-IT"/>
              </w:rPr>
              <w:t>,24</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11</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la previdenza e l’assistenza delle forze di P.M. e per i progetti di miglioramento della circolazione stradale finanziate con proventi del Codice della strada</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w:eastAsiaTheme="minorEastAsia" w:hAnsi="Arial"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12</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IRAP</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roofErr w:type="spellStart"/>
            <w:r w:rsidRPr="0095078D">
              <w:rPr>
                <w:rFonts w:ascii="Arial Narrow" w:eastAsiaTheme="minorEastAsia" w:hAnsi="Arial Narrow" w:cs="Times New Roman"/>
                <w:sz w:val="20"/>
                <w:szCs w:val="24"/>
                <w:lang w:eastAsia="it-IT"/>
              </w:rPr>
              <w:t>Int</w:t>
            </w:r>
            <w:proofErr w:type="spellEnd"/>
            <w:r w:rsidRPr="0095078D">
              <w:rPr>
                <w:rFonts w:ascii="Arial Narrow" w:eastAsiaTheme="minorEastAsia" w:hAnsi="Arial Narrow" w:cs="Times New Roman"/>
                <w:sz w:val="20"/>
                <w:szCs w:val="24"/>
                <w:lang w:eastAsia="it-IT"/>
              </w:rPr>
              <w:t>. 07</w:t>
            </w: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   18.264,95</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13</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Oneri per lavoratori socialmente utili</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right"/>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14</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Buoni pasto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15</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Assegno nucleo familiare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16</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equo indennizzo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lastRenderedPageBreak/>
              <w:t>17</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soggetti utilizzati a vario titolo senza estinzione del rapporto di pubblico impiego in strutture e organismi variamente partecipati o comunque facenti capo all’ente (unioni, istituzioni, consorzi, ecc.)</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Art. 1, c. 557-</w:t>
            </w:r>
            <w:r w:rsidRPr="0095078D">
              <w:rPr>
                <w:rFonts w:ascii="Arial Narrow" w:eastAsiaTheme="minorEastAsia" w:hAnsi="Arial Narrow" w:cs="Times New Roman"/>
                <w:i/>
                <w:sz w:val="20"/>
                <w:szCs w:val="24"/>
                <w:lang w:eastAsia="it-IT"/>
              </w:rPr>
              <w:t>bis</w:t>
            </w:r>
            <w:r w:rsidRPr="0095078D">
              <w:rPr>
                <w:rFonts w:ascii="Arial Narrow" w:eastAsiaTheme="minorEastAsia" w:hAnsi="Arial Narrow" w:cs="Times New Roman"/>
                <w:sz w:val="20"/>
                <w:szCs w:val="24"/>
                <w:lang w:eastAsia="it-IT"/>
              </w:rPr>
              <w:t>,</w:t>
            </w:r>
          </w:p>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L. 296/06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18</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Altro ……………………………………………………</w:t>
            </w:r>
            <w:proofErr w:type="gramStart"/>
            <w:r w:rsidRPr="0095078D">
              <w:rPr>
                <w:rFonts w:ascii="Arial Narrow" w:eastAsiaTheme="minorEastAsia" w:hAnsi="Arial Narrow" w:cs="Times New Roman"/>
                <w:sz w:val="20"/>
                <w:szCs w:val="24"/>
                <w:lang w:eastAsia="it-IT"/>
              </w:rPr>
              <w:t>…….</w:t>
            </w:r>
            <w:proofErr w:type="gramEnd"/>
            <w:r w:rsidRPr="0095078D">
              <w:rPr>
                <w:rFonts w:ascii="Arial Narrow" w:eastAsiaTheme="minorEastAsia" w:hAnsi="Arial Narrow" w:cs="Times New Roman"/>
                <w:sz w:val="20"/>
                <w:szCs w:val="24"/>
                <w:lang w:eastAsia="it-IT"/>
              </w:rPr>
              <w:t>……………………………………………………………</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19</w:t>
            </w:r>
          </w:p>
        </w:tc>
        <w:tc>
          <w:tcPr>
            <w:tcW w:w="9689" w:type="dxa"/>
            <w:gridSpan w:val="2"/>
            <w:vAlign w:val="center"/>
          </w:tcPr>
          <w:p w:rsidR="0095078D" w:rsidRPr="0095078D" w:rsidRDefault="0095078D" w:rsidP="0095078D">
            <w:pPr>
              <w:numPr>
                <w:ilvl w:val="0"/>
                <w:numId w:val="8"/>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 SPESE DI PERSONALE (voci da 1 a 18)</w:t>
            </w:r>
          </w:p>
        </w:tc>
        <w:tc>
          <w:tcPr>
            <w:tcW w:w="1440" w:type="dxa"/>
            <w:tcBorders>
              <w:bottom w:val="double" w:sz="4" w:space="0" w:color="auto"/>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   362.287,22</w:t>
            </w:r>
          </w:p>
        </w:tc>
        <w:tc>
          <w:tcPr>
            <w:tcW w:w="1440" w:type="dxa"/>
            <w:tcBorders>
              <w:bottom w:val="double" w:sz="4" w:space="0" w:color="auto"/>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Borders>
              <w:bottom w:val="double" w:sz="4" w:space="0" w:color="auto"/>
            </w:tcBorders>
            <w:shd w:val="clear" w:color="auto" w:fill="D9D9D9"/>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bl>
    <w:p w:rsidR="0095078D" w:rsidRPr="0095078D" w:rsidRDefault="0095078D" w:rsidP="0095078D">
      <w:pPr>
        <w:spacing w:after="0" w:line="240" w:lineRule="auto"/>
        <w:rPr>
          <w:rFonts w:ascii="Times New Roman" w:eastAsia="Times New Roman" w:hAnsi="Times New Roman" w:cs="Times New Roman"/>
          <w:sz w:val="24"/>
          <w:szCs w:val="24"/>
          <w:lang w:eastAsia="it-IT"/>
        </w:rPr>
      </w:pPr>
    </w:p>
    <w:p w:rsidR="0095078D" w:rsidRPr="0095078D" w:rsidRDefault="0095078D" w:rsidP="0095078D">
      <w:pPr>
        <w:spacing w:after="0" w:line="240" w:lineRule="auto"/>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8069"/>
        <w:gridCol w:w="1620"/>
        <w:gridCol w:w="1440"/>
        <w:gridCol w:w="1440"/>
        <w:gridCol w:w="1440"/>
      </w:tblGrid>
      <w:tr w:rsidR="0095078D" w:rsidRPr="0095078D" w:rsidTr="00371563">
        <w:tc>
          <w:tcPr>
            <w:tcW w:w="544"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N.D.</w:t>
            </w:r>
          </w:p>
        </w:tc>
        <w:tc>
          <w:tcPr>
            <w:tcW w:w="8069"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Voce</w:t>
            </w:r>
          </w:p>
        </w:tc>
        <w:tc>
          <w:tcPr>
            <w:tcW w:w="1620" w:type="dxa"/>
            <w:vMerge w:val="restart"/>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Rif. al bilancio</w:t>
            </w:r>
          </w:p>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 Rif. normativo</w:t>
            </w:r>
          </w:p>
        </w:tc>
        <w:tc>
          <w:tcPr>
            <w:tcW w:w="4320" w:type="dxa"/>
            <w:gridSpan w:val="3"/>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 ANNO 2019</w:t>
            </w:r>
            <w:r w:rsidRPr="0095078D">
              <w:rPr>
                <w:rFonts w:ascii="Arial Narrow" w:eastAsiaTheme="minorEastAsia" w:hAnsi="Arial Narrow" w:cs="Times New Roman"/>
                <w:b/>
                <w:sz w:val="20"/>
                <w:szCs w:val="24"/>
                <w:vertAlign w:val="superscript"/>
                <w:lang w:eastAsia="it-IT"/>
              </w:rPr>
              <w:footnoteReference w:id="12"/>
            </w:r>
          </w:p>
        </w:tc>
      </w:tr>
      <w:tr w:rsidR="0095078D" w:rsidRPr="0095078D" w:rsidTr="00371563">
        <w:tc>
          <w:tcPr>
            <w:tcW w:w="544"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8069"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620"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Spese già contratte</w:t>
            </w:r>
            <w:r w:rsidRPr="0095078D">
              <w:rPr>
                <w:rFonts w:ascii="Arial Narrow" w:eastAsiaTheme="minorEastAsia" w:hAnsi="Arial Narrow" w:cs="Times New Roman"/>
                <w:b/>
                <w:sz w:val="20"/>
                <w:szCs w:val="24"/>
                <w:vertAlign w:val="superscript"/>
                <w:lang w:eastAsia="it-IT"/>
              </w:rPr>
              <w:footnoteReference w:id="13"/>
            </w:r>
          </w:p>
        </w:tc>
        <w:tc>
          <w:tcPr>
            <w:tcW w:w="1440" w:type="dxa"/>
            <w:shd w:val="clear" w:color="auto" w:fill="E0E0E0"/>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Nuove spese programmate</w:t>
            </w: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w:t>
            </w:r>
          </w:p>
        </w:tc>
      </w:tr>
      <w:tr w:rsidR="0095078D" w:rsidRPr="0095078D" w:rsidTr="00371563">
        <w:tc>
          <w:tcPr>
            <w:tcW w:w="544"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8069"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620" w:type="dxa"/>
            <w:vMerge/>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(1)</w:t>
            </w:r>
          </w:p>
        </w:tc>
        <w:tc>
          <w:tcPr>
            <w:tcW w:w="1440" w:type="dxa"/>
            <w:shd w:val="clear" w:color="auto" w:fill="E0E0E0"/>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(2)</w:t>
            </w:r>
          </w:p>
        </w:tc>
        <w:tc>
          <w:tcPr>
            <w:tcW w:w="1440" w:type="dxa"/>
            <w:shd w:val="clear" w:color="auto" w:fill="E0E0E0"/>
            <w:vAlign w:val="center"/>
          </w:tcPr>
          <w:p w:rsidR="0095078D" w:rsidRPr="0095078D" w:rsidRDefault="0095078D" w:rsidP="0095078D">
            <w:pPr>
              <w:spacing w:after="0" w:line="240" w:lineRule="auto"/>
              <w:jc w:val="center"/>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(1 + 2)</w:t>
            </w:r>
          </w:p>
        </w:tc>
      </w:tr>
      <w:tr w:rsidR="0095078D" w:rsidRPr="0095078D" w:rsidTr="00371563">
        <w:trPr>
          <w:trHeight w:val="147"/>
        </w:trPr>
        <w:tc>
          <w:tcPr>
            <w:tcW w:w="14553" w:type="dxa"/>
            <w:gridSpan w:val="6"/>
            <w:shd w:val="clear" w:color="auto" w:fill="E6E6E6"/>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A DETRARRE</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0"/>
                <w:lang w:eastAsia="it-IT"/>
              </w:rPr>
            </w:pPr>
            <w:r w:rsidRPr="0095078D">
              <w:rPr>
                <w:rFonts w:ascii="Arial Narrow" w:eastAsiaTheme="minorEastAsia" w:hAnsi="Arial Narrow" w:cs="Times New Roman"/>
                <w:sz w:val="20"/>
                <w:szCs w:val="20"/>
                <w:lang w:eastAsia="it-IT"/>
              </w:rPr>
              <w:t>Spese per straordinario elettorale a carico di altre amministrazioni</w:t>
            </w:r>
          </w:p>
        </w:tc>
        <w:tc>
          <w:tcPr>
            <w:tcW w:w="1620" w:type="dxa"/>
            <w:vAlign w:val="center"/>
          </w:tcPr>
          <w:p w:rsidR="0095078D" w:rsidRPr="0095078D" w:rsidRDefault="0095078D" w:rsidP="0095078D">
            <w:pPr>
              <w:spacing w:before="40" w:after="4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2</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0"/>
                <w:lang w:eastAsia="it-IT"/>
              </w:rPr>
            </w:pPr>
            <w:r w:rsidRPr="0095078D">
              <w:rPr>
                <w:rFonts w:ascii="Arial Narrow" w:eastAsiaTheme="minorEastAsia" w:hAnsi="Arial Narrow" w:cs="Times New Roman"/>
                <w:sz w:val="20"/>
                <w:szCs w:val="20"/>
                <w:lang w:eastAsia="it-IT"/>
              </w:rPr>
              <w:t xml:space="preserve">Spese sostenute per categorie protette </w:t>
            </w:r>
            <w:r w:rsidRPr="0095078D">
              <w:rPr>
                <w:rFonts w:ascii="Arial Narrow" w:eastAsiaTheme="minorEastAsia" w:hAnsi="Arial Narrow" w:cs="Times New Roman"/>
                <w:i/>
                <w:sz w:val="20"/>
                <w:szCs w:val="20"/>
                <w:lang w:eastAsia="it-IT"/>
              </w:rPr>
              <w:t>ex</w:t>
            </w:r>
            <w:r w:rsidRPr="0095078D">
              <w:rPr>
                <w:rFonts w:ascii="Arial Narrow" w:eastAsiaTheme="minorEastAsia" w:hAnsi="Arial Narrow" w:cs="Times New Roman"/>
                <w:sz w:val="20"/>
                <w:szCs w:val="20"/>
                <w:lang w:eastAsia="it-IT"/>
              </w:rPr>
              <w:t xml:space="preserve"> legge n. 68/1999 (solo quota d’obbligo)</w:t>
            </w:r>
          </w:p>
        </w:tc>
        <w:tc>
          <w:tcPr>
            <w:tcW w:w="1620" w:type="dxa"/>
            <w:vAlign w:val="center"/>
          </w:tcPr>
          <w:p w:rsidR="0095078D" w:rsidRPr="0095078D" w:rsidRDefault="0095078D" w:rsidP="0095078D">
            <w:pPr>
              <w:spacing w:before="40" w:after="4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3</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contratti di formazione e lavoro prorogati per espressa previsione di legge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4</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di personale totalmente a carico della Regione Marche per sisma</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xml:space="preserve">€   </w:t>
            </w:r>
            <w:r w:rsidRPr="0095078D">
              <w:rPr>
                <w:rFonts w:ascii="Arial" w:eastAsiaTheme="minorEastAsia" w:hAnsi="Arial" w:cs="Times New Roman"/>
                <w:sz w:val="16"/>
                <w:szCs w:val="16"/>
                <w:lang w:eastAsia="it-IT"/>
              </w:rPr>
              <w:t>125.825,87</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5</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trasferito dalla regione o dallo Stato per l’esercizio di funzioni delegate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6</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highlight w:val="yellow"/>
                <w:lang w:eastAsia="it-IT"/>
              </w:rPr>
            </w:pPr>
            <w:r w:rsidRPr="0095078D">
              <w:rPr>
                <w:rFonts w:ascii="Arial Narrow" w:eastAsiaTheme="minorEastAsia" w:hAnsi="Arial Narrow" w:cs="Times New Roman"/>
                <w:sz w:val="20"/>
                <w:szCs w:val="24"/>
                <w:lang w:eastAsia="it-IT"/>
              </w:rPr>
              <w:t>Oneri derivanti dai rinnovi contrattuali</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Art. 1, c. 557,</w:t>
            </w:r>
          </w:p>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L. 296/06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   6.239,11</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7</w:t>
            </w:r>
          </w:p>
        </w:tc>
        <w:tc>
          <w:tcPr>
            <w:tcW w:w="8069" w:type="dxa"/>
            <w:vAlign w:val="center"/>
          </w:tcPr>
          <w:p w:rsidR="0095078D" w:rsidRPr="0095078D" w:rsidRDefault="0095078D" w:rsidP="0095078D">
            <w:pPr>
              <w:spacing w:before="40" w:after="4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Diritti di rogito segretario, incentivi di progettazione, incentivi recupero evasione ICI</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8</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la formazione</w:t>
            </w:r>
          </w:p>
        </w:tc>
        <w:tc>
          <w:tcPr>
            <w:tcW w:w="1620" w:type="dxa"/>
            <w:vAlign w:val="center"/>
          </w:tcPr>
          <w:p w:rsidR="0095078D" w:rsidRPr="0095078D" w:rsidRDefault="0095078D" w:rsidP="0095078D">
            <w:pPr>
              <w:spacing w:before="40" w:after="4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9</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missioni </w:t>
            </w:r>
          </w:p>
        </w:tc>
        <w:tc>
          <w:tcPr>
            <w:tcW w:w="1620" w:type="dxa"/>
            <w:vAlign w:val="center"/>
          </w:tcPr>
          <w:p w:rsidR="0095078D" w:rsidRPr="0095078D" w:rsidRDefault="0095078D" w:rsidP="0095078D">
            <w:pPr>
              <w:spacing w:before="40" w:after="4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Circ. RGS 9/06</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2.000</w:t>
            </w:r>
            <w:proofErr w:type="gramEnd"/>
            <w:r w:rsidRPr="0095078D">
              <w:rPr>
                <w:rFonts w:ascii="Arial" w:eastAsiaTheme="minorEastAsia" w:hAnsi="Arial" w:cs="Times New Roman"/>
                <w:sz w:val="20"/>
                <w:szCs w:val="24"/>
                <w:lang w:eastAsia="it-IT"/>
              </w:rPr>
              <w:t>,00</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10</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personale comandato o utilizzato in convenzione da altre amministrazioni per le quali è previsto il rimborso a carico dell’ente utilizzatore</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11</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personale stagionale finanziato con quote di proventi per violazioni al </w:t>
            </w:r>
            <w:proofErr w:type="spellStart"/>
            <w:r w:rsidRPr="0095078D">
              <w:rPr>
                <w:rFonts w:ascii="Arial Narrow" w:eastAsiaTheme="minorEastAsia" w:hAnsi="Arial Narrow" w:cs="Times New Roman"/>
                <w:sz w:val="20"/>
                <w:szCs w:val="24"/>
                <w:lang w:eastAsia="it-IT"/>
              </w:rPr>
              <w:t>C.d.S</w:t>
            </w:r>
            <w:proofErr w:type="spellEnd"/>
            <w:r w:rsidRPr="0095078D">
              <w:rPr>
                <w:rFonts w:ascii="Arial Narrow" w:eastAsiaTheme="minorEastAsia" w:hAnsi="Arial Narrow" w:cs="Times New Roman"/>
                <w:sz w:val="20"/>
                <w:szCs w:val="24"/>
                <w:lang w:eastAsia="it-IT"/>
              </w:rPr>
              <w:t>.</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12</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l’assunzione di personale </w:t>
            </w:r>
            <w:r w:rsidRPr="0095078D">
              <w:rPr>
                <w:rFonts w:ascii="Arial Narrow" w:eastAsiaTheme="minorEastAsia" w:hAnsi="Arial Narrow" w:cs="Times New Roman"/>
                <w:i/>
                <w:sz w:val="20"/>
                <w:szCs w:val="24"/>
                <w:lang w:eastAsia="it-IT"/>
              </w:rPr>
              <w:t xml:space="preserve">ex </w:t>
            </w:r>
            <w:r w:rsidRPr="0095078D">
              <w:rPr>
                <w:rFonts w:ascii="Arial Narrow" w:eastAsiaTheme="minorEastAsia" w:hAnsi="Arial Narrow" w:cs="Times New Roman"/>
                <w:sz w:val="20"/>
                <w:szCs w:val="24"/>
                <w:lang w:eastAsia="it-IT"/>
              </w:rPr>
              <w:t>dipendente dei Monopoli di Stato</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13</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Maggiori spese autorizzate, entro il 31 maggio 2010, ai sensi dell’art. 3, c. 120, legge n. 244/2007</w:t>
            </w:r>
            <w:r w:rsidRPr="0095078D">
              <w:rPr>
                <w:rFonts w:ascii="Arial Narrow" w:eastAsiaTheme="minorEastAsia" w:hAnsi="Arial Narrow" w:cs="Times New Roman"/>
                <w:sz w:val="20"/>
                <w:szCs w:val="24"/>
                <w:vertAlign w:val="superscript"/>
                <w:lang w:eastAsia="it-IT"/>
              </w:rPr>
              <w:footnoteReference w:id="14"/>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14</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Spese per il lavoro straordinario e altri oneri di personale direttamente connessi all’</w:t>
            </w:r>
            <w:proofErr w:type="spellStart"/>
            <w:r w:rsidRPr="0095078D">
              <w:rPr>
                <w:rFonts w:ascii="Arial Narrow" w:eastAsiaTheme="minorEastAsia" w:hAnsi="Arial Narrow" w:cs="Times New Roman"/>
                <w:sz w:val="20"/>
                <w:szCs w:val="24"/>
                <w:lang w:eastAsia="it-IT"/>
              </w:rPr>
              <w:t>attivit</w:t>
            </w:r>
            <w:r w:rsidRPr="0095078D">
              <w:rPr>
                <w:rFonts w:ascii="Calibri" w:eastAsia="Times New Roman" w:hAnsi="Calibri" w:cs="Calibri"/>
                <w:sz w:val="20"/>
                <w:szCs w:val="24"/>
                <w:lang w:eastAsia="it-IT"/>
              </w:rPr>
              <w:t>a</w:t>
            </w:r>
            <w:proofErr w:type="spellEnd"/>
            <w:r w:rsidRPr="0095078D">
              <w:rPr>
                <w:rFonts w:ascii="Calibri" w:eastAsia="Times New Roman" w:hAnsi="Calibri" w:cs="Calibri"/>
                <w:sz w:val="20"/>
                <w:szCs w:val="24"/>
                <w:lang w:eastAsia="it-IT"/>
              </w:rPr>
              <w:t>̀</w:t>
            </w:r>
            <w:r w:rsidRPr="0095078D">
              <w:rPr>
                <w:rFonts w:ascii="Arial Narrow" w:eastAsiaTheme="minorEastAsia" w:hAnsi="Arial Narrow" w:cs="Times New Roman"/>
                <w:sz w:val="20"/>
                <w:szCs w:val="24"/>
                <w:lang w:eastAsia="it-IT"/>
              </w:rPr>
              <w:t xml:space="preserve"> di Censimento finanziate dall’ISTAT (circ. Ministero Economia e Finanze n. 16/2012)</w:t>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lastRenderedPageBreak/>
              <w:t>15</w:t>
            </w:r>
          </w:p>
        </w:tc>
        <w:tc>
          <w:tcPr>
            <w:tcW w:w="8069" w:type="dxa"/>
            <w:vAlign w:val="center"/>
          </w:tcPr>
          <w:p w:rsidR="0095078D" w:rsidRPr="0095078D" w:rsidRDefault="0095078D" w:rsidP="0095078D">
            <w:pPr>
              <w:spacing w:after="0" w:line="240" w:lineRule="auto"/>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 xml:space="preserve">Spese per assunzioni di personale con contratto dipendente e/o collaborazione coordinata e continuativa </w:t>
            </w:r>
            <w:r w:rsidRPr="0095078D">
              <w:rPr>
                <w:rFonts w:ascii="Arial Narrow" w:eastAsiaTheme="minorEastAsia" w:hAnsi="Arial Narrow" w:cs="Times New Roman"/>
                <w:i/>
                <w:sz w:val="20"/>
                <w:szCs w:val="24"/>
                <w:lang w:eastAsia="it-IT"/>
              </w:rPr>
              <w:t>ex</w:t>
            </w:r>
            <w:r w:rsidRPr="0095078D">
              <w:rPr>
                <w:rFonts w:ascii="Arial Narrow" w:eastAsiaTheme="minorEastAsia" w:hAnsi="Arial Narrow" w:cs="Times New Roman"/>
                <w:sz w:val="20"/>
                <w:szCs w:val="24"/>
                <w:lang w:eastAsia="it-IT"/>
              </w:rPr>
              <w:t xml:space="preserve"> art. 3-bis, c. 8 e 9 del D.L. n. 95/2012</w:t>
            </w:r>
            <w:r w:rsidRPr="0095078D">
              <w:rPr>
                <w:rFonts w:ascii="Arial Narrow" w:eastAsiaTheme="minorEastAsia" w:hAnsi="Arial Narrow" w:cs="Times New Roman"/>
                <w:sz w:val="20"/>
                <w:szCs w:val="24"/>
                <w:vertAlign w:val="superscript"/>
                <w:lang w:eastAsia="it-IT"/>
              </w:rPr>
              <w:footnoteReference w:id="15"/>
            </w:r>
          </w:p>
        </w:tc>
        <w:tc>
          <w:tcPr>
            <w:tcW w:w="1620"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440" w:type="dxa"/>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16</w:t>
            </w:r>
          </w:p>
        </w:tc>
        <w:tc>
          <w:tcPr>
            <w:tcW w:w="9689" w:type="dxa"/>
            <w:gridSpan w:val="2"/>
            <w:vAlign w:val="center"/>
          </w:tcPr>
          <w:p w:rsidR="0095078D" w:rsidRPr="0095078D" w:rsidRDefault="0095078D" w:rsidP="0095078D">
            <w:pPr>
              <w:numPr>
                <w:ilvl w:val="0"/>
                <w:numId w:val="8"/>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TOTALE SPESE ESCLUSE (voci da 1 a 15)</w:t>
            </w:r>
          </w:p>
        </w:tc>
        <w:tc>
          <w:tcPr>
            <w:tcW w:w="1440" w:type="dxa"/>
            <w:tcBorders>
              <w:bottom w:val="double" w:sz="4" w:space="0" w:color="auto"/>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proofErr w:type="gramStart"/>
            <w:r w:rsidRPr="0095078D">
              <w:rPr>
                <w:rFonts w:ascii="Arial" w:eastAsiaTheme="minorEastAsia" w:hAnsi="Arial" w:cs="Times New Roman"/>
                <w:sz w:val="20"/>
                <w:szCs w:val="24"/>
                <w:lang w:eastAsia="it-IT"/>
              </w:rPr>
              <w:t>€  134.064</w:t>
            </w:r>
            <w:proofErr w:type="gramEnd"/>
            <w:r w:rsidRPr="0095078D">
              <w:rPr>
                <w:rFonts w:ascii="Arial" w:eastAsiaTheme="minorEastAsia" w:hAnsi="Arial" w:cs="Times New Roman"/>
                <w:sz w:val="20"/>
                <w:szCs w:val="24"/>
                <w:lang w:eastAsia="it-IT"/>
              </w:rPr>
              <w:t>,98</w:t>
            </w:r>
          </w:p>
        </w:tc>
        <w:tc>
          <w:tcPr>
            <w:tcW w:w="1440" w:type="dxa"/>
            <w:tcBorders>
              <w:bottom w:val="double" w:sz="4" w:space="0" w:color="auto"/>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c>
          <w:tcPr>
            <w:tcW w:w="1440" w:type="dxa"/>
            <w:tcBorders>
              <w:bottom w:val="double" w:sz="4" w:space="0" w:color="auto"/>
            </w:tcBorders>
            <w:shd w:val="clear" w:color="auto" w:fill="D9D9D9"/>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17</w:t>
            </w:r>
          </w:p>
        </w:tc>
        <w:tc>
          <w:tcPr>
            <w:tcW w:w="9689" w:type="dxa"/>
            <w:gridSpan w:val="2"/>
            <w:vAlign w:val="center"/>
          </w:tcPr>
          <w:p w:rsidR="0095078D" w:rsidRPr="0095078D" w:rsidRDefault="0095078D" w:rsidP="0095078D">
            <w:pPr>
              <w:numPr>
                <w:ilvl w:val="0"/>
                <w:numId w:val="8"/>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SPESA DI PERSONALE ANNO 2018 (A - B)</w:t>
            </w:r>
          </w:p>
        </w:tc>
        <w:tc>
          <w:tcPr>
            <w:tcW w:w="1440" w:type="dxa"/>
            <w:tcBorders>
              <w:top w:val="double" w:sz="4" w:space="0" w:color="auto"/>
              <w:bottom w:val="double" w:sz="4" w:space="0" w:color="auto"/>
              <w:right w:val="nil"/>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p>
        </w:tc>
        <w:tc>
          <w:tcPr>
            <w:tcW w:w="1440" w:type="dxa"/>
            <w:tcBorders>
              <w:top w:val="double" w:sz="4" w:space="0" w:color="auto"/>
              <w:left w:val="nil"/>
              <w:bottom w:val="double" w:sz="4" w:space="0" w:color="auto"/>
            </w:tcBorders>
            <w:vAlign w:val="bottom"/>
          </w:tcPr>
          <w:p w:rsidR="0095078D" w:rsidRPr="0095078D" w:rsidRDefault="0095078D" w:rsidP="0095078D">
            <w:pPr>
              <w:spacing w:before="40" w:after="40" w:line="240" w:lineRule="auto"/>
              <w:jc w:val="both"/>
              <w:rPr>
                <w:rFonts w:ascii="Arial Narrow" w:eastAsiaTheme="minorEastAsia" w:hAnsi="Arial Narrow" w:cs="Times New Roman"/>
                <w:sz w:val="20"/>
                <w:szCs w:val="24"/>
                <w:lang w:eastAsia="it-IT"/>
              </w:rPr>
            </w:pPr>
          </w:p>
        </w:tc>
        <w:tc>
          <w:tcPr>
            <w:tcW w:w="1440" w:type="dxa"/>
            <w:tcBorders>
              <w:top w:val="double" w:sz="4" w:space="0" w:color="auto"/>
              <w:bottom w:val="double" w:sz="4" w:space="0" w:color="auto"/>
            </w:tcBorders>
            <w:shd w:val="clear" w:color="auto" w:fill="F7CAAC"/>
            <w:vAlign w:val="bottom"/>
          </w:tcPr>
          <w:p w:rsidR="0095078D" w:rsidRPr="0095078D" w:rsidRDefault="0095078D" w:rsidP="0095078D">
            <w:pPr>
              <w:spacing w:before="40" w:after="40" w:line="240" w:lineRule="auto"/>
              <w:jc w:val="both"/>
              <w:rPr>
                <w:rFonts w:ascii="Arial Narrow" w:eastAsiaTheme="minorEastAsia" w:hAnsi="Arial Narrow" w:cs="Times New Roman"/>
                <w:sz w:val="18"/>
                <w:szCs w:val="18"/>
                <w:lang w:eastAsia="it-IT"/>
              </w:rPr>
            </w:pPr>
            <w:r w:rsidRPr="0095078D">
              <w:rPr>
                <w:rFonts w:ascii="Arial" w:eastAsiaTheme="minorEastAsia" w:hAnsi="Arial" w:cs="Times New Roman"/>
                <w:sz w:val="18"/>
                <w:szCs w:val="18"/>
                <w:lang w:eastAsia="it-IT"/>
              </w:rPr>
              <w:t>€   228.222,24</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18</w:t>
            </w:r>
          </w:p>
        </w:tc>
        <w:tc>
          <w:tcPr>
            <w:tcW w:w="9689" w:type="dxa"/>
            <w:gridSpan w:val="2"/>
            <w:vAlign w:val="center"/>
          </w:tcPr>
          <w:p w:rsidR="0095078D" w:rsidRPr="0095078D" w:rsidRDefault="0095078D" w:rsidP="0095078D">
            <w:pPr>
              <w:numPr>
                <w:ilvl w:val="0"/>
                <w:numId w:val="8"/>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LIMITE MEDIA DEL TRIENNIO 2011-2013</w:t>
            </w:r>
          </w:p>
        </w:tc>
        <w:tc>
          <w:tcPr>
            <w:tcW w:w="2880" w:type="dxa"/>
            <w:gridSpan w:val="2"/>
            <w:tcBorders>
              <w:top w:val="double" w:sz="4" w:space="0" w:color="auto"/>
              <w:bottom w:val="double" w:sz="4" w:space="0" w:color="auto"/>
            </w:tcBorders>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tc>
        <w:tc>
          <w:tcPr>
            <w:tcW w:w="1440" w:type="dxa"/>
            <w:tcBorders>
              <w:top w:val="double" w:sz="4" w:space="0" w:color="auto"/>
              <w:bottom w:val="double" w:sz="4" w:space="0" w:color="auto"/>
            </w:tcBorders>
            <w:shd w:val="clear" w:color="auto" w:fill="F7CAAC"/>
            <w:vAlign w:val="bottom"/>
          </w:tcPr>
          <w:p w:rsidR="0095078D" w:rsidRPr="0095078D" w:rsidRDefault="0095078D" w:rsidP="0095078D">
            <w:pPr>
              <w:spacing w:before="40" w:after="40" w:line="240" w:lineRule="auto"/>
              <w:jc w:val="both"/>
              <w:rPr>
                <w:rFonts w:ascii="Arial" w:eastAsiaTheme="minorEastAsia" w:hAnsi="Arial" w:cs="Times New Roman"/>
                <w:sz w:val="18"/>
                <w:szCs w:val="18"/>
                <w:lang w:eastAsia="it-IT"/>
              </w:rPr>
            </w:pPr>
            <w:proofErr w:type="gramStart"/>
            <w:r w:rsidRPr="0095078D">
              <w:rPr>
                <w:rFonts w:ascii="Arial" w:eastAsiaTheme="minorEastAsia" w:hAnsi="Arial" w:cs="Times New Roman"/>
                <w:sz w:val="18"/>
                <w:szCs w:val="18"/>
                <w:lang w:eastAsia="it-IT"/>
              </w:rPr>
              <w:t>€  351.749</w:t>
            </w:r>
            <w:proofErr w:type="gramEnd"/>
            <w:r w:rsidRPr="0095078D">
              <w:rPr>
                <w:rFonts w:ascii="Arial" w:eastAsiaTheme="minorEastAsia" w:hAnsi="Arial" w:cs="Times New Roman"/>
                <w:sz w:val="18"/>
                <w:szCs w:val="18"/>
                <w:lang w:eastAsia="it-IT"/>
              </w:rPr>
              <w:t>,24</w:t>
            </w:r>
          </w:p>
        </w:tc>
      </w:tr>
      <w:tr w:rsidR="0095078D" w:rsidRPr="0095078D" w:rsidTr="00371563">
        <w:trPr>
          <w:trHeight w:val="340"/>
        </w:trPr>
        <w:tc>
          <w:tcPr>
            <w:tcW w:w="544" w:type="dxa"/>
            <w:vAlign w:val="center"/>
          </w:tcPr>
          <w:p w:rsidR="0095078D" w:rsidRPr="0095078D" w:rsidRDefault="0095078D" w:rsidP="0095078D">
            <w:pPr>
              <w:spacing w:after="0" w:line="240" w:lineRule="auto"/>
              <w:jc w:val="center"/>
              <w:rPr>
                <w:rFonts w:ascii="Arial Narrow" w:eastAsiaTheme="minorEastAsia" w:hAnsi="Arial Narrow" w:cs="Times New Roman"/>
                <w:sz w:val="20"/>
                <w:szCs w:val="24"/>
                <w:lang w:eastAsia="it-IT"/>
              </w:rPr>
            </w:pPr>
            <w:r w:rsidRPr="0095078D">
              <w:rPr>
                <w:rFonts w:ascii="Arial Narrow" w:eastAsiaTheme="minorEastAsia" w:hAnsi="Arial Narrow" w:cs="Times New Roman"/>
                <w:sz w:val="20"/>
                <w:szCs w:val="24"/>
                <w:lang w:eastAsia="it-IT"/>
              </w:rPr>
              <w:t>19</w:t>
            </w:r>
          </w:p>
        </w:tc>
        <w:tc>
          <w:tcPr>
            <w:tcW w:w="9689" w:type="dxa"/>
            <w:gridSpan w:val="2"/>
            <w:vAlign w:val="center"/>
          </w:tcPr>
          <w:p w:rsidR="0095078D" w:rsidRPr="0095078D" w:rsidRDefault="0095078D" w:rsidP="0095078D">
            <w:pPr>
              <w:numPr>
                <w:ilvl w:val="0"/>
                <w:numId w:val="8"/>
              </w:numPr>
              <w:spacing w:after="0" w:line="240" w:lineRule="auto"/>
              <w:jc w:val="right"/>
              <w:rPr>
                <w:rFonts w:ascii="Arial Narrow" w:eastAsiaTheme="minorEastAsia" w:hAnsi="Arial Narrow" w:cs="Times New Roman"/>
                <w:b/>
                <w:sz w:val="20"/>
                <w:szCs w:val="24"/>
                <w:lang w:eastAsia="it-IT"/>
              </w:rPr>
            </w:pPr>
            <w:r w:rsidRPr="0095078D">
              <w:rPr>
                <w:rFonts w:ascii="Arial Narrow" w:eastAsiaTheme="minorEastAsia" w:hAnsi="Arial Narrow" w:cs="Times New Roman"/>
                <w:b/>
                <w:sz w:val="20"/>
                <w:szCs w:val="24"/>
                <w:lang w:eastAsia="it-IT"/>
              </w:rPr>
              <w:t>SALDO POSITIVO / NEGATIVO</w:t>
            </w:r>
          </w:p>
        </w:tc>
        <w:tc>
          <w:tcPr>
            <w:tcW w:w="2880" w:type="dxa"/>
            <w:gridSpan w:val="2"/>
            <w:tcBorders>
              <w:top w:val="double" w:sz="4" w:space="0" w:color="auto"/>
              <w:bottom w:val="double" w:sz="4" w:space="0" w:color="auto"/>
            </w:tcBorders>
            <w:vAlign w:val="bottom"/>
          </w:tcPr>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tc>
        <w:tc>
          <w:tcPr>
            <w:tcW w:w="1440" w:type="dxa"/>
            <w:tcBorders>
              <w:top w:val="double" w:sz="4" w:space="0" w:color="auto"/>
              <w:bottom w:val="double" w:sz="4" w:space="0" w:color="auto"/>
            </w:tcBorders>
            <w:shd w:val="clear" w:color="auto" w:fill="C5E0B3"/>
            <w:vAlign w:val="bottom"/>
          </w:tcPr>
          <w:p w:rsidR="0095078D" w:rsidRPr="0095078D" w:rsidRDefault="0095078D" w:rsidP="0095078D">
            <w:pPr>
              <w:spacing w:before="40" w:after="40" w:line="240" w:lineRule="auto"/>
              <w:jc w:val="both"/>
              <w:rPr>
                <w:rFonts w:ascii="Arial" w:eastAsiaTheme="minorEastAsia" w:hAnsi="Arial" w:cs="Times New Roman"/>
                <w:sz w:val="18"/>
                <w:szCs w:val="18"/>
                <w:lang w:eastAsia="it-IT"/>
              </w:rPr>
            </w:pPr>
            <w:r w:rsidRPr="0095078D">
              <w:rPr>
                <w:rFonts w:ascii="Arial" w:eastAsiaTheme="minorEastAsia" w:hAnsi="Arial" w:cs="Times New Roman"/>
                <w:sz w:val="18"/>
                <w:szCs w:val="18"/>
                <w:lang w:eastAsia="it-IT"/>
              </w:rPr>
              <w:t>€     123.527,00</w:t>
            </w:r>
          </w:p>
        </w:tc>
      </w:tr>
    </w:tbl>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roofErr w:type="gramStart"/>
      <w:r w:rsidRPr="0095078D">
        <w:rPr>
          <w:rFonts w:ascii="Arial" w:eastAsiaTheme="minorEastAsia" w:hAnsi="Arial" w:cs="Times New Roman"/>
          <w:sz w:val="20"/>
          <w:szCs w:val="24"/>
          <w:lang w:eastAsia="it-IT"/>
        </w:rPr>
        <w:t>Data  16</w:t>
      </w:r>
      <w:proofErr w:type="gramEnd"/>
      <w:r w:rsidRPr="0095078D">
        <w:rPr>
          <w:rFonts w:ascii="Arial" w:eastAsiaTheme="minorEastAsia" w:hAnsi="Arial" w:cs="Times New Roman"/>
          <w:sz w:val="20"/>
          <w:szCs w:val="24"/>
          <w:lang w:eastAsia="it-IT"/>
        </w:rPr>
        <w:t>/07/2018</w:t>
      </w: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Il Responsabile del servizio finanziario</w:t>
      </w:r>
    </w:p>
    <w:p w:rsidR="0095078D" w:rsidRPr="0095078D" w:rsidRDefault="0095078D" w:rsidP="0095078D">
      <w:pPr>
        <w:spacing w:before="40" w:after="40" w:line="360" w:lineRule="auto"/>
        <w:jc w:val="center"/>
        <w:rPr>
          <w:rFonts w:ascii="Arial" w:eastAsiaTheme="minorEastAsia" w:hAnsi="Arial" w:cs="Times New Roman"/>
          <w:sz w:val="20"/>
          <w:szCs w:val="24"/>
          <w:lang w:eastAsia="it-IT"/>
        </w:rPr>
      </w:pPr>
    </w:p>
    <w:p w:rsidR="0095078D" w:rsidRPr="0095078D" w:rsidRDefault="0095078D" w:rsidP="0095078D">
      <w:pPr>
        <w:spacing w:before="40" w:after="4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xml:space="preserve">Dott. </w:t>
      </w:r>
      <w:proofErr w:type="gramStart"/>
      <w:r w:rsidRPr="0095078D">
        <w:rPr>
          <w:rFonts w:ascii="Arial" w:eastAsiaTheme="minorEastAsia" w:hAnsi="Arial" w:cs="Times New Roman"/>
          <w:sz w:val="20"/>
          <w:szCs w:val="24"/>
          <w:lang w:eastAsia="it-IT"/>
        </w:rPr>
        <w:t>Enrico  Gasparri</w:t>
      </w:r>
      <w:proofErr w:type="gramEnd"/>
    </w:p>
    <w:p w:rsidR="0095078D" w:rsidRPr="0095078D" w:rsidRDefault="0095078D" w:rsidP="0095078D">
      <w:pPr>
        <w:spacing w:after="0" w:line="240" w:lineRule="auto"/>
        <w:jc w:val="center"/>
        <w:rPr>
          <w:rFonts w:ascii="Arial" w:eastAsiaTheme="minorEastAsia" w:hAnsi="Arial" w:cs="Times New Roman"/>
          <w:sz w:val="36"/>
          <w:szCs w:val="24"/>
          <w:lang w:eastAsia="it-IT"/>
        </w:rPr>
      </w:pPr>
      <w:r w:rsidRPr="0095078D">
        <w:rPr>
          <w:rFonts w:ascii="Arial" w:eastAsiaTheme="minorEastAsia" w:hAnsi="Arial" w:cs="Times New Roman"/>
          <w:i/>
          <w:sz w:val="32"/>
          <w:szCs w:val="24"/>
          <w:lang w:eastAsia="it-IT"/>
        </w:rPr>
        <w:br w:type="page"/>
      </w:r>
      <w:r w:rsidRPr="0095078D">
        <w:rPr>
          <w:rFonts w:ascii="Arial" w:eastAsiaTheme="minorEastAsia" w:hAnsi="Arial" w:cs="Times New Roman"/>
          <w:i/>
          <w:sz w:val="32"/>
          <w:szCs w:val="24"/>
          <w:lang w:eastAsia="it-IT"/>
        </w:rPr>
        <w:lastRenderedPageBreak/>
        <w:t>Comune di Santa Vittoria in Matenano (Prov.</w:t>
      </w:r>
      <w:r w:rsidRPr="0095078D">
        <w:rPr>
          <w:rFonts w:ascii="Arial" w:eastAsiaTheme="minorEastAsia" w:hAnsi="Arial" w:cs="Times New Roman"/>
          <w:sz w:val="20"/>
          <w:szCs w:val="24"/>
          <w:lang w:eastAsia="it-IT"/>
        </w:rPr>
        <w:t xml:space="preserve"> FM</w:t>
      </w:r>
      <w:r w:rsidRPr="0095078D">
        <w:rPr>
          <w:rFonts w:ascii="Arial" w:eastAsiaTheme="minorEastAsia" w:hAnsi="Arial" w:cs="Times New Roman"/>
          <w:i/>
          <w:sz w:val="32"/>
          <w:szCs w:val="24"/>
          <w:lang w:eastAsia="it-IT"/>
        </w:rPr>
        <w:t>)</w:t>
      </w:r>
    </w:p>
    <w:p w:rsidR="0095078D" w:rsidRPr="0095078D" w:rsidRDefault="0095078D" w:rsidP="0095078D">
      <w:pPr>
        <w:keepNext/>
        <w:spacing w:before="40" w:after="40" w:line="240" w:lineRule="auto"/>
        <w:jc w:val="center"/>
        <w:outlineLvl w:val="0"/>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SERVIZIO FINANZIARIO-PERSONALE</w:t>
      </w:r>
    </w:p>
    <w:p w:rsidR="0095078D" w:rsidRPr="0095078D" w:rsidRDefault="0095078D" w:rsidP="0095078D">
      <w:pPr>
        <w:spacing w:after="0" w:line="240" w:lineRule="auto"/>
        <w:jc w:val="center"/>
        <w:rPr>
          <w:rFonts w:ascii="Arial" w:eastAsiaTheme="minorEastAsia" w:hAnsi="Arial" w:cs="Times New Roman"/>
          <w:b/>
          <w:sz w:val="10"/>
          <w:szCs w:val="24"/>
          <w:lang w:eastAsia="it-IT"/>
        </w:rPr>
      </w:pPr>
    </w:p>
    <w:p w:rsidR="0095078D" w:rsidRPr="0095078D" w:rsidRDefault="0095078D" w:rsidP="0095078D">
      <w:pPr>
        <w:keepNext/>
        <w:spacing w:after="0" w:line="240" w:lineRule="auto"/>
        <w:jc w:val="center"/>
        <w:outlineLvl w:val="2"/>
        <w:rPr>
          <w:rFonts w:ascii="Arial" w:eastAsiaTheme="minorEastAsia" w:hAnsi="Arial" w:cs="Times New Roman"/>
          <w:b/>
          <w:sz w:val="28"/>
          <w:szCs w:val="28"/>
          <w:lang w:eastAsia="it-IT"/>
        </w:rPr>
      </w:pPr>
      <w:r w:rsidRPr="0095078D">
        <w:rPr>
          <w:rFonts w:ascii="Arial" w:eastAsiaTheme="minorEastAsia" w:hAnsi="Arial" w:cs="Times New Roman"/>
          <w:b/>
          <w:sz w:val="28"/>
          <w:szCs w:val="28"/>
          <w:lang w:eastAsia="it-IT"/>
        </w:rPr>
        <w:t>CALCOLO DEL LIMITE DI SPESA PER NUOVE ASSUNZIONI A TEMPO INDETERMINATO</w:t>
      </w:r>
    </w:p>
    <w:p w:rsidR="0095078D" w:rsidRPr="0095078D" w:rsidRDefault="0095078D" w:rsidP="0095078D">
      <w:pPr>
        <w:spacing w:before="40" w:after="40" w:line="240" w:lineRule="auto"/>
        <w:jc w:val="center"/>
        <w:rPr>
          <w:rFonts w:ascii="Arial" w:eastAsiaTheme="minorEastAsia" w:hAnsi="Arial" w:cs="Times New Roman"/>
          <w:i/>
          <w:sz w:val="20"/>
          <w:szCs w:val="24"/>
          <w:lang w:eastAsia="it-IT"/>
        </w:rPr>
      </w:pPr>
      <w:r w:rsidRPr="0095078D">
        <w:rPr>
          <w:rFonts w:ascii="Arial" w:eastAsiaTheme="minorEastAsia" w:hAnsi="Arial" w:cs="Times New Roman"/>
          <w:i/>
          <w:sz w:val="20"/>
          <w:szCs w:val="24"/>
          <w:lang w:eastAsia="it-IT"/>
        </w:rPr>
        <w:t>(art. 1, c. 228, L. 28 dicembre 2015, n. 208 / art. 3, c. 5, D.L. 24 giugno 2014, n. 90)</w:t>
      </w: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t>RESIDUI DISPONIBILI DELLE QUOTE PERCENTUALI DI FACOLTA' ASSUNZIONALI PER IL 2016</w:t>
      </w:r>
      <w:r w:rsidRPr="0095078D">
        <w:rPr>
          <w:rFonts w:ascii="Arial" w:eastAsiaTheme="minorEastAsia" w:hAnsi="Arial" w:cs="Times New Roman"/>
          <w:b/>
          <w:vertAlign w:val="superscript"/>
          <w:lang w:eastAsia="it-IT"/>
        </w:rPr>
        <w:footnoteReference w:id="1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112"/>
        <w:gridCol w:w="739"/>
        <w:gridCol w:w="2404"/>
        <w:gridCol w:w="1435"/>
        <w:gridCol w:w="1933"/>
        <w:gridCol w:w="1916"/>
        <w:gridCol w:w="1769"/>
        <w:gridCol w:w="1639"/>
      </w:tblGrid>
      <w:tr w:rsidR="0095078D" w:rsidRPr="0095078D" w:rsidTr="00371563">
        <w:tc>
          <w:tcPr>
            <w:tcW w:w="617"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N.D.</w:t>
            </w:r>
          </w:p>
        </w:tc>
        <w:tc>
          <w:tcPr>
            <w:tcW w:w="2156"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Profilo professionale</w:t>
            </w:r>
          </w:p>
        </w:tc>
        <w:tc>
          <w:tcPr>
            <w:tcW w:w="667"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roofErr w:type="spellStart"/>
            <w:r w:rsidRPr="0095078D">
              <w:rPr>
                <w:rFonts w:ascii="Arial" w:eastAsiaTheme="minorEastAsia" w:hAnsi="Arial" w:cs="Times New Roman"/>
                <w:b/>
                <w:sz w:val="20"/>
                <w:szCs w:val="24"/>
                <w:lang w:eastAsia="it-IT"/>
              </w:rPr>
              <w:t>Cat</w:t>
            </w:r>
            <w:proofErr w:type="spellEnd"/>
            <w:r w:rsidRPr="0095078D">
              <w:rPr>
                <w:rFonts w:ascii="Arial" w:eastAsiaTheme="minorEastAsia" w:hAnsi="Arial" w:cs="Times New Roman"/>
                <w:b/>
                <w:sz w:val="20"/>
                <w:szCs w:val="24"/>
                <w:lang w:eastAsia="it-IT"/>
              </w:rPr>
              <w:t>.</w:t>
            </w:r>
            <w:r w:rsidRPr="0095078D">
              <w:rPr>
                <w:rFonts w:ascii="Arial" w:eastAsiaTheme="minorEastAsia" w:hAnsi="Arial" w:cs="Times New Roman"/>
                <w:b/>
                <w:sz w:val="20"/>
                <w:szCs w:val="24"/>
                <w:vertAlign w:val="superscript"/>
                <w:lang w:eastAsia="it-IT"/>
              </w:rPr>
              <w:footnoteReference w:id="17"/>
            </w:r>
          </w:p>
        </w:tc>
        <w:tc>
          <w:tcPr>
            <w:tcW w:w="2464"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Modalità di cessazione</w:t>
            </w:r>
            <w:r w:rsidRPr="0095078D">
              <w:rPr>
                <w:rFonts w:ascii="Arial" w:eastAsiaTheme="minorEastAsia" w:hAnsi="Arial" w:cs="Times New Roman"/>
                <w:b/>
                <w:sz w:val="20"/>
                <w:szCs w:val="24"/>
                <w:vertAlign w:val="superscript"/>
                <w:lang w:eastAsia="it-IT"/>
              </w:rPr>
              <w:footnoteReference w:id="18"/>
            </w:r>
          </w:p>
        </w:tc>
        <w:tc>
          <w:tcPr>
            <w:tcW w:w="1444"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Decorrenza</w:t>
            </w:r>
          </w:p>
        </w:tc>
        <w:tc>
          <w:tcPr>
            <w:tcW w:w="7441" w:type="dxa"/>
            <w:gridSpan w:val="4"/>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Costo annuo</w:t>
            </w:r>
          </w:p>
        </w:tc>
      </w:tr>
      <w:tr w:rsidR="0095078D" w:rsidRPr="0095078D" w:rsidTr="00371563">
        <w:tc>
          <w:tcPr>
            <w:tcW w:w="617"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156"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667"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464"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444"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984"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Tabellare</w:t>
            </w:r>
            <w:r w:rsidRPr="0095078D">
              <w:rPr>
                <w:rFonts w:ascii="Arial" w:eastAsiaTheme="minorEastAsia" w:hAnsi="Arial" w:cs="Times New Roman"/>
                <w:b/>
                <w:sz w:val="20"/>
                <w:szCs w:val="24"/>
                <w:vertAlign w:val="superscript"/>
                <w:lang w:eastAsia="it-IT"/>
              </w:rPr>
              <w:footnoteReference w:id="19"/>
            </w:r>
          </w:p>
        </w:tc>
        <w:tc>
          <w:tcPr>
            <w:tcW w:w="1953"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Trattamento accessorio</w:t>
            </w:r>
            <w:r w:rsidRPr="0095078D">
              <w:rPr>
                <w:rFonts w:ascii="Arial" w:eastAsiaTheme="minorEastAsia" w:hAnsi="Arial" w:cs="Times New Roman"/>
                <w:b/>
                <w:sz w:val="20"/>
                <w:szCs w:val="24"/>
                <w:vertAlign w:val="superscript"/>
                <w:lang w:eastAsia="it-IT"/>
              </w:rPr>
              <w:footnoteReference w:id="20"/>
            </w:r>
          </w:p>
        </w:tc>
        <w:tc>
          <w:tcPr>
            <w:tcW w:w="1826"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Oneri riflessi</w:t>
            </w:r>
          </w:p>
        </w:tc>
        <w:tc>
          <w:tcPr>
            <w:tcW w:w="1678"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1</w:t>
            </w:r>
          </w:p>
        </w:tc>
        <w:tc>
          <w:tcPr>
            <w:tcW w:w="215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Istruttore direttivo</w:t>
            </w:r>
          </w:p>
        </w:tc>
        <w:tc>
          <w:tcPr>
            <w:tcW w:w="66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D1</w:t>
            </w:r>
          </w:p>
        </w:tc>
        <w:tc>
          <w:tcPr>
            <w:tcW w:w="246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pensionamento</w:t>
            </w:r>
          </w:p>
        </w:tc>
        <w:tc>
          <w:tcPr>
            <w:tcW w:w="144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01-10-2015</w:t>
            </w: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22.930,57</w:t>
            </w:r>
          </w:p>
        </w:tc>
        <w:tc>
          <w:tcPr>
            <w:tcW w:w="195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3.447,00</w:t>
            </w:r>
          </w:p>
        </w:tc>
        <w:tc>
          <w:tcPr>
            <w:tcW w:w="182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8.519,96</w:t>
            </w:r>
          </w:p>
        </w:tc>
        <w:tc>
          <w:tcPr>
            <w:tcW w:w="167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34.897,53</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5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66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6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5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2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7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5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66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6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5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2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7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5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66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6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5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2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7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48" w:type="dxa"/>
            <w:gridSpan w:val="5"/>
            <w:tcBorders>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 COSTO CESSATI ANNO 2015</w:t>
            </w:r>
          </w:p>
        </w:tc>
        <w:tc>
          <w:tcPr>
            <w:tcW w:w="1984"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53"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26" w:type="dxa"/>
            <w:tcBorders>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78"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34.897,53</w:t>
            </w:r>
          </w:p>
        </w:tc>
      </w:tr>
      <w:tr w:rsidR="0095078D" w:rsidRPr="0095078D" w:rsidTr="00371563">
        <w:trPr>
          <w:trHeight w:val="397"/>
        </w:trPr>
        <w:tc>
          <w:tcPr>
            <w:tcW w:w="7348"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UTILIZZABILE NEL 2016</w:t>
            </w:r>
            <w:r w:rsidRPr="0095078D">
              <w:rPr>
                <w:rFonts w:ascii="Arial" w:eastAsiaTheme="minorEastAsia" w:hAnsi="Arial" w:cs="Times New Roman"/>
                <w:b/>
                <w:sz w:val="20"/>
                <w:szCs w:val="24"/>
                <w:vertAlign w:val="superscript"/>
                <w:lang w:eastAsia="it-IT"/>
              </w:rPr>
              <w:footnoteReference w:id="21"/>
            </w:r>
            <w:r w:rsidRPr="0095078D">
              <w:rPr>
                <w:rFonts w:ascii="Arial" w:eastAsiaTheme="minorEastAsia" w:hAnsi="Arial" w:cs="Times New Roman"/>
                <w:b/>
                <w:sz w:val="20"/>
                <w:szCs w:val="24"/>
                <w:lang w:eastAsia="it-IT"/>
              </w:rPr>
              <w:t xml:space="preserve"> (A)</w:t>
            </w:r>
          </w:p>
        </w:tc>
        <w:tc>
          <w:tcPr>
            <w:tcW w:w="1984"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5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26"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78"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26.173,15</w:t>
            </w:r>
          </w:p>
        </w:tc>
      </w:tr>
      <w:tr w:rsidR="0095078D" w:rsidRPr="0095078D" w:rsidTr="00371563">
        <w:trPr>
          <w:trHeight w:val="397"/>
        </w:trPr>
        <w:tc>
          <w:tcPr>
            <w:tcW w:w="7348"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UTILIZZATA FINO AL 2018 (B)</w:t>
            </w:r>
          </w:p>
        </w:tc>
        <w:tc>
          <w:tcPr>
            <w:tcW w:w="1984"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5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26"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78"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xml:space="preserve">€   0,00    </w:t>
            </w:r>
          </w:p>
        </w:tc>
      </w:tr>
      <w:tr w:rsidR="0095078D" w:rsidRPr="0095078D" w:rsidTr="00371563">
        <w:trPr>
          <w:trHeight w:val="397"/>
        </w:trPr>
        <w:tc>
          <w:tcPr>
            <w:tcW w:w="7348"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RESIDUO DISPONIBILE PER ASSUNZIONI 2019 (A-B) (C)</w:t>
            </w:r>
          </w:p>
        </w:tc>
        <w:tc>
          <w:tcPr>
            <w:tcW w:w="1984"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5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26"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78" w:type="dxa"/>
            <w:shd w:val="clear" w:color="auto" w:fill="D9D9D9"/>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26.173,15</w:t>
            </w:r>
          </w:p>
        </w:tc>
      </w:tr>
    </w:tbl>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t>RESIDUI DISPONIBILI DELLE QUOTE PERCENTUALI DI FACOLTA' ASSUNZIONALI PER IL 2017</w:t>
      </w:r>
      <w:r w:rsidRPr="0095078D">
        <w:rPr>
          <w:rFonts w:ascii="Arial" w:eastAsiaTheme="minorEastAsia" w:hAnsi="Arial" w:cs="Times New Roman"/>
          <w:b/>
          <w:vertAlign w:val="superscript"/>
          <w:lang w:eastAsia="it-IT"/>
        </w:rPr>
        <w:footnoteReference w:id="2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16"/>
        <w:gridCol w:w="739"/>
        <w:gridCol w:w="2399"/>
        <w:gridCol w:w="1435"/>
        <w:gridCol w:w="1937"/>
        <w:gridCol w:w="1919"/>
        <w:gridCol w:w="1765"/>
        <w:gridCol w:w="1636"/>
      </w:tblGrid>
      <w:tr w:rsidR="0095078D" w:rsidRPr="0095078D" w:rsidTr="00371563">
        <w:tc>
          <w:tcPr>
            <w:tcW w:w="617"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N.D.</w:t>
            </w:r>
          </w:p>
        </w:tc>
        <w:tc>
          <w:tcPr>
            <w:tcW w:w="2146"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Profilo professionale</w:t>
            </w:r>
          </w:p>
        </w:tc>
        <w:tc>
          <w:tcPr>
            <w:tcW w:w="739"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roofErr w:type="spellStart"/>
            <w:r w:rsidRPr="0095078D">
              <w:rPr>
                <w:rFonts w:ascii="Arial" w:eastAsiaTheme="minorEastAsia" w:hAnsi="Arial" w:cs="Times New Roman"/>
                <w:b/>
                <w:sz w:val="20"/>
                <w:szCs w:val="24"/>
                <w:lang w:eastAsia="it-IT"/>
              </w:rPr>
              <w:t>Cat</w:t>
            </w:r>
            <w:proofErr w:type="spellEnd"/>
            <w:r w:rsidRPr="0095078D">
              <w:rPr>
                <w:rFonts w:ascii="Arial" w:eastAsiaTheme="minorEastAsia" w:hAnsi="Arial" w:cs="Times New Roman"/>
                <w:b/>
                <w:sz w:val="20"/>
                <w:szCs w:val="24"/>
                <w:lang w:eastAsia="it-IT"/>
              </w:rPr>
              <w:t>.</w:t>
            </w:r>
            <w:r w:rsidRPr="0095078D">
              <w:rPr>
                <w:rFonts w:ascii="Arial" w:eastAsiaTheme="minorEastAsia" w:hAnsi="Arial" w:cs="Times New Roman"/>
                <w:b/>
                <w:sz w:val="20"/>
                <w:szCs w:val="24"/>
                <w:vertAlign w:val="superscript"/>
                <w:lang w:eastAsia="it-IT"/>
              </w:rPr>
              <w:footnoteReference w:id="23"/>
            </w:r>
          </w:p>
        </w:tc>
        <w:tc>
          <w:tcPr>
            <w:tcW w:w="2448"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Modalità di cessazione</w:t>
            </w:r>
            <w:r w:rsidRPr="0095078D">
              <w:rPr>
                <w:rFonts w:ascii="Arial" w:eastAsiaTheme="minorEastAsia" w:hAnsi="Arial" w:cs="Times New Roman"/>
                <w:b/>
                <w:sz w:val="20"/>
                <w:szCs w:val="24"/>
                <w:vertAlign w:val="superscript"/>
                <w:lang w:eastAsia="it-IT"/>
              </w:rPr>
              <w:footnoteReference w:id="24"/>
            </w:r>
          </w:p>
        </w:tc>
        <w:tc>
          <w:tcPr>
            <w:tcW w:w="1442"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Decorrenza</w:t>
            </w:r>
          </w:p>
        </w:tc>
        <w:tc>
          <w:tcPr>
            <w:tcW w:w="7397" w:type="dxa"/>
            <w:gridSpan w:val="4"/>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Costo annuo</w:t>
            </w:r>
          </w:p>
        </w:tc>
      </w:tr>
      <w:tr w:rsidR="0095078D" w:rsidRPr="0095078D" w:rsidTr="00371563">
        <w:tc>
          <w:tcPr>
            <w:tcW w:w="617"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146"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739"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448"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442"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973"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Tabellare</w:t>
            </w:r>
            <w:r w:rsidRPr="0095078D">
              <w:rPr>
                <w:rFonts w:ascii="Arial" w:eastAsiaTheme="minorEastAsia" w:hAnsi="Arial" w:cs="Times New Roman"/>
                <w:b/>
                <w:sz w:val="20"/>
                <w:szCs w:val="24"/>
                <w:vertAlign w:val="superscript"/>
                <w:lang w:eastAsia="it-IT"/>
              </w:rPr>
              <w:footnoteReference w:id="25"/>
            </w:r>
          </w:p>
        </w:tc>
        <w:tc>
          <w:tcPr>
            <w:tcW w:w="1945"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Trattamento accessorio</w:t>
            </w:r>
            <w:r w:rsidRPr="0095078D">
              <w:rPr>
                <w:rFonts w:ascii="Arial" w:eastAsiaTheme="minorEastAsia" w:hAnsi="Arial" w:cs="Times New Roman"/>
                <w:b/>
                <w:sz w:val="20"/>
                <w:szCs w:val="24"/>
                <w:vertAlign w:val="superscript"/>
                <w:lang w:eastAsia="it-IT"/>
              </w:rPr>
              <w:footnoteReference w:id="26"/>
            </w:r>
          </w:p>
        </w:tc>
        <w:tc>
          <w:tcPr>
            <w:tcW w:w="1811"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Oneri riflessi</w:t>
            </w:r>
          </w:p>
        </w:tc>
        <w:tc>
          <w:tcPr>
            <w:tcW w:w="1668"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1</w:t>
            </w: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 COSTO CESSATI ANNO 2016</w:t>
            </w:r>
          </w:p>
        </w:tc>
        <w:tc>
          <w:tcPr>
            <w:tcW w:w="1973"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xml:space="preserve">€   </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UTILIZZABILE NEL 2017</w:t>
            </w:r>
            <w:r w:rsidRPr="0095078D">
              <w:rPr>
                <w:rFonts w:ascii="Arial" w:eastAsiaTheme="minorEastAsia" w:hAnsi="Arial" w:cs="Times New Roman"/>
                <w:b/>
                <w:sz w:val="20"/>
                <w:szCs w:val="24"/>
                <w:vertAlign w:val="superscript"/>
                <w:lang w:eastAsia="it-IT"/>
              </w:rPr>
              <w:footnoteReference w:id="27"/>
            </w:r>
            <w:r w:rsidRPr="0095078D">
              <w:rPr>
                <w:rFonts w:ascii="Arial" w:eastAsiaTheme="minorEastAsia" w:hAnsi="Arial" w:cs="Times New Roman"/>
                <w:b/>
                <w:sz w:val="20"/>
                <w:szCs w:val="24"/>
                <w:lang w:eastAsia="it-IT"/>
              </w:rPr>
              <w:t xml:space="preserve"> (A)</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UTILIZZATA NEL 2018 (B)</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RESIDUO DISPONIBILE PER ASSUNZIONI 2019 (A-B) (C)</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shd w:val="clear" w:color="auto" w:fill="D9D9D9"/>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bl>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br w:type="page"/>
      </w: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t>RESIDUI DISPONIBILI DELLE QUOTE PERCENTUALI DI FACOLTA' ASSUNZIONALI PER IL 2018</w:t>
      </w:r>
      <w:r w:rsidRPr="0095078D">
        <w:rPr>
          <w:rFonts w:ascii="Arial" w:eastAsiaTheme="minorEastAsia" w:hAnsi="Arial" w:cs="Times New Roman"/>
          <w:b/>
          <w:vertAlign w:val="superscript"/>
          <w:lang w:eastAsia="it-IT"/>
        </w:rPr>
        <w:footnoteReference w:id="2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16"/>
        <w:gridCol w:w="739"/>
        <w:gridCol w:w="2399"/>
        <w:gridCol w:w="1435"/>
        <w:gridCol w:w="1937"/>
        <w:gridCol w:w="1919"/>
        <w:gridCol w:w="1765"/>
        <w:gridCol w:w="1636"/>
      </w:tblGrid>
      <w:tr w:rsidR="0095078D" w:rsidRPr="0095078D" w:rsidTr="00371563">
        <w:tc>
          <w:tcPr>
            <w:tcW w:w="617"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N.D.</w:t>
            </w:r>
          </w:p>
        </w:tc>
        <w:tc>
          <w:tcPr>
            <w:tcW w:w="2146"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Profilo professionale</w:t>
            </w:r>
          </w:p>
        </w:tc>
        <w:tc>
          <w:tcPr>
            <w:tcW w:w="739"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roofErr w:type="spellStart"/>
            <w:r w:rsidRPr="0095078D">
              <w:rPr>
                <w:rFonts w:ascii="Arial" w:eastAsiaTheme="minorEastAsia" w:hAnsi="Arial" w:cs="Times New Roman"/>
                <w:b/>
                <w:sz w:val="20"/>
                <w:szCs w:val="24"/>
                <w:lang w:eastAsia="it-IT"/>
              </w:rPr>
              <w:t>Cat</w:t>
            </w:r>
            <w:proofErr w:type="spellEnd"/>
            <w:r w:rsidRPr="0095078D">
              <w:rPr>
                <w:rFonts w:ascii="Arial" w:eastAsiaTheme="minorEastAsia" w:hAnsi="Arial" w:cs="Times New Roman"/>
                <w:b/>
                <w:sz w:val="20"/>
                <w:szCs w:val="24"/>
                <w:lang w:eastAsia="it-IT"/>
              </w:rPr>
              <w:t>.</w:t>
            </w:r>
            <w:r w:rsidRPr="0095078D">
              <w:rPr>
                <w:rFonts w:ascii="Arial" w:eastAsiaTheme="minorEastAsia" w:hAnsi="Arial" w:cs="Times New Roman"/>
                <w:b/>
                <w:sz w:val="20"/>
                <w:szCs w:val="24"/>
                <w:vertAlign w:val="superscript"/>
                <w:lang w:eastAsia="it-IT"/>
              </w:rPr>
              <w:footnoteReference w:id="29"/>
            </w:r>
          </w:p>
        </w:tc>
        <w:tc>
          <w:tcPr>
            <w:tcW w:w="2448"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Modalità di cessazione</w:t>
            </w:r>
            <w:r w:rsidRPr="0095078D">
              <w:rPr>
                <w:rFonts w:ascii="Arial" w:eastAsiaTheme="minorEastAsia" w:hAnsi="Arial" w:cs="Times New Roman"/>
                <w:b/>
                <w:sz w:val="20"/>
                <w:szCs w:val="24"/>
                <w:vertAlign w:val="superscript"/>
                <w:lang w:eastAsia="it-IT"/>
              </w:rPr>
              <w:footnoteReference w:id="30"/>
            </w:r>
          </w:p>
        </w:tc>
        <w:tc>
          <w:tcPr>
            <w:tcW w:w="1442"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Decorrenza</w:t>
            </w:r>
          </w:p>
        </w:tc>
        <w:tc>
          <w:tcPr>
            <w:tcW w:w="7397" w:type="dxa"/>
            <w:gridSpan w:val="4"/>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Costo annuo</w:t>
            </w:r>
          </w:p>
        </w:tc>
      </w:tr>
      <w:tr w:rsidR="0095078D" w:rsidRPr="0095078D" w:rsidTr="00371563">
        <w:tc>
          <w:tcPr>
            <w:tcW w:w="617"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146"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739"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448"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442"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973"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Tabellare</w:t>
            </w:r>
            <w:r w:rsidRPr="0095078D">
              <w:rPr>
                <w:rFonts w:ascii="Arial" w:eastAsiaTheme="minorEastAsia" w:hAnsi="Arial" w:cs="Times New Roman"/>
                <w:b/>
                <w:sz w:val="20"/>
                <w:szCs w:val="24"/>
                <w:vertAlign w:val="superscript"/>
                <w:lang w:eastAsia="it-IT"/>
              </w:rPr>
              <w:footnoteReference w:id="31"/>
            </w:r>
          </w:p>
        </w:tc>
        <w:tc>
          <w:tcPr>
            <w:tcW w:w="1945"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Trattamento accessorio</w:t>
            </w:r>
            <w:r w:rsidRPr="0095078D">
              <w:rPr>
                <w:rFonts w:ascii="Arial" w:eastAsiaTheme="minorEastAsia" w:hAnsi="Arial" w:cs="Times New Roman"/>
                <w:b/>
                <w:sz w:val="20"/>
                <w:szCs w:val="24"/>
                <w:vertAlign w:val="superscript"/>
                <w:lang w:eastAsia="it-IT"/>
              </w:rPr>
              <w:footnoteReference w:id="32"/>
            </w:r>
          </w:p>
        </w:tc>
        <w:tc>
          <w:tcPr>
            <w:tcW w:w="1811"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Oneri riflessi</w:t>
            </w:r>
          </w:p>
        </w:tc>
        <w:tc>
          <w:tcPr>
            <w:tcW w:w="1668"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 COSTO CESSATI ANNO 2017 (A)</w:t>
            </w:r>
          </w:p>
        </w:tc>
        <w:tc>
          <w:tcPr>
            <w:tcW w:w="1973"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PER NUOVE ASSUNZIONI 2018 (100% di A</w:t>
            </w:r>
            <w:r w:rsidRPr="0095078D">
              <w:rPr>
                <w:rFonts w:ascii="Arial" w:eastAsiaTheme="minorEastAsia" w:hAnsi="Arial" w:cs="Times New Roman"/>
                <w:b/>
                <w:sz w:val="20"/>
                <w:szCs w:val="24"/>
                <w:vertAlign w:val="superscript"/>
                <w:lang w:eastAsia="it-IT"/>
              </w:rPr>
              <w:footnoteReference w:id="33"/>
            </w:r>
            <w:r w:rsidRPr="0095078D">
              <w:rPr>
                <w:rFonts w:ascii="Arial" w:eastAsiaTheme="minorEastAsia" w:hAnsi="Arial" w:cs="Times New Roman"/>
                <w:b/>
                <w:sz w:val="20"/>
                <w:szCs w:val="24"/>
                <w:lang w:eastAsia="it-IT"/>
              </w:rPr>
              <w:t>) (B1)</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color w:val="C45911"/>
                <w:sz w:val="20"/>
                <w:szCs w:val="24"/>
                <w:lang w:eastAsia="it-IT"/>
              </w:rPr>
            </w:pPr>
            <w:r w:rsidRPr="0095078D">
              <w:rPr>
                <w:rFonts w:ascii="Arial" w:eastAsiaTheme="minorEastAsia" w:hAnsi="Arial" w:cs="Times New Roman"/>
                <w:b/>
                <w:color w:val="C45911"/>
                <w:sz w:val="20"/>
                <w:szCs w:val="24"/>
                <w:lang w:eastAsia="it-IT"/>
              </w:rPr>
              <w:t>oppure QUOTA PER NUOVE ASSUNZIONI 2018 (90% di A</w:t>
            </w:r>
            <w:r w:rsidRPr="0095078D">
              <w:rPr>
                <w:rFonts w:ascii="Arial" w:eastAsiaTheme="minorEastAsia" w:hAnsi="Arial" w:cs="Times New Roman"/>
                <w:b/>
                <w:color w:val="C45911"/>
                <w:sz w:val="20"/>
                <w:szCs w:val="24"/>
                <w:vertAlign w:val="superscript"/>
                <w:lang w:eastAsia="it-IT"/>
              </w:rPr>
              <w:footnoteReference w:id="34"/>
            </w:r>
            <w:r w:rsidRPr="0095078D">
              <w:rPr>
                <w:rFonts w:ascii="Arial" w:eastAsiaTheme="minorEastAsia" w:hAnsi="Arial" w:cs="Times New Roman"/>
                <w:b/>
                <w:color w:val="C45911"/>
                <w:sz w:val="20"/>
                <w:szCs w:val="24"/>
                <w:lang w:eastAsia="it-IT"/>
              </w:rPr>
              <w:t>) (B2)</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color w:val="FF0000"/>
                <w:sz w:val="20"/>
                <w:szCs w:val="24"/>
                <w:lang w:eastAsia="it-IT"/>
              </w:rPr>
            </w:pPr>
            <w:r w:rsidRPr="0095078D">
              <w:rPr>
                <w:rFonts w:ascii="Arial" w:eastAsiaTheme="minorEastAsia" w:hAnsi="Arial" w:cs="Times New Roman"/>
                <w:b/>
                <w:color w:val="FF0000"/>
                <w:sz w:val="20"/>
                <w:szCs w:val="24"/>
                <w:lang w:eastAsia="it-IT"/>
              </w:rPr>
              <w:t>oppure QUOTA PER NUOVE ASSUNZIONI 2018 (75% di A</w:t>
            </w:r>
            <w:r w:rsidRPr="0095078D">
              <w:rPr>
                <w:rFonts w:ascii="Arial" w:eastAsiaTheme="minorEastAsia" w:hAnsi="Arial" w:cs="Times New Roman"/>
                <w:b/>
                <w:color w:val="FF0000"/>
                <w:sz w:val="20"/>
                <w:szCs w:val="24"/>
                <w:vertAlign w:val="superscript"/>
                <w:lang w:eastAsia="it-IT"/>
              </w:rPr>
              <w:footnoteReference w:id="35"/>
            </w:r>
            <w:r w:rsidRPr="0095078D">
              <w:rPr>
                <w:rFonts w:ascii="Arial" w:eastAsiaTheme="minorEastAsia" w:hAnsi="Arial" w:cs="Times New Roman"/>
                <w:b/>
                <w:color w:val="FF0000"/>
                <w:sz w:val="20"/>
                <w:szCs w:val="24"/>
                <w:lang w:eastAsia="it-IT"/>
              </w:rPr>
              <w:t>) (B3)</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UTILIZZATA NEL 2018 (B)</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RESIDUO DISPONIBILE PER ASSUNZIONI 2019 (A-B) (C)</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shd w:val="clear" w:color="auto" w:fill="D9D9D9"/>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bl>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br w:type="page"/>
      </w: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t>SPESA PER IL PERSONALE CESSATO NELL’ANNO 2018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16"/>
        <w:gridCol w:w="739"/>
        <w:gridCol w:w="2399"/>
        <w:gridCol w:w="1435"/>
        <w:gridCol w:w="1937"/>
        <w:gridCol w:w="1919"/>
        <w:gridCol w:w="1765"/>
        <w:gridCol w:w="1636"/>
      </w:tblGrid>
      <w:tr w:rsidR="0095078D" w:rsidRPr="0095078D" w:rsidTr="00371563">
        <w:tc>
          <w:tcPr>
            <w:tcW w:w="617"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N.D.</w:t>
            </w:r>
          </w:p>
        </w:tc>
        <w:tc>
          <w:tcPr>
            <w:tcW w:w="2146"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Profilo professionale</w:t>
            </w:r>
          </w:p>
        </w:tc>
        <w:tc>
          <w:tcPr>
            <w:tcW w:w="739"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roofErr w:type="spellStart"/>
            <w:r w:rsidRPr="0095078D">
              <w:rPr>
                <w:rFonts w:ascii="Arial" w:eastAsiaTheme="minorEastAsia" w:hAnsi="Arial" w:cs="Times New Roman"/>
                <w:b/>
                <w:sz w:val="20"/>
                <w:szCs w:val="24"/>
                <w:lang w:eastAsia="it-IT"/>
              </w:rPr>
              <w:t>Cat</w:t>
            </w:r>
            <w:proofErr w:type="spellEnd"/>
            <w:r w:rsidRPr="0095078D">
              <w:rPr>
                <w:rFonts w:ascii="Arial" w:eastAsiaTheme="minorEastAsia" w:hAnsi="Arial" w:cs="Times New Roman"/>
                <w:b/>
                <w:sz w:val="20"/>
                <w:szCs w:val="24"/>
                <w:lang w:eastAsia="it-IT"/>
              </w:rPr>
              <w:t>.</w:t>
            </w:r>
            <w:r w:rsidRPr="0095078D">
              <w:rPr>
                <w:rFonts w:ascii="Arial" w:eastAsiaTheme="minorEastAsia" w:hAnsi="Arial" w:cs="Times New Roman"/>
                <w:b/>
                <w:sz w:val="20"/>
                <w:szCs w:val="24"/>
                <w:vertAlign w:val="superscript"/>
                <w:lang w:eastAsia="it-IT"/>
              </w:rPr>
              <w:footnoteReference w:id="36"/>
            </w:r>
          </w:p>
        </w:tc>
        <w:tc>
          <w:tcPr>
            <w:tcW w:w="2448"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Modalità di cessazione</w:t>
            </w:r>
            <w:r w:rsidRPr="0095078D">
              <w:rPr>
                <w:rFonts w:ascii="Arial" w:eastAsiaTheme="minorEastAsia" w:hAnsi="Arial" w:cs="Times New Roman"/>
                <w:b/>
                <w:sz w:val="20"/>
                <w:szCs w:val="24"/>
                <w:vertAlign w:val="superscript"/>
                <w:lang w:eastAsia="it-IT"/>
              </w:rPr>
              <w:footnoteReference w:id="37"/>
            </w:r>
          </w:p>
        </w:tc>
        <w:tc>
          <w:tcPr>
            <w:tcW w:w="1442" w:type="dxa"/>
            <w:vMerge w:val="restart"/>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Decorrenza</w:t>
            </w:r>
          </w:p>
        </w:tc>
        <w:tc>
          <w:tcPr>
            <w:tcW w:w="7397" w:type="dxa"/>
            <w:gridSpan w:val="4"/>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Costo annuo</w:t>
            </w:r>
          </w:p>
        </w:tc>
      </w:tr>
      <w:tr w:rsidR="0095078D" w:rsidRPr="0095078D" w:rsidTr="00371563">
        <w:tc>
          <w:tcPr>
            <w:tcW w:w="617"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146"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739"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2448"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442" w:type="dxa"/>
            <w:vMerge/>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p>
        </w:tc>
        <w:tc>
          <w:tcPr>
            <w:tcW w:w="1973"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Tabellare</w:t>
            </w:r>
            <w:r w:rsidRPr="0095078D">
              <w:rPr>
                <w:rFonts w:ascii="Arial" w:eastAsiaTheme="minorEastAsia" w:hAnsi="Arial" w:cs="Times New Roman"/>
                <w:b/>
                <w:sz w:val="20"/>
                <w:szCs w:val="24"/>
                <w:vertAlign w:val="superscript"/>
                <w:lang w:eastAsia="it-IT"/>
              </w:rPr>
              <w:footnoteReference w:id="38"/>
            </w:r>
          </w:p>
        </w:tc>
        <w:tc>
          <w:tcPr>
            <w:tcW w:w="1945"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Trattamento accessorio</w:t>
            </w:r>
            <w:r w:rsidRPr="0095078D">
              <w:rPr>
                <w:rFonts w:ascii="Arial" w:eastAsiaTheme="minorEastAsia" w:hAnsi="Arial" w:cs="Times New Roman"/>
                <w:b/>
                <w:sz w:val="20"/>
                <w:szCs w:val="24"/>
                <w:vertAlign w:val="superscript"/>
                <w:lang w:eastAsia="it-IT"/>
              </w:rPr>
              <w:footnoteReference w:id="39"/>
            </w:r>
          </w:p>
        </w:tc>
        <w:tc>
          <w:tcPr>
            <w:tcW w:w="1811"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Oneri riflessi</w:t>
            </w:r>
          </w:p>
        </w:tc>
        <w:tc>
          <w:tcPr>
            <w:tcW w:w="1668"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617"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146"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739"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244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442"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73"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945"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811"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 COSTO CESSATI ANNO 2018 (A)</w:t>
            </w:r>
          </w:p>
        </w:tc>
        <w:tc>
          <w:tcPr>
            <w:tcW w:w="1973"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r w:rsidR="0095078D" w:rsidRPr="0095078D" w:rsidTr="00371563">
        <w:trPr>
          <w:trHeight w:val="397"/>
        </w:trPr>
        <w:tc>
          <w:tcPr>
            <w:tcW w:w="7392" w:type="dxa"/>
            <w:gridSpan w:val="5"/>
            <w:tcBorders>
              <w:top w:val="nil"/>
              <w:left w:val="nil"/>
              <w:bottom w:val="nil"/>
              <w:right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PER NUOVE ASSUNZIONI 2019 (100% di A</w:t>
            </w:r>
            <w:r w:rsidRPr="0095078D">
              <w:rPr>
                <w:rFonts w:ascii="Arial" w:eastAsiaTheme="minorEastAsia" w:hAnsi="Arial" w:cs="Times New Roman"/>
                <w:b/>
                <w:sz w:val="20"/>
                <w:szCs w:val="24"/>
                <w:vertAlign w:val="superscript"/>
                <w:lang w:eastAsia="it-IT"/>
              </w:rPr>
              <w:footnoteReference w:id="40"/>
            </w:r>
            <w:r w:rsidRPr="0095078D">
              <w:rPr>
                <w:rFonts w:ascii="Arial" w:eastAsiaTheme="minorEastAsia" w:hAnsi="Arial" w:cs="Times New Roman"/>
                <w:b/>
                <w:sz w:val="20"/>
                <w:szCs w:val="24"/>
                <w:lang w:eastAsia="it-IT"/>
              </w:rPr>
              <w:t>) (B)</w:t>
            </w:r>
          </w:p>
        </w:tc>
        <w:tc>
          <w:tcPr>
            <w:tcW w:w="1973"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45" w:type="dxa"/>
            <w:tcBorders>
              <w:top w:val="nil"/>
              <w:left w:val="nil"/>
              <w:bottom w:val="nil"/>
              <w:right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811" w:type="dxa"/>
            <w:tcBorders>
              <w:top w:val="nil"/>
              <w:left w:val="nil"/>
              <w:bottom w:val="nil"/>
            </w:tcBorders>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668"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w:t>
            </w:r>
          </w:p>
        </w:tc>
      </w:tr>
    </w:tbl>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br w:type="page"/>
      </w: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b/>
          <w:lang w:eastAsia="it-IT"/>
        </w:rPr>
      </w:pPr>
      <w:r w:rsidRPr="0095078D">
        <w:rPr>
          <w:rFonts w:ascii="Arial" w:eastAsiaTheme="minorEastAsia" w:hAnsi="Arial" w:cs="Times New Roman"/>
          <w:b/>
          <w:lang w:eastAsia="it-IT"/>
        </w:rPr>
        <w:t>RIEPILOGO</w:t>
      </w:r>
    </w:p>
    <w:tbl>
      <w:tblPr>
        <w:tblW w:w="13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053"/>
        <w:gridCol w:w="1984"/>
        <w:gridCol w:w="1984"/>
        <w:gridCol w:w="1984"/>
        <w:gridCol w:w="1984"/>
      </w:tblGrid>
      <w:tr w:rsidR="0095078D" w:rsidRPr="0095078D" w:rsidTr="00371563">
        <w:trPr>
          <w:trHeight w:val="470"/>
          <w:jc w:val="center"/>
        </w:trPr>
        <w:tc>
          <w:tcPr>
            <w:tcW w:w="617"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ND</w:t>
            </w:r>
          </w:p>
        </w:tc>
        <w:tc>
          <w:tcPr>
            <w:tcW w:w="5053"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 xml:space="preserve">Anno </w:t>
            </w:r>
          </w:p>
        </w:tc>
        <w:tc>
          <w:tcPr>
            <w:tcW w:w="1984"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Spesa cessati</w:t>
            </w:r>
          </w:p>
        </w:tc>
        <w:tc>
          <w:tcPr>
            <w:tcW w:w="1984" w:type="dxa"/>
            <w:shd w:val="clear" w:color="auto" w:fill="D9D9D9"/>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Limite spesa per nuove assunzioni</w:t>
            </w:r>
          </w:p>
        </w:tc>
        <w:tc>
          <w:tcPr>
            <w:tcW w:w="1984"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utilizzata</w:t>
            </w:r>
          </w:p>
        </w:tc>
        <w:tc>
          <w:tcPr>
            <w:tcW w:w="1984" w:type="dxa"/>
            <w:shd w:val="clear" w:color="auto" w:fill="D9D9D9"/>
            <w:vAlign w:val="center"/>
          </w:tcPr>
          <w:p w:rsidR="0095078D" w:rsidRPr="0095078D" w:rsidRDefault="0095078D" w:rsidP="0095078D">
            <w:pPr>
              <w:spacing w:after="0" w:line="240" w:lineRule="auto"/>
              <w:jc w:val="center"/>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Quota da utilizzare</w:t>
            </w:r>
          </w:p>
        </w:tc>
      </w:tr>
      <w:tr w:rsidR="0095078D" w:rsidRPr="0095078D" w:rsidTr="00371563">
        <w:trPr>
          <w:trHeight w:val="397"/>
          <w:jc w:val="center"/>
        </w:trPr>
        <w:tc>
          <w:tcPr>
            <w:tcW w:w="617"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1</w:t>
            </w:r>
          </w:p>
        </w:tc>
        <w:tc>
          <w:tcPr>
            <w:tcW w:w="5053" w:type="dxa"/>
          </w:tcPr>
          <w:p w:rsidR="0095078D" w:rsidRPr="0095078D" w:rsidRDefault="0095078D" w:rsidP="0095078D">
            <w:pPr>
              <w:spacing w:before="60" w:after="60" w:line="240" w:lineRule="auto"/>
              <w:jc w:val="both"/>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RESIDUI DISPONIBILI CESSATI ANNO 2015</w:t>
            </w:r>
          </w:p>
        </w:tc>
        <w:tc>
          <w:tcPr>
            <w:tcW w:w="1984"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26.173,15</w:t>
            </w:r>
          </w:p>
        </w:tc>
        <w:tc>
          <w:tcPr>
            <w:tcW w:w="1984"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26.173,15</w:t>
            </w:r>
          </w:p>
        </w:tc>
        <w:tc>
          <w:tcPr>
            <w:tcW w:w="1984"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0,00</w:t>
            </w:r>
          </w:p>
        </w:tc>
        <w:tc>
          <w:tcPr>
            <w:tcW w:w="1984" w:type="dxa"/>
          </w:tcPr>
          <w:p w:rsidR="0095078D" w:rsidRPr="0095078D" w:rsidRDefault="0095078D" w:rsidP="0095078D">
            <w:pPr>
              <w:spacing w:before="60" w:after="60" w:line="240" w:lineRule="auto"/>
              <w:jc w:val="right"/>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26.173,15</w:t>
            </w:r>
          </w:p>
        </w:tc>
      </w:tr>
      <w:tr w:rsidR="0095078D" w:rsidRPr="0095078D" w:rsidTr="00371563">
        <w:trPr>
          <w:trHeight w:val="397"/>
          <w:jc w:val="center"/>
        </w:trPr>
        <w:tc>
          <w:tcPr>
            <w:tcW w:w="617"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2</w:t>
            </w:r>
          </w:p>
        </w:tc>
        <w:tc>
          <w:tcPr>
            <w:tcW w:w="5053" w:type="dxa"/>
          </w:tcPr>
          <w:p w:rsidR="0095078D" w:rsidRPr="0095078D" w:rsidRDefault="0095078D" w:rsidP="0095078D">
            <w:pPr>
              <w:spacing w:before="60" w:after="60" w:line="240" w:lineRule="auto"/>
              <w:jc w:val="both"/>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RESIDUI DISPONIBILI CESSATI ANNO 2016</w:t>
            </w: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r>
      <w:tr w:rsidR="0095078D" w:rsidRPr="0095078D" w:rsidTr="00371563">
        <w:trPr>
          <w:trHeight w:val="397"/>
          <w:jc w:val="center"/>
        </w:trPr>
        <w:tc>
          <w:tcPr>
            <w:tcW w:w="617"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3</w:t>
            </w:r>
          </w:p>
        </w:tc>
        <w:tc>
          <w:tcPr>
            <w:tcW w:w="5053" w:type="dxa"/>
          </w:tcPr>
          <w:p w:rsidR="0095078D" w:rsidRPr="0095078D" w:rsidRDefault="0095078D" w:rsidP="0095078D">
            <w:pPr>
              <w:spacing w:before="60" w:after="60" w:line="240" w:lineRule="auto"/>
              <w:jc w:val="both"/>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RESIDUI DISPONIBILI CESSATI ANNO 2017</w:t>
            </w: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r>
      <w:tr w:rsidR="0095078D" w:rsidRPr="0095078D" w:rsidTr="00371563">
        <w:trPr>
          <w:trHeight w:val="397"/>
          <w:jc w:val="center"/>
        </w:trPr>
        <w:tc>
          <w:tcPr>
            <w:tcW w:w="617"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4</w:t>
            </w:r>
          </w:p>
        </w:tc>
        <w:tc>
          <w:tcPr>
            <w:tcW w:w="5053" w:type="dxa"/>
          </w:tcPr>
          <w:p w:rsidR="0095078D" w:rsidRPr="0095078D" w:rsidRDefault="0095078D" w:rsidP="0095078D">
            <w:pPr>
              <w:spacing w:before="60" w:after="60" w:line="240" w:lineRule="auto"/>
              <w:jc w:val="both"/>
              <w:rPr>
                <w:rFonts w:ascii="Arial" w:eastAsiaTheme="minorEastAsia" w:hAnsi="Arial" w:cs="Times New Roman"/>
                <w:b/>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center"/>
              <w:rPr>
                <w:rFonts w:ascii="Arial" w:eastAsiaTheme="minorEastAsia" w:hAnsi="Arial" w:cs="Times New Roman"/>
                <w:sz w:val="20"/>
                <w:szCs w:val="24"/>
                <w:lang w:eastAsia="it-IT"/>
              </w:rPr>
            </w:pPr>
          </w:p>
        </w:tc>
        <w:tc>
          <w:tcPr>
            <w:tcW w:w="1984" w:type="dxa"/>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p>
        </w:tc>
      </w:tr>
      <w:tr w:rsidR="0095078D" w:rsidRPr="0095078D" w:rsidTr="00371563">
        <w:trPr>
          <w:trHeight w:val="397"/>
          <w:jc w:val="center"/>
        </w:trPr>
        <w:tc>
          <w:tcPr>
            <w:tcW w:w="7654" w:type="dxa"/>
            <w:gridSpan w:val="3"/>
            <w:tcBorders>
              <w:left w:val="nil"/>
              <w:bottom w:val="nil"/>
            </w:tcBorders>
          </w:tcPr>
          <w:p w:rsidR="0095078D" w:rsidRPr="0095078D" w:rsidRDefault="0095078D" w:rsidP="0095078D">
            <w:pPr>
              <w:spacing w:before="60" w:after="60" w:line="240" w:lineRule="auto"/>
              <w:jc w:val="right"/>
              <w:rPr>
                <w:rFonts w:ascii="Arial" w:eastAsiaTheme="minorEastAsia" w:hAnsi="Arial" w:cs="Times New Roman"/>
                <w:b/>
                <w:sz w:val="20"/>
                <w:szCs w:val="24"/>
                <w:lang w:eastAsia="it-IT"/>
              </w:rPr>
            </w:pPr>
            <w:r w:rsidRPr="0095078D">
              <w:rPr>
                <w:rFonts w:ascii="Arial" w:eastAsiaTheme="minorEastAsia" w:hAnsi="Arial" w:cs="Times New Roman"/>
                <w:b/>
                <w:sz w:val="20"/>
                <w:szCs w:val="24"/>
                <w:lang w:eastAsia="it-IT"/>
              </w:rPr>
              <w:t>TOTALE ANNO 2018</w:t>
            </w:r>
          </w:p>
        </w:tc>
        <w:tc>
          <w:tcPr>
            <w:tcW w:w="1984" w:type="dxa"/>
            <w:shd w:val="clear" w:color="auto" w:fill="CCCCCC"/>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 xml:space="preserve">         26.173,15</w:t>
            </w:r>
          </w:p>
        </w:tc>
        <w:tc>
          <w:tcPr>
            <w:tcW w:w="1984" w:type="dxa"/>
            <w:shd w:val="clear" w:color="auto" w:fill="CCCCCC"/>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0</w:t>
            </w:r>
          </w:p>
        </w:tc>
        <w:tc>
          <w:tcPr>
            <w:tcW w:w="1984" w:type="dxa"/>
            <w:shd w:val="clear" w:color="auto" w:fill="CCCCCC"/>
          </w:tcPr>
          <w:p w:rsidR="0095078D" w:rsidRPr="0095078D" w:rsidRDefault="0095078D" w:rsidP="0095078D">
            <w:pPr>
              <w:spacing w:before="60" w:after="6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26.173,15</w:t>
            </w:r>
          </w:p>
        </w:tc>
      </w:tr>
    </w:tbl>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p>
    <w:p w:rsidR="0095078D" w:rsidRPr="0095078D" w:rsidRDefault="0095078D" w:rsidP="0095078D">
      <w:pPr>
        <w:spacing w:before="40" w:after="40" w:line="240" w:lineRule="auto"/>
        <w:jc w:val="both"/>
        <w:rPr>
          <w:rFonts w:ascii="Arial" w:eastAsiaTheme="minorEastAsia" w:hAnsi="Arial" w:cs="Times New Roman"/>
          <w:sz w:val="20"/>
          <w:szCs w:val="24"/>
          <w:lang w:eastAsia="it-IT"/>
        </w:rPr>
      </w:pPr>
      <w:r w:rsidRPr="0095078D">
        <w:rPr>
          <w:rFonts w:ascii="Arial" w:eastAsiaTheme="minorEastAsia" w:hAnsi="Arial" w:cs="Times New Roman"/>
          <w:sz w:val="20"/>
          <w:szCs w:val="24"/>
          <w:lang w:eastAsia="it-IT"/>
        </w:rPr>
        <w:t>Data 16/07/2018.</w:t>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r>
      <w:r w:rsidRPr="0095078D">
        <w:rPr>
          <w:rFonts w:ascii="Arial" w:eastAsiaTheme="minorEastAsia" w:hAnsi="Arial" w:cs="Times New Roman"/>
          <w:sz w:val="20"/>
          <w:szCs w:val="24"/>
          <w:lang w:eastAsia="it-IT"/>
        </w:rPr>
        <w:tab/>
        <w:t xml:space="preserve">                                      Il Responsabile del servizio finanziario Dott. Enrico Gasparri</w:t>
      </w:r>
    </w:p>
    <w:p w:rsidR="0095078D" w:rsidRPr="0095078D" w:rsidRDefault="0095078D" w:rsidP="0095078D">
      <w:pPr>
        <w:spacing w:after="0" w:line="240" w:lineRule="auto"/>
        <w:rPr>
          <w:rFonts w:ascii="Arial" w:eastAsiaTheme="minorEastAsia" w:hAnsi="Arial" w:cs="Arial"/>
          <w:sz w:val="24"/>
          <w:szCs w:val="24"/>
          <w:lang w:eastAsia="it-IT"/>
        </w:rPr>
      </w:pPr>
    </w:p>
    <w:p w:rsidR="0095078D" w:rsidRDefault="0095078D">
      <w:bookmarkStart w:id="0" w:name="_GoBack"/>
      <w:bookmarkEnd w:id="0"/>
    </w:p>
    <w:sectPr w:rsidR="0095078D" w:rsidSect="0095078D">
      <w:pgSz w:w="16838" w:h="11906" w:orient="landscape"/>
      <w:pgMar w:top="851" w:right="899" w:bottom="1276" w:left="1258" w:header="709" w:footer="8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73" w:rsidRDefault="00AD5273" w:rsidP="0095078D">
      <w:pPr>
        <w:spacing w:after="0" w:line="240" w:lineRule="auto"/>
      </w:pPr>
      <w:r>
        <w:separator/>
      </w:r>
    </w:p>
  </w:endnote>
  <w:endnote w:type="continuationSeparator" w:id="0">
    <w:p w:rsidR="00AD5273" w:rsidRDefault="00AD5273" w:rsidP="0095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73" w:rsidRDefault="00AD5273" w:rsidP="0095078D">
      <w:pPr>
        <w:spacing w:after="0" w:line="240" w:lineRule="auto"/>
      </w:pPr>
      <w:r>
        <w:separator/>
      </w:r>
    </w:p>
  </w:footnote>
  <w:footnote w:type="continuationSeparator" w:id="0">
    <w:p w:rsidR="00AD5273" w:rsidRDefault="00AD5273" w:rsidP="0095078D">
      <w:pPr>
        <w:spacing w:after="0" w:line="240" w:lineRule="auto"/>
      </w:pPr>
      <w:r>
        <w:continuationSeparator/>
      </w:r>
    </w:p>
  </w:footnote>
  <w:footnote w:id="1">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2011</w:t>
      </w:r>
      <w:r w:rsidRPr="00B666E0">
        <w:rPr>
          <w:rFonts w:ascii="Arial" w:hAnsi="Arial"/>
          <w:sz w:val="16"/>
          <w:szCs w:val="16"/>
        </w:rPr>
        <w:t>.</w:t>
      </w:r>
    </w:p>
  </w:footnote>
  <w:footnote w:id="2">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2012</w:t>
      </w:r>
      <w:r w:rsidRPr="00B666E0">
        <w:rPr>
          <w:rFonts w:ascii="Arial" w:hAnsi="Arial"/>
          <w:sz w:val="16"/>
          <w:szCs w:val="16"/>
        </w:rPr>
        <w:t>.</w:t>
      </w:r>
    </w:p>
  </w:footnote>
  <w:footnote w:id="3">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2013</w:t>
      </w:r>
      <w:r w:rsidRPr="00B666E0">
        <w:rPr>
          <w:rFonts w:ascii="Arial" w:hAnsi="Arial"/>
          <w:sz w:val="16"/>
          <w:szCs w:val="16"/>
        </w:rPr>
        <w:t>.</w:t>
      </w:r>
    </w:p>
  </w:footnote>
  <w:footnote w:id="4">
    <w:p w:rsidR="0095078D" w:rsidRDefault="0095078D" w:rsidP="0095078D">
      <w:pPr>
        <w:pStyle w:val="Testonotaapidipagina"/>
        <w:jc w:val="both"/>
      </w:pPr>
      <w:r w:rsidRPr="00B666E0">
        <w:rPr>
          <w:rStyle w:val="Rimandonotaapidipagina"/>
          <w:rFonts w:ascii="Arial" w:hAnsi="Arial" w:cs="Arial"/>
          <w:sz w:val="16"/>
          <w:szCs w:val="16"/>
        </w:rPr>
        <w:footnoteRef/>
      </w:r>
      <w:r w:rsidRPr="00B666E0">
        <w:rPr>
          <w:rFonts w:ascii="Arial" w:hAnsi="Arial" w:cs="Arial"/>
          <w:sz w:val="16"/>
          <w:szCs w:val="16"/>
        </w:rPr>
        <w:t xml:space="preserve"> La spesa per il segretario comunale va considerata nell’aggregato spesa di personale e il relativo costo contribuisce a determinarne l’ammontare. L’ente deve operare all’interno delle </w:t>
      </w:r>
      <w:proofErr w:type="spellStart"/>
      <w:r w:rsidRPr="00B666E0">
        <w:rPr>
          <w:rFonts w:ascii="Arial" w:hAnsi="Arial" w:cs="Arial"/>
          <w:sz w:val="16"/>
          <w:szCs w:val="16"/>
        </w:rPr>
        <w:t>possibilita</w:t>
      </w:r>
      <w:proofErr w:type="spellEnd"/>
      <w:r w:rsidRPr="00B666E0">
        <w:rPr>
          <w:rFonts w:ascii="Arial" w:hAnsi="Arial" w:cs="Arial"/>
          <w:sz w:val="16"/>
          <w:szCs w:val="16"/>
        </w:rPr>
        <w:t xml:space="preserve">̀ concesse dalla legge (c. 557 e 557-bis, legge n. 296/2006) per attuare i principi di riduzione della spesa di personale, essendo comunque tenuto a sostenere il costo per tale figura (C. </w:t>
      </w:r>
      <w:r>
        <w:rPr>
          <w:rFonts w:ascii="Arial" w:hAnsi="Arial" w:cs="Arial"/>
          <w:sz w:val="16"/>
          <w:szCs w:val="16"/>
        </w:rPr>
        <w:t xml:space="preserve">dei </w:t>
      </w:r>
      <w:r w:rsidRPr="00B666E0">
        <w:rPr>
          <w:rFonts w:ascii="Arial" w:hAnsi="Arial" w:cs="Arial"/>
          <w:sz w:val="16"/>
          <w:szCs w:val="16"/>
        </w:rPr>
        <w:t>conti Lombardia, del. n. 130/2014). Si devono conteggiare nell’aggregato “spesa di personale” i compensi corrisposti dal Comune per il servizio “a scavalco” di segretari comunali nella sede priva di titolare o con titolare assente o impedito.</w:t>
      </w:r>
    </w:p>
  </w:footnote>
  <w:footnote w:id="5">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2011</w:t>
      </w:r>
      <w:r w:rsidRPr="00B666E0">
        <w:rPr>
          <w:rFonts w:ascii="Arial" w:hAnsi="Arial"/>
          <w:sz w:val="16"/>
          <w:szCs w:val="16"/>
        </w:rPr>
        <w:t>.</w:t>
      </w:r>
    </w:p>
  </w:footnote>
  <w:footnote w:id="6">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2012</w:t>
      </w:r>
      <w:r w:rsidRPr="00B666E0">
        <w:rPr>
          <w:rFonts w:ascii="Arial" w:hAnsi="Arial"/>
          <w:sz w:val="16"/>
          <w:szCs w:val="16"/>
        </w:rPr>
        <w:t>.</w:t>
      </w:r>
    </w:p>
  </w:footnote>
  <w:footnote w:id="7">
    <w:p w:rsidR="0095078D" w:rsidRDefault="0095078D" w:rsidP="0095078D">
      <w:pPr>
        <w:pStyle w:val="Testonotaapidipagina"/>
        <w:jc w:val="both"/>
      </w:pPr>
      <w:r w:rsidRPr="00B666E0">
        <w:rPr>
          <w:rStyle w:val="Rimandonotaapidipagina"/>
          <w:rFonts w:ascii="Arial" w:hAnsi="Arial"/>
          <w:sz w:val="16"/>
          <w:szCs w:val="16"/>
        </w:rPr>
        <w:footnoteRef/>
      </w:r>
      <w:r w:rsidRPr="00B666E0">
        <w:rPr>
          <w:rFonts w:ascii="Arial" w:hAnsi="Arial"/>
          <w:sz w:val="16"/>
          <w:szCs w:val="16"/>
        </w:rPr>
        <w:t xml:space="preserve"> Somme impegnate risultanti d</w:t>
      </w:r>
      <w:r>
        <w:rPr>
          <w:rFonts w:ascii="Arial" w:hAnsi="Arial"/>
          <w:sz w:val="16"/>
          <w:szCs w:val="16"/>
        </w:rPr>
        <w:t>al rendiconto dell’esercizio 2013</w:t>
      </w:r>
      <w:r w:rsidRPr="00B666E0">
        <w:rPr>
          <w:rFonts w:ascii="Arial" w:hAnsi="Arial"/>
          <w:sz w:val="16"/>
          <w:szCs w:val="16"/>
        </w:rPr>
        <w:t>.</w:t>
      </w:r>
    </w:p>
  </w:footnote>
  <w:footnote w:id="8">
    <w:p w:rsidR="0095078D" w:rsidRPr="00B666E0" w:rsidRDefault="0095078D" w:rsidP="0095078D">
      <w:pPr>
        <w:pStyle w:val="Testonotaapidipagina"/>
        <w:jc w:val="both"/>
        <w:rPr>
          <w:rFonts w:ascii="Arial" w:hAnsi="Arial" w:cs="Arial"/>
          <w:i/>
          <w:sz w:val="16"/>
          <w:szCs w:val="16"/>
        </w:rPr>
      </w:pPr>
      <w:r w:rsidRPr="00B666E0">
        <w:rPr>
          <w:rStyle w:val="Rimandonotaapidipagina"/>
          <w:rFonts w:ascii="Arial" w:hAnsi="Arial" w:cs="Arial"/>
          <w:sz w:val="16"/>
          <w:szCs w:val="16"/>
        </w:rPr>
        <w:footnoteRef/>
      </w:r>
      <w:r w:rsidRPr="00B666E0">
        <w:rPr>
          <w:rFonts w:ascii="Arial" w:hAnsi="Arial" w:cs="Arial"/>
          <w:sz w:val="16"/>
          <w:szCs w:val="16"/>
        </w:rPr>
        <w:t xml:space="preserve"> </w:t>
      </w:r>
      <w:r w:rsidRPr="00B666E0">
        <w:rPr>
          <w:rFonts w:ascii="Arial" w:hAnsi="Arial" w:cs="Arial"/>
          <w:b/>
          <w:sz w:val="16"/>
          <w:szCs w:val="16"/>
        </w:rPr>
        <w:t>120.</w:t>
      </w:r>
      <w:r w:rsidRPr="00B666E0">
        <w:rPr>
          <w:rFonts w:ascii="Arial" w:hAnsi="Arial" w:cs="Arial"/>
          <w:sz w:val="16"/>
          <w:szCs w:val="16"/>
        </w:rPr>
        <w:t xml:space="preserve"> All'articolo 1, comma 557, della legge 27 dicembre 2006, n. 296, è aggiunto, in fine, il seguente periodo: «</w:t>
      </w:r>
      <w:r w:rsidRPr="00B666E0">
        <w:rPr>
          <w:rFonts w:ascii="Arial" w:hAnsi="Arial" w:cs="Arial"/>
          <w:i/>
          <w:sz w:val="16"/>
          <w:szCs w:val="16"/>
        </w:rPr>
        <w:t>Eventuali deroghe ai sensi dell'articolo 19, comma 8, della legge 28 dicembre 2001, n. 448, fermi restando i vincoli fissati dal patto di stabilità per l'esercizio in corso, devono comunque assicurare il rispetto delle seguenti ulteriori condizioni:</w:t>
      </w:r>
    </w:p>
    <w:p w:rsidR="0095078D" w:rsidRPr="00B666E0" w:rsidRDefault="0095078D" w:rsidP="0095078D">
      <w:pPr>
        <w:pStyle w:val="Testonotaapidipagina"/>
        <w:jc w:val="both"/>
        <w:rPr>
          <w:rFonts w:ascii="Arial" w:hAnsi="Arial" w:cs="Arial"/>
          <w:i/>
          <w:sz w:val="16"/>
          <w:szCs w:val="16"/>
        </w:rPr>
      </w:pPr>
      <w:r w:rsidRPr="00B666E0">
        <w:rPr>
          <w:rFonts w:ascii="Arial" w:hAnsi="Arial" w:cs="Arial"/>
          <w:i/>
          <w:sz w:val="16"/>
          <w:szCs w:val="16"/>
        </w:rPr>
        <w:t>a) che l'ente abbia rispettato il patto di stabilità nell'ultimo triennio;</w:t>
      </w:r>
    </w:p>
    <w:p w:rsidR="0095078D" w:rsidRPr="00B666E0" w:rsidRDefault="0095078D" w:rsidP="0095078D">
      <w:pPr>
        <w:pStyle w:val="Testonotaapidipagina"/>
        <w:jc w:val="both"/>
        <w:rPr>
          <w:rFonts w:ascii="Arial" w:hAnsi="Arial" w:cs="Arial"/>
          <w:i/>
          <w:sz w:val="16"/>
          <w:szCs w:val="16"/>
        </w:rPr>
      </w:pPr>
      <w:r w:rsidRPr="00B666E0">
        <w:rPr>
          <w:rFonts w:ascii="Arial" w:hAnsi="Arial" w:cs="Arial"/>
          <w:i/>
          <w:sz w:val="16"/>
          <w:szCs w:val="16"/>
        </w:rPr>
        <w:t>b) che il volume complessivo della spesa per il personale in servizio non sia superiore al parametro obiettivo valido ai fini dell'accertamento della condizione di ente strutturalmente deficitario;</w:t>
      </w:r>
    </w:p>
    <w:p w:rsidR="0095078D" w:rsidRDefault="0095078D" w:rsidP="0095078D">
      <w:pPr>
        <w:pStyle w:val="Testonotaapidipagina"/>
        <w:jc w:val="both"/>
      </w:pPr>
      <w:r w:rsidRPr="00B666E0">
        <w:rPr>
          <w:rFonts w:ascii="Arial" w:hAnsi="Arial" w:cs="Arial"/>
          <w:i/>
          <w:sz w:val="16"/>
          <w:szCs w:val="16"/>
        </w:rPr>
        <w:t>c) che il rapporto medio tra dipendenti in servizio e popolazione residente non superi quello determinato per gli enti in condizioni di dissesto</w:t>
      </w:r>
      <w:r w:rsidRPr="00B666E0">
        <w:rPr>
          <w:rFonts w:ascii="Arial" w:hAnsi="Arial" w:cs="Arial"/>
          <w:sz w:val="16"/>
          <w:szCs w:val="16"/>
        </w:rPr>
        <w:t>».</w:t>
      </w:r>
    </w:p>
  </w:footnote>
  <w:footnote w:id="9">
    <w:p w:rsidR="0095078D" w:rsidRPr="00B666E0" w:rsidRDefault="0095078D" w:rsidP="0095078D">
      <w:pPr>
        <w:pStyle w:val="Testonotaapidipagina"/>
        <w:jc w:val="both"/>
        <w:rPr>
          <w:rFonts w:ascii="Arial" w:hAnsi="Arial" w:cs="Arial"/>
          <w:sz w:val="16"/>
          <w:szCs w:val="16"/>
        </w:rPr>
      </w:pPr>
      <w:r w:rsidRPr="00B666E0">
        <w:rPr>
          <w:rStyle w:val="Rimandonotaapidipagina"/>
          <w:rFonts w:ascii="Arial" w:hAnsi="Arial" w:cs="Arial"/>
          <w:sz w:val="16"/>
          <w:szCs w:val="16"/>
        </w:rPr>
        <w:footnoteRef/>
      </w:r>
      <w:r w:rsidRPr="00B666E0">
        <w:rPr>
          <w:rFonts w:ascii="Arial" w:hAnsi="Arial" w:cs="Arial"/>
          <w:sz w:val="16"/>
          <w:szCs w:val="16"/>
        </w:rPr>
        <w:t xml:space="preserve"> </w:t>
      </w:r>
      <w:r w:rsidRPr="00B666E0">
        <w:rPr>
          <w:rFonts w:ascii="Arial" w:hAnsi="Arial" w:cs="Arial"/>
          <w:b/>
          <w:sz w:val="16"/>
          <w:szCs w:val="16"/>
        </w:rPr>
        <w:t>8.</w:t>
      </w:r>
      <w:r w:rsidRPr="00B666E0">
        <w:rPr>
          <w:rFonts w:ascii="Arial" w:hAnsi="Arial" w:cs="Arial"/>
          <w:sz w:val="16"/>
          <w:szCs w:val="16"/>
        </w:rPr>
        <w:t xml:space="preserve"> Per le strette finalità connesse alla situazione emergenziale prodottasi a seguito del sisma del 20 e 29 maggio 2012, per le annualità 2012 e 2013 è autorizzata l'assunzione con contratti di lavoro flessibile fino a 170 unità di personale per i comuni colpiti dal sisma individuati dall'articolo 1, comma 1, del decreto-legge 6 giugno 2012, n. 74, e fino a 50 unità di personale da parte della struttura commissariale istituita presso la regione Emilia-Romagna, ai sensi del comma 5 dell'articolo 1 del citato decreto-legge. Nei limiti delle risorse impiegate per le assunzioni destinate ai comuni, non operano i vincoli </w:t>
      </w:r>
      <w:proofErr w:type="spellStart"/>
      <w:r w:rsidRPr="00B666E0">
        <w:rPr>
          <w:rFonts w:ascii="Arial" w:hAnsi="Arial" w:cs="Arial"/>
          <w:sz w:val="16"/>
          <w:szCs w:val="16"/>
        </w:rPr>
        <w:t>assunzionali</w:t>
      </w:r>
      <w:proofErr w:type="spellEnd"/>
      <w:r w:rsidRPr="00B666E0">
        <w:rPr>
          <w:rFonts w:ascii="Arial" w:hAnsi="Arial" w:cs="Arial"/>
          <w:sz w:val="16"/>
          <w:szCs w:val="16"/>
        </w:rPr>
        <w:t xml:space="preserve"> di cui ai commi 557 e 562 dell'articolo 1 della legge 27 dicembre 2006, n. 296, e di cui al comma 28 dell'articolo 9 del decreto-legge 31 maggio 2010, n. 78, convertito, con modificazioni, dalla legge 30 luglio 2010, n. 122. Le assunzioni di cui al precedente periodo sono effettuate dalle unioni di comuni, con facoltà di attingere dalle graduatorie, anche per le assunzioni a tempo indeterminato, approvate dai comuni costituenti le unioni medesime e vigenti alla data di entrata in vigore della legge di conversione del presente decreto, garantendo in ogni caso il rispetto dell'ordine di collocazione dei candidati nelle medesime graduatorie. L'assegnazione delle risorse finanziarie per le assunzioni tra le diverse regioni è effettuata in base al riparto di cui al decreto del Presidente del Consiglio dei Ministri 4 luglio 2012, pubblicato nella Gazzetta Ufficiale n. 156 del 6 luglio 2012. Il riparto fra i comuni interessati avviene previa intesa tra le unioni ed i commissari delegati. I comuni non ricompresi in unioni possono stipulare apposite convenzioni con le unioni per poter attivare la presente disposizione.</w:t>
      </w:r>
    </w:p>
    <w:p w:rsidR="0095078D" w:rsidRPr="00B666E0" w:rsidRDefault="0095078D" w:rsidP="0095078D">
      <w:pPr>
        <w:pStyle w:val="Testonotaapidipagina"/>
        <w:jc w:val="both"/>
        <w:rPr>
          <w:rFonts w:ascii="Arial" w:hAnsi="Arial" w:cs="Arial"/>
          <w:sz w:val="16"/>
          <w:szCs w:val="16"/>
        </w:rPr>
      </w:pPr>
      <w:r w:rsidRPr="00B666E0">
        <w:rPr>
          <w:rFonts w:ascii="Arial" w:hAnsi="Arial" w:cs="Arial"/>
          <w:b/>
          <w:sz w:val="16"/>
          <w:szCs w:val="16"/>
        </w:rPr>
        <w:t>8-bis.</w:t>
      </w:r>
      <w:r w:rsidRPr="00B666E0">
        <w:rPr>
          <w:rFonts w:ascii="Arial" w:hAnsi="Arial" w:cs="Arial"/>
          <w:sz w:val="16"/>
          <w:szCs w:val="16"/>
        </w:rPr>
        <w:t xml:space="preserve"> I comuni individuati nell'allegato 1 al decreto-legge 6 giugno 2012, n. 74, convertito, con modificazioni, dalla legge 1º agosto 2012, n. 122, e le unioni di comuni cui gli stessi aderiscono, per le annualità 2012 e 2013, sono autorizzati ad incrementare le risorse decentrate fino a un massimo del 5 per cento della spesa di personale, calcolata secondo i criteri applicati per l'attuazione dei commi 557 e 562 dell'articolo 1 della legge 27 dicembre 2006, n. 296. Le amministrazioni comunali nel determinare lo stanziamento integrativo devono in ogni caso assicurare il rispetto del patto di stabilità nonché delle disposizioni di cui al comma 7 dell'articolo 76 del decreto-legge 25 giugno 2008, n. 112, convertito, con modificazioni, dalla legge 6 agosto 2008, n. 133, e successive modificazioni. Gli stanziamenti integrativi sono destinati a finanziare la remunerazione delle attività e delle prestazioni rese dal personale in relazione alla gestione dello stato di emergenza conseguente agli eventi sismici ed alla riorganizzazione della gestione ordinaria.</w:t>
      </w:r>
    </w:p>
    <w:p w:rsidR="0095078D" w:rsidRDefault="0095078D" w:rsidP="0095078D">
      <w:pPr>
        <w:pStyle w:val="Testonotaapidipagina"/>
        <w:jc w:val="both"/>
      </w:pPr>
      <w:r w:rsidRPr="00B666E0">
        <w:rPr>
          <w:rFonts w:ascii="Arial" w:hAnsi="Arial" w:cs="Arial"/>
          <w:b/>
          <w:sz w:val="16"/>
          <w:szCs w:val="16"/>
        </w:rPr>
        <w:t>9.</w:t>
      </w:r>
      <w:r w:rsidRPr="00B666E0">
        <w:rPr>
          <w:rFonts w:ascii="Arial" w:hAnsi="Arial" w:cs="Arial"/>
          <w:sz w:val="16"/>
          <w:szCs w:val="16"/>
        </w:rPr>
        <w:t xml:space="preserve"> Agli oneri derivanti dal comma 8 si provvede mediante utilizzo delle risorse di cui all'articolo 2 del decreto-legge 6 giugno 2012, n. 74, convertito, con modificazioni, dalla legge 1° agosto 2012, n. 122, nell'ambito della quota assegnata a ciascun Presidente di regione e con i seguenti limiti: euro 3.750.000 per l'anno 2012, euro 20 milioni per l'anno 2013, euro 20 milioni per l'anno 2014, euro 25 milioni per l'anno 2015 ed euro 25 milioni per l'anno 2016.</w:t>
      </w:r>
    </w:p>
  </w:footnote>
  <w:footnote w:id="10">
    <w:p w:rsidR="0095078D" w:rsidRDefault="0095078D" w:rsidP="0095078D">
      <w:pPr>
        <w:pStyle w:val="Testonotaapidipagina"/>
        <w:jc w:val="both"/>
      </w:pPr>
      <w:r w:rsidRPr="00B23F75">
        <w:rPr>
          <w:rStyle w:val="Rimandonotaapidipagina"/>
          <w:rFonts w:ascii="Arial" w:hAnsi="Arial" w:cs="Arial"/>
          <w:sz w:val="16"/>
          <w:szCs w:val="16"/>
        </w:rPr>
        <w:footnoteRef/>
      </w:r>
      <w:r w:rsidRPr="00B23F75">
        <w:rPr>
          <w:rFonts w:ascii="Arial" w:hAnsi="Arial" w:cs="Arial"/>
          <w:sz w:val="16"/>
          <w:szCs w:val="16"/>
        </w:rPr>
        <w:t xml:space="preserve"> Vanno indicate tutte le somme previste sul bilancio d</w:t>
      </w:r>
      <w:r>
        <w:rPr>
          <w:rFonts w:ascii="Arial" w:hAnsi="Arial" w:cs="Arial"/>
          <w:sz w:val="16"/>
          <w:szCs w:val="16"/>
        </w:rPr>
        <w:t xml:space="preserve">i previsione finanziario dell’esercizio </w:t>
      </w:r>
      <w:r w:rsidRPr="00FB03A0">
        <w:rPr>
          <w:rFonts w:ascii="Arial" w:hAnsi="Arial" w:cs="Arial"/>
          <w:sz w:val="16"/>
          <w:szCs w:val="16"/>
          <w:u w:val="single"/>
        </w:rPr>
        <w:t>2019</w:t>
      </w:r>
      <w:r w:rsidRPr="00B23F75">
        <w:rPr>
          <w:rFonts w:ascii="Arial" w:hAnsi="Arial" w:cs="Arial"/>
          <w:sz w:val="16"/>
          <w:szCs w:val="16"/>
        </w:rPr>
        <w:t>.</w:t>
      </w:r>
    </w:p>
  </w:footnote>
  <w:footnote w:id="11">
    <w:p w:rsidR="0095078D" w:rsidRDefault="0095078D" w:rsidP="0095078D">
      <w:pPr>
        <w:pStyle w:val="Testonotaapidipagina"/>
      </w:pPr>
      <w:r w:rsidRPr="00B23F75">
        <w:rPr>
          <w:rStyle w:val="Rimandonotaapidipagina"/>
          <w:rFonts w:ascii="Arial" w:hAnsi="Arial" w:cs="Arial"/>
          <w:sz w:val="16"/>
          <w:szCs w:val="16"/>
        </w:rPr>
        <w:footnoteRef/>
      </w:r>
      <w:r w:rsidRPr="00B23F75">
        <w:rPr>
          <w:rFonts w:ascii="Arial" w:hAnsi="Arial" w:cs="Arial"/>
          <w:sz w:val="16"/>
          <w:szCs w:val="16"/>
        </w:rPr>
        <w:t xml:space="preserve"> Vanno indicate tutte le somme già impegnate sul bilancio per </w:t>
      </w:r>
      <w:r>
        <w:rPr>
          <w:rFonts w:ascii="Arial" w:hAnsi="Arial" w:cs="Arial"/>
          <w:sz w:val="16"/>
          <w:szCs w:val="16"/>
        </w:rPr>
        <w:t xml:space="preserve">effetto di personale assunto e </w:t>
      </w:r>
      <w:r w:rsidRPr="00B23F75">
        <w:rPr>
          <w:rFonts w:ascii="Arial" w:hAnsi="Arial" w:cs="Arial"/>
          <w:sz w:val="16"/>
          <w:szCs w:val="16"/>
        </w:rPr>
        <w:t>obbligaz</w:t>
      </w:r>
      <w:r>
        <w:rPr>
          <w:rFonts w:ascii="Arial" w:hAnsi="Arial" w:cs="Arial"/>
          <w:sz w:val="16"/>
          <w:szCs w:val="16"/>
        </w:rPr>
        <w:t xml:space="preserve">ioni già contratte </w:t>
      </w:r>
      <w:r w:rsidRPr="00FB03A0">
        <w:rPr>
          <w:rFonts w:ascii="Arial" w:hAnsi="Arial" w:cs="Arial"/>
          <w:sz w:val="16"/>
          <w:szCs w:val="16"/>
          <w:u w:val="single"/>
        </w:rPr>
        <w:t>con decorrenza 1° gennaio 2019</w:t>
      </w:r>
      <w:r>
        <w:rPr>
          <w:rFonts w:ascii="Arial" w:hAnsi="Arial" w:cs="Arial"/>
          <w:sz w:val="16"/>
          <w:szCs w:val="16"/>
        </w:rPr>
        <w:t>.</w:t>
      </w:r>
    </w:p>
  </w:footnote>
  <w:footnote w:id="12">
    <w:p w:rsidR="0095078D" w:rsidRDefault="0095078D" w:rsidP="0095078D">
      <w:pPr>
        <w:pStyle w:val="Testonotaapidipagina"/>
        <w:jc w:val="both"/>
      </w:pPr>
      <w:r w:rsidRPr="00B23F75">
        <w:rPr>
          <w:rStyle w:val="Rimandonotaapidipagina"/>
          <w:rFonts w:ascii="Arial" w:hAnsi="Arial" w:cs="Arial"/>
          <w:sz w:val="16"/>
          <w:szCs w:val="16"/>
        </w:rPr>
        <w:footnoteRef/>
      </w:r>
      <w:r w:rsidRPr="00B23F75">
        <w:rPr>
          <w:rFonts w:ascii="Arial" w:hAnsi="Arial" w:cs="Arial"/>
          <w:sz w:val="16"/>
          <w:szCs w:val="16"/>
        </w:rPr>
        <w:t xml:space="preserve"> Vanno indicate tutte le somme previste sul bilancio d</w:t>
      </w:r>
      <w:r>
        <w:rPr>
          <w:rFonts w:ascii="Arial" w:hAnsi="Arial" w:cs="Arial"/>
          <w:sz w:val="16"/>
          <w:szCs w:val="16"/>
        </w:rPr>
        <w:t xml:space="preserve">i previsione finanziario dell’esercizio </w:t>
      </w:r>
      <w:r w:rsidRPr="00F70E0C">
        <w:rPr>
          <w:rFonts w:ascii="Arial" w:hAnsi="Arial" w:cs="Arial"/>
          <w:sz w:val="16"/>
          <w:szCs w:val="16"/>
          <w:u w:val="single"/>
        </w:rPr>
        <w:t>2019</w:t>
      </w:r>
      <w:r w:rsidRPr="00B23F75">
        <w:rPr>
          <w:rFonts w:ascii="Arial" w:hAnsi="Arial" w:cs="Arial"/>
          <w:sz w:val="16"/>
          <w:szCs w:val="16"/>
        </w:rPr>
        <w:t>.</w:t>
      </w:r>
    </w:p>
  </w:footnote>
  <w:footnote w:id="13">
    <w:p w:rsidR="0095078D" w:rsidRDefault="0095078D" w:rsidP="0095078D">
      <w:pPr>
        <w:pStyle w:val="Testonotaapidipagina"/>
      </w:pPr>
      <w:r w:rsidRPr="00B23F75">
        <w:rPr>
          <w:rStyle w:val="Rimandonotaapidipagina"/>
          <w:rFonts w:ascii="Arial" w:hAnsi="Arial" w:cs="Arial"/>
          <w:sz w:val="16"/>
          <w:szCs w:val="16"/>
        </w:rPr>
        <w:footnoteRef/>
      </w:r>
      <w:r w:rsidRPr="00B23F75">
        <w:rPr>
          <w:rFonts w:ascii="Arial" w:hAnsi="Arial" w:cs="Arial"/>
          <w:sz w:val="16"/>
          <w:szCs w:val="16"/>
        </w:rPr>
        <w:t xml:space="preserve"> Vanno indicate tutte le somme già impegnate sul bilancio per</w:t>
      </w:r>
      <w:r>
        <w:rPr>
          <w:rFonts w:ascii="Arial" w:hAnsi="Arial" w:cs="Arial"/>
          <w:sz w:val="16"/>
          <w:szCs w:val="16"/>
        </w:rPr>
        <w:t xml:space="preserve"> effetto di personale assunto e</w:t>
      </w:r>
      <w:r w:rsidRPr="00B23F75">
        <w:rPr>
          <w:rFonts w:ascii="Arial" w:hAnsi="Arial" w:cs="Arial"/>
          <w:sz w:val="16"/>
          <w:szCs w:val="16"/>
        </w:rPr>
        <w:t xml:space="preserve"> obbligazioni già contrat</w:t>
      </w:r>
      <w:r>
        <w:rPr>
          <w:rFonts w:ascii="Arial" w:hAnsi="Arial" w:cs="Arial"/>
          <w:sz w:val="16"/>
          <w:szCs w:val="16"/>
        </w:rPr>
        <w:t xml:space="preserve">te alla data del </w:t>
      </w:r>
      <w:r w:rsidRPr="00F70E0C">
        <w:rPr>
          <w:rFonts w:ascii="Arial" w:hAnsi="Arial" w:cs="Arial"/>
          <w:sz w:val="16"/>
          <w:szCs w:val="16"/>
          <w:u w:val="single"/>
        </w:rPr>
        <w:t>1° gennaio 2019</w:t>
      </w:r>
      <w:r>
        <w:rPr>
          <w:rFonts w:ascii="Arial" w:hAnsi="Arial" w:cs="Arial"/>
          <w:sz w:val="16"/>
          <w:szCs w:val="16"/>
        </w:rPr>
        <w:t>.</w:t>
      </w:r>
    </w:p>
  </w:footnote>
  <w:footnote w:id="14">
    <w:p w:rsidR="0095078D" w:rsidRPr="00B666E0" w:rsidRDefault="0095078D" w:rsidP="0095078D">
      <w:pPr>
        <w:pStyle w:val="Testonotaapidipagina"/>
        <w:jc w:val="both"/>
        <w:rPr>
          <w:rFonts w:ascii="Arial" w:hAnsi="Arial" w:cs="Arial"/>
          <w:i/>
          <w:sz w:val="16"/>
          <w:szCs w:val="16"/>
        </w:rPr>
      </w:pPr>
      <w:r w:rsidRPr="00B666E0">
        <w:rPr>
          <w:rStyle w:val="Rimandonotaapidipagina"/>
          <w:rFonts w:ascii="Arial" w:hAnsi="Arial" w:cs="Arial"/>
          <w:sz w:val="16"/>
          <w:szCs w:val="16"/>
        </w:rPr>
        <w:footnoteRef/>
      </w:r>
      <w:r w:rsidRPr="00B666E0">
        <w:rPr>
          <w:rFonts w:ascii="Arial" w:hAnsi="Arial" w:cs="Arial"/>
          <w:sz w:val="16"/>
          <w:szCs w:val="16"/>
        </w:rPr>
        <w:t xml:space="preserve"> </w:t>
      </w:r>
      <w:r w:rsidRPr="00B666E0">
        <w:rPr>
          <w:rFonts w:ascii="Arial" w:hAnsi="Arial" w:cs="Arial"/>
          <w:b/>
          <w:sz w:val="16"/>
          <w:szCs w:val="16"/>
        </w:rPr>
        <w:t>120.</w:t>
      </w:r>
      <w:r w:rsidRPr="00B666E0">
        <w:rPr>
          <w:rFonts w:ascii="Arial" w:hAnsi="Arial" w:cs="Arial"/>
          <w:sz w:val="16"/>
          <w:szCs w:val="16"/>
        </w:rPr>
        <w:t xml:space="preserve"> All'articolo 1, comma 557, della legge 27 dicembre 2006, n. 296, è aggiunto, in fine, il seguente periodo: «</w:t>
      </w:r>
      <w:r w:rsidRPr="00B666E0">
        <w:rPr>
          <w:rFonts w:ascii="Arial" w:hAnsi="Arial" w:cs="Arial"/>
          <w:i/>
          <w:sz w:val="16"/>
          <w:szCs w:val="16"/>
        </w:rPr>
        <w:t>Eventuali deroghe ai sensi dell'articolo 19, comma 8, della legge 28 dicembre 2001, n. 448, fermi restando i vincoli fissati dal patto di stabilità per l'esercizio in corso, devono comunque assicurare il rispetto delle seguenti ulteriori condizioni:</w:t>
      </w:r>
    </w:p>
    <w:p w:rsidR="0095078D" w:rsidRPr="00B666E0" w:rsidRDefault="0095078D" w:rsidP="0095078D">
      <w:pPr>
        <w:pStyle w:val="Testonotaapidipagina"/>
        <w:jc w:val="both"/>
        <w:rPr>
          <w:rFonts w:ascii="Arial" w:hAnsi="Arial" w:cs="Arial"/>
          <w:i/>
          <w:sz w:val="16"/>
          <w:szCs w:val="16"/>
        </w:rPr>
      </w:pPr>
      <w:r w:rsidRPr="00B666E0">
        <w:rPr>
          <w:rFonts w:ascii="Arial" w:hAnsi="Arial" w:cs="Arial"/>
          <w:i/>
          <w:sz w:val="16"/>
          <w:szCs w:val="16"/>
        </w:rPr>
        <w:t>a) che l'ente abbia rispettato il patto di stabilità nell'ultimo triennio;</w:t>
      </w:r>
    </w:p>
    <w:p w:rsidR="0095078D" w:rsidRPr="00B666E0" w:rsidRDefault="0095078D" w:rsidP="0095078D">
      <w:pPr>
        <w:pStyle w:val="Testonotaapidipagina"/>
        <w:jc w:val="both"/>
        <w:rPr>
          <w:rFonts w:ascii="Arial" w:hAnsi="Arial" w:cs="Arial"/>
          <w:i/>
          <w:sz w:val="16"/>
          <w:szCs w:val="16"/>
        </w:rPr>
      </w:pPr>
      <w:r w:rsidRPr="00B666E0">
        <w:rPr>
          <w:rFonts w:ascii="Arial" w:hAnsi="Arial" w:cs="Arial"/>
          <w:i/>
          <w:sz w:val="16"/>
          <w:szCs w:val="16"/>
        </w:rPr>
        <w:t>b) che il volume complessivo della spesa per il personale in servizio non sia superiore al parametro obiettivo valido ai fini dell'accertamento della condizione di ente strutturalmente deficitario;</w:t>
      </w:r>
    </w:p>
    <w:p w:rsidR="0095078D" w:rsidRDefault="0095078D" w:rsidP="0095078D">
      <w:pPr>
        <w:pStyle w:val="Testonotaapidipagina"/>
        <w:jc w:val="both"/>
      </w:pPr>
      <w:r w:rsidRPr="00B666E0">
        <w:rPr>
          <w:rFonts w:ascii="Arial" w:hAnsi="Arial" w:cs="Arial"/>
          <w:i/>
          <w:sz w:val="16"/>
          <w:szCs w:val="16"/>
        </w:rPr>
        <w:t>c) che il rapporto medio tra dipendenti in servizio e popolazione residente non superi quello determinato per gli enti in condizioni di dissesto</w:t>
      </w:r>
      <w:r w:rsidRPr="00B666E0">
        <w:rPr>
          <w:rFonts w:ascii="Arial" w:hAnsi="Arial" w:cs="Arial"/>
          <w:sz w:val="16"/>
          <w:szCs w:val="16"/>
        </w:rPr>
        <w:t>».</w:t>
      </w:r>
    </w:p>
  </w:footnote>
  <w:footnote w:id="15">
    <w:p w:rsidR="0095078D" w:rsidRPr="00B666E0" w:rsidRDefault="0095078D" w:rsidP="0095078D">
      <w:pPr>
        <w:pStyle w:val="Testonotaapidipagina"/>
        <w:jc w:val="both"/>
        <w:rPr>
          <w:rFonts w:ascii="Arial" w:hAnsi="Arial" w:cs="Arial"/>
          <w:sz w:val="16"/>
          <w:szCs w:val="16"/>
        </w:rPr>
      </w:pPr>
      <w:r w:rsidRPr="00B666E0">
        <w:rPr>
          <w:rStyle w:val="Rimandonotaapidipagina"/>
          <w:rFonts w:ascii="Arial" w:hAnsi="Arial" w:cs="Arial"/>
          <w:sz w:val="16"/>
          <w:szCs w:val="16"/>
        </w:rPr>
        <w:footnoteRef/>
      </w:r>
      <w:r w:rsidRPr="00B666E0">
        <w:rPr>
          <w:rFonts w:ascii="Arial" w:hAnsi="Arial" w:cs="Arial"/>
          <w:sz w:val="16"/>
          <w:szCs w:val="16"/>
        </w:rPr>
        <w:t xml:space="preserve"> </w:t>
      </w:r>
      <w:r w:rsidRPr="00B666E0">
        <w:rPr>
          <w:rFonts w:ascii="Arial" w:hAnsi="Arial" w:cs="Arial"/>
          <w:b/>
          <w:sz w:val="16"/>
          <w:szCs w:val="16"/>
        </w:rPr>
        <w:t>8.</w:t>
      </w:r>
      <w:r w:rsidRPr="00B666E0">
        <w:rPr>
          <w:rFonts w:ascii="Arial" w:hAnsi="Arial" w:cs="Arial"/>
          <w:sz w:val="16"/>
          <w:szCs w:val="16"/>
        </w:rPr>
        <w:t xml:space="preserve"> Per le strette finalità connesse alla situazione emergenziale prodottasi a seguito del sisma del 20 e 29 maggio 2012, per le annualità 2012 e 2013 è autorizzata l'assunzione con contratti di lavoro flessibile fino a 170 unità di personale per i comuni colpiti dal sisma individuati dall'articolo 1, comma 1, del decreto-legge 6 giugno 2012, n. 74, e fino a 50 unità di personale da parte della struttura commissariale istituita presso la regione Emilia-Romagna, ai sensi del comma 5 dell'articolo 1 del citato decreto-legge. Nei limiti delle risorse impiegate per le assunzioni destinate ai comuni, non operano i vincoli </w:t>
      </w:r>
      <w:proofErr w:type="spellStart"/>
      <w:r w:rsidRPr="00B666E0">
        <w:rPr>
          <w:rFonts w:ascii="Arial" w:hAnsi="Arial" w:cs="Arial"/>
          <w:sz w:val="16"/>
          <w:szCs w:val="16"/>
        </w:rPr>
        <w:t>assunzionali</w:t>
      </w:r>
      <w:proofErr w:type="spellEnd"/>
      <w:r w:rsidRPr="00B666E0">
        <w:rPr>
          <w:rFonts w:ascii="Arial" w:hAnsi="Arial" w:cs="Arial"/>
          <w:sz w:val="16"/>
          <w:szCs w:val="16"/>
        </w:rPr>
        <w:t xml:space="preserve"> di cui ai commi 557 e 562 dell'articolo 1 della legge 27 dicembre 2006, n. 296, e di cui al comma 28 dell'articolo 9 del decreto-legge 31 maggio 2010, n. 78, convertito, con modificazioni, dalla legge 30 luglio 2010, n. 122. Le assunzioni di cui al precedente periodo sono effettuate dalle unioni di comuni, con facoltà di attingere dalle graduatorie, anche per le assunzioni a tempo indeterminato, approvate dai comuni costituenti le unioni medesime e vigenti alla data di entrata in vigore della legge di conversione del presente decreto, garantendo in ogni caso il rispetto dell'ordine di collocazione dei candidati nelle medesime graduatorie. L'assegnazione delle risorse finanziarie per le assunzioni tra le diverse regioni è effettuata in base al riparto di cui al decreto del Presidente del Consiglio dei Ministri 4 luglio 2012, pubblicato nella Gazzetta Ufficiale n. 156 del 6 luglio 2012. Il riparto fra i comuni interessati avviene previa intesa tra le unioni ed i commissari delegati. I comuni non ricompresi in unioni possono stipulare apposite convenzioni con le unioni per poter attivare la presente disposizione.</w:t>
      </w:r>
    </w:p>
    <w:p w:rsidR="0095078D" w:rsidRPr="00B666E0" w:rsidRDefault="0095078D" w:rsidP="0095078D">
      <w:pPr>
        <w:pStyle w:val="Testonotaapidipagina"/>
        <w:jc w:val="both"/>
        <w:rPr>
          <w:rFonts w:ascii="Arial" w:hAnsi="Arial" w:cs="Arial"/>
          <w:sz w:val="16"/>
          <w:szCs w:val="16"/>
        </w:rPr>
      </w:pPr>
      <w:r w:rsidRPr="00B666E0">
        <w:rPr>
          <w:rFonts w:ascii="Arial" w:hAnsi="Arial" w:cs="Arial"/>
          <w:b/>
          <w:sz w:val="16"/>
          <w:szCs w:val="16"/>
        </w:rPr>
        <w:t>8-bis.</w:t>
      </w:r>
      <w:r w:rsidRPr="00B666E0">
        <w:rPr>
          <w:rFonts w:ascii="Arial" w:hAnsi="Arial" w:cs="Arial"/>
          <w:sz w:val="16"/>
          <w:szCs w:val="16"/>
        </w:rPr>
        <w:t xml:space="preserve"> I comuni individuati nell'allegato 1 al decreto-legge 6 giugno 2012, n. 74, convertito, con modificazioni, dalla legge 1º agosto 2012, n. 122, e le unioni di comuni cui gli stessi aderiscono, per le annualità 2012 e 2013, sono autorizzati ad incrementare le risorse decentrate fino a un massimo del 5 per cento della spesa di personale, calcolata secondo i criteri applicati per l'attuazione dei commi 557 e 562 dell'articolo 1 della legge 27 dicembre 2006, n. 296. Le amministrazioni comunali nel determinare lo stanziamento integrativo devono in ogni caso assicurare il rispetto del patto di stabilità nonché delle disposizioni di cui al comma 7 dell'articolo 76 del decreto-legge 25 giugno 2008, n. 112, convertito, con modificazioni, dalla legge 6 agosto 2008, n. 133, e successive modificazioni. Gli stanziamenti integrativi sono destinati a finanziare la remunerazione delle attività e delle prestazioni rese dal personale in relazione alla gestione dello stato di emergenza conseguente agli eventi sismici ed alla riorganizzazione della gestione ordinaria.</w:t>
      </w:r>
    </w:p>
    <w:p w:rsidR="0095078D" w:rsidRDefault="0095078D" w:rsidP="0095078D">
      <w:pPr>
        <w:pStyle w:val="Testonotaapidipagina"/>
        <w:jc w:val="both"/>
      </w:pPr>
      <w:r w:rsidRPr="00B666E0">
        <w:rPr>
          <w:rFonts w:ascii="Arial" w:hAnsi="Arial" w:cs="Arial"/>
          <w:b/>
          <w:sz w:val="16"/>
          <w:szCs w:val="16"/>
        </w:rPr>
        <w:t>9.</w:t>
      </w:r>
      <w:r w:rsidRPr="00B666E0">
        <w:rPr>
          <w:rFonts w:ascii="Arial" w:hAnsi="Arial" w:cs="Arial"/>
          <w:sz w:val="16"/>
          <w:szCs w:val="16"/>
        </w:rPr>
        <w:t xml:space="preserve"> Agli oneri derivanti dal comma 8 si provvede mediante utilizzo delle risorse di cui all'articolo 2 del decreto-legge 6 giugno 2012, n. 74, convertito, con modificazioni, dalla legge 1° agosto 2012, n. 122, nell'ambito della quota assegnata a ciascun Presidente di regione e con i seguenti limiti: euro 3.750.000 per l'anno 2012, euro 20 milioni per l'anno 2013, euro 20 milioni per l'anno 2014, euro 25 milioni per l'anno 2015 ed euro 25 milioni per l'anno 2016.</w:t>
      </w:r>
    </w:p>
  </w:footnote>
  <w:footnote w:id="16">
    <w:p w:rsidR="0095078D" w:rsidRDefault="0095078D" w:rsidP="0095078D">
      <w:pPr>
        <w:spacing w:before="40" w:after="40"/>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w:t>
      </w:r>
      <w:r w:rsidRPr="00AD144B">
        <w:rPr>
          <w:rFonts w:ascii="Arial" w:hAnsi="Arial" w:cs="Arial"/>
          <w:bCs/>
          <w:iCs/>
          <w:sz w:val="18"/>
          <w:szCs w:val="18"/>
        </w:rPr>
        <w:t>1. Art.</w:t>
      </w:r>
      <w:r w:rsidRPr="00AD144B">
        <w:rPr>
          <w:rFonts w:ascii="Arial" w:hAnsi="Arial" w:cs="Arial"/>
          <w:iCs/>
          <w:sz w:val="18"/>
          <w:szCs w:val="18"/>
        </w:rPr>
        <w:t xml:space="preserve"> 3, c. 5, D.L. 24 giugno 2014, n. 90: </w:t>
      </w:r>
      <w:r w:rsidRPr="00AD144B">
        <w:rPr>
          <w:rFonts w:ascii="Arial" w:hAnsi="Arial" w:cs="Arial"/>
          <w:bCs/>
          <w:iCs/>
          <w:sz w:val="18"/>
          <w:szCs w:val="18"/>
        </w:rPr>
        <w:t xml:space="preserve">"(...) </w:t>
      </w:r>
      <w:r w:rsidRPr="00AD144B">
        <w:rPr>
          <w:rFonts w:ascii="Arial" w:hAnsi="Arial" w:cs="Arial"/>
          <w:bCs/>
          <w:i/>
          <w:iCs/>
          <w:sz w:val="18"/>
          <w:szCs w:val="18"/>
        </w:rPr>
        <w:t>A decorrere dall'anno 2014 è consentito il cumulo delle risorse destinate alle assunzioni per un arco temporale non superiore a tre anni, nel rispetto della programmazione del fabbisogno e di qu</w:t>
      </w:r>
      <w:r>
        <w:rPr>
          <w:rFonts w:ascii="Arial" w:hAnsi="Arial" w:cs="Arial"/>
          <w:bCs/>
          <w:i/>
          <w:iCs/>
          <w:sz w:val="18"/>
          <w:szCs w:val="18"/>
        </w:rPr>
        <w:t>ella finanziaria e contabile; è altresì</w:t>
      </w:r>
      <w:r w:rsidRPr="00AD144B">
        <w:rPr>
          <w:rFonts w:ascii="Arial" w:hAnsi="Arial" w:cs="Arial"/>
          <w:bCs/>
          <w:i/>
          <w:iCs/>
          <w:sz w:val="18"/>
          <w:szCs w:val="18"/>
        </w:rPr>
        <w:t xml:space="preserve"> consentito l'utilizzo dei residui ancora disponibili delle </w:t>
      </w:r>
      <w:r>
        <w:rPr>
          <w:rFonts w:ascii="Arial" w:hAnsi="Arial" w:cs="Arial"/>
          <w:bCs/>
          <w:i/>
          <w:iCs/>
          <w:sz w:val="18"/>
          <w:szCs w:val="18"/>
        </w:rPr>
        <w:t>quote percentuali delle facoltà</w:t>
      </w:r>
      <w:r w:rsidRPr="00AD144B">
        <w:rPr>
          <w:rFonts w:ascii="Arial" w:hAnsi="Arial" w:cs="Arial"/>
          <w:bCs/>
          <w:i/>
          <w:iCs/>
          <w:sz w:val="18"/>
          <w:szCs w:val="18"/>
        </w:rPr>
        <w:t xml:space="preserve"> </w:t>
      </w:r>
      <w:proofErr w:type="spellStart"/>
      <w:r w:rsidRPr="00AD144B">
        <w:rPr>
          <w:rFonts w:ascii="Arial" w:hAnsi="Arial" w:cs="Arial"/>
          <w:bCs/>
          <w:i/>
          <w:iCs/>
          <w:sz w:val="18"/>
          <w:szCs w:val="18"/>
        </w:rPr>
        <w:t>assunzionali</w:t>
      </w:r>
      <w:proofErr w:type="spellEnd"/>
      <w:r w:rsidRPr="00AD144B">
        <w:rPr>
          <w:rFonts w:ascii="Arial" w:hAnsi="Arial" w:cs="Arial"/>
          <w:bCs/>
          <w:i/>
          <w:iCs/>
          <w:sz w:val="18"/>
          <w:szCs w:val="18"/>
        </w:rPr>
        <w:t xml:space="preserve"> riferite al triennio precedente. (...)</w:t>
      </w:r>
      <w:r w:rsidRPr="00AD144B">
        <w:rPr>
          <w:rFonts w:ascii="Arial" w:hAnsi="Arial" w:cs="Arial"/>
          <w:bCs/>
          <w:iCs/>
          <w:sz w:val="18"/>
          <w:szCs w:val="18"/>
        </w:rPr>
        <w:t>"</w:t>
      </w:r>
    </w:p>
  </w:footnote>
  <w:footnote w:id="17">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categoria iniziale di accesso (A, B, B3, C, D, D3), senza posizione economica.</w:t>
      </w:r>
    </w:p>
  </w:footnote>
  <w:footnote w:id="18">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Specificare tra: pensionamento, dimissioni, esternalizzazione del servizio, mobilità in uscita verso ente non soggetto ad assunzioni, mobilità in uscita del segretario. Ricordiamo che NON COSTITUISCONO CESSAZIONI: mobilità in uscita verso enti soggetti a limiti </w:t>
      </w:r>
      <w:proofErr w:type="spellStart"/>
      <w:r w:rsidRPr="00AD144B">
        <w:rPr>
          <w:rFonts w:ascii="Arial" w:hAnsi="Arial" w:cs="Arial"/>
          <w:sz w:val="18"/>
          <w:szCs w:val="18"/>
        </w:rPr>
        <w:t>assunzionali</w:t>
      </w:r>
      <w:proofErr w:type="spellEnd"/>
      <w:r w:rsidRPr="00AD144B">
        <w:rPr>
          <w:rFonts w:ascii="Arial" w:hAnsi="Arial" w:cs="Arial"/>
          <w:sz w:val="18"/>
          <w:szCs w:val="18"/>
        </w:rPr>
        <w:t xml:space="preserve"> (tra cui tutti gli enti locali); cessazione categorie protette, cessazione di dipendente per effetto di progressione verticale. </w:t>
      </w:r>
    </w:p>
  </w:footnote>
  <w:footnote w:id="19">
    <w:p w:rsidR="0095078D" w:rsidRDefault="0095078D" w:rsidP="0095078D">
      <w:pPr>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retribuzione tabellare della categoria iniziale di inquadramento del dipendente cessato, senza progressioni economiche, considerato per 12 mensilità (compresa la 13^).</w:t>
      </w:r>
    </w:p>
  </w:footnote>
  <w:footnote w:id="20">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Alla retribuzione fondamentale va sommato il costo del trattamento accessorio medio, calcolato assumendo il totale delle risorse decentrate dell’anno di riferimento diviso il numero medio dei dipendenti in servizio (semisomma del numero dei dipendenti al 1° gennaio e al 31 dicembre dell’anno) (</w:t>
      </w:r>
      <w:proofErr w:type="spellStart"/>
      <w:r w:rsidRPr="00AD144B">
        <w:rPr>
          <w:rFonts w:ascii="Arial" w:hAnsi="Arial" w:cs="Arial"/>
          <w:sz w:val="18"/>
          <w:szCs w:val="18"/>
        </w:rPr>
        <w:t>rif.</w:t>
      </w:r>
      <w:proofErr w:type="spellEnd"/>
      <w:r w:rsidRPr="00AD144B">
        <w:rPr>
          <w:rFonts w:ascii="Arial" w:hAnsi="Arial" w:cs="Arial"/>
          <w:sz w:val="18"/>
          <w:szCs w:val="18"/>
        </w:rPr>
        <w:t xml:space="preserve"> DFP, nota circolare n. 11786 del 22/02/2011).</w:t>
      </w:r>
    </w:p>
  </w:footnote>
  <w:footnote w:id="21">
    <w:p w:rsidR="0095078D" w:rsidRDefault="0095078D" w:rsidP="0095078D">
      <w:pPr>
        <w:pStyle w:val="Testonotaapidipagina"/>
        <w:jc w:val="both"/>
      </w:pPr>
      <w:r w:rsidRPr="000D0AE0">
        <w:rPr>
          <w:rStyle w:val="Rimandonotaapidipagina"/>
          <w:rFonts w:ascii="Arial" w:hAnsi="Arial" w:cs="Arial"/>
          <w:sz w:val="18"/>
          <w:szCs w:val="18"/>
        </w:rPr>
        <w:footnoteRef/>
      </w:r>
      <w:r w:rsidRPr="000D0AE0">
        <w:rPr>
          <w:rFonts w:ascii="Arial" w:hAnsi="Arial" w:cs="Arial"/>
          <w:sz w:val="18"/>
          <w:szCs w:val="18"/>
        </w:rPr>
        <w:t xml:space="preserve"> </w:t>
      </w:r>
      <w:r>
        <w:rPr>
          <w:rFonts w:ascii="Arial" w:hAnsi="Arial" w:cs="Arial"/>
          <w:sz w:val="18"/>
          <w:szCs w:val="18"/>
        </w:rPr>
        <w:t>Se il r</w:t>
      </w:r>
      <w:r w:rsidRPr="00972709">
        <w:rPr>
          <w:rFonts w:ascii="Arial" w:hAnsi="Arial" w:cs="Arial"/>
          <w:sz w:val="18"/>
          <w:szCs w:val="18"/>
        </w:rPr>
        <w:t>apporto tra spes</w:t>
      </w:r>
      <w:r>
        <w:rPr>
          <w:rFonts w:ascii="Arial" w:hAnsi="Arial" w:cs="Arial"/>
          <w:sz w:val="18"/>
          <w:szCs w:val="18"/>
        </w:rPr>
        <w:t>e di personale e spese correnti è s</w:t>
      </w:r>
      <w:r w:rsidRPr="00972709">
        <w:rPr>
          <w:rFonts w:ascii="Arial" w:hAnsi="Arial" w:cs="Arial"/>
          <w:sz w:val="18"/>
          <w:szCs w:val="18"/>
        </w:rPr>
        <w:t>uperiore al 25%</w:t>
      </w:r>
      <w:r>
        <w:rPr>
          <w:rFonts w:ascii="Arial" w:hAnsi="Arial" w:cs="Arial"/>
          <w:sz w:val="18"/>
          <w:szCs w:val="18"/>
        </w:rPr>
        <w:t xml:space="preserve">, è pari al </w:t>
      </w:r>
      <w:r w:rsidRPr="00972709">
        <w:rPr>
          <w:rFonts w:ascii="Arial" w:hAnsi="Arial" w:cs="Arial"/>
          <w:sz w:val="18"/>
          <w:szCs w:val="18"/>
        </w:rPr>
        <w:t xml:space="preserve">25% della spesa per cessazioni dell’anno 2015 o </w:t>
      </w:r>
      <w:r>
        <w:rPr>
          <w:rFonts w:ascii="Arial" w:hAnsi="Arial" w:cs="Arial"/>
          <w:sz w:val="18"/>
          <w:szCs w:val="18"/>
        </w:rPr>
        <w:t>al 75% se l’ente ha rispettato il</w:t>
      </w:r>
      <w:r w:rsidRPr="00972709">
        <w:rPr>
          <w:rFonts w:ascii="Arial" w:hAnsi="Arial" w:cs="Arial"/>
          <w:sz w:val="18"/>
          <w:szCs w:val="18"/>
        </w:rPr>
        <w:t xml:space="preserve"> parametro previsto dal </w:t>
      </w:r>
      <w:proofErr w:type="spellStart"/>
      <w:r w:rsidRPr="00972709">
        <w:rPr>
          <w:rFonts w:ascii="Arial" w:hAnsi="Arial" w:cs="Arial"/>
          <w:sz w:val="18"/>
          <w:szCs w:val="18"/>
        </w:rPr>
        <w:t>d.m.</w:t>
      </w:r>
      <w:proofErr w:type="spellEnd"/>
      <w:r w:rsidRPr="00972709">
        <w:rPr>
          <w:rFonts w:ascii="Arial" w:hAnsi="Arial" w:cs="Arial"/>
          <w:sz w:val="18"/>
          <w:szCs w:val="18"/>
        </w:rPr>
        <w:t xml:space="preserve"> di cui all’articolo 263, comma 2, del TUEL</w:t>
      </w:r>
      <w:r w:rsidRPr="000D0AE0">
        <w:rPr>
          <w:rFonts w:ascii="Arial" w:hAnsi="Arial" w:cs="Arial"/>
          <w:sz w:val="18"/>
          <w:szCs w:val="18"/>
        </w:rPr>
        <w:t>.</w:t>
      </w:r>
      <w:r>
        <w:rPr>
          <w:rFonts w:ascii="Arial" w:hAnsi="Arial" w:cs="Arial"/>
          <w:sz w:val="18"/>
          <w:szCs w:val="18"/>
        </w:rPr>
        <w:t xml:space="preserve"> Se il r</w:t>
      </w:r>
      <w:r w:rsidRPr="00972709">
        <w:rPr>
          <w:rFonts w:ascii="Arial" w:hAnsi="Arial" w:cs="Arial"/>
          <w:sz w:val="18"/>
          <w:szCs w:val="18"/>
        </w:rPr>
        <w:t>apporto tra spes</w:t>
      </w:r>
      <w:r>
        <w:rPr>
          <w:rFonts w:ascii="Arial" w:hAnsi="Arial" w:cs="Arial"/>
          <w:sz w:val="18"/>
          <w:szCs w:val="18"/>
        </w:rPr>
        <w:t>e di personale e spese correnti è inf</w:t>
      </w:r>
      <w:r w:rsidRPr="00972709">
        <w:rPr>
          <w:rFonts w:ascii="Arial" w:hAnsi="Arial" w:cs="Arial"/>
          <w:sz w:val="18"/>
          <w:szCs w:val="18"/>
        </w:rPr>
        <w:t>eriore al 25%</w:t>
      </w:r>
      <w:r>
        <w:rPr>
          <w:rFonts w:ascii="Arial" w:hAnsi="Arial" w:cs="Arial"/>
          <w:sz w:val="18"/>
          <w:szCs w:val="18"/>
        </w:rPr>
        <w:t>, è pari al 100</w:t>
      </w:r>
      <w:r w:rsidRPr="00972709">
        <w:rPr>
          <w:rFonts w:ascii="Arial" w:hAnsi="Arial" w:cs="Arial"/>
          <w:sz w:val="18"/>
          <w:szCs w:val="18"/>
        </w:rPr>
        <w:t>% della spesa per cessazioni dell’anno 2015</w:t>
      </w:r>
      <w:r w:rsidRPr="000D0AE0">
        <w:rPr>
          <w:rFonts w:ascii="Arial" w:hAnsi="Arial" w:cs="Arial"/>
          <w:sz w:val="18"/>
          <w:szCs w:val="18"/>
        </w:rPr>
        <w:t>.</w:t>
      </w:r>
    </w:p>
  </w:footnote>
  <w:footnote w:id="22">
    <w:p w:rsidR="0095078D" w:rsidRDefault="0095078D" w:rsidP="0095078D">
      <w:pPr>
        <w:spacing w:before="40" w:after="40"/>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w:t>
      </w:r>
      <w:r w:rsidRPr="00AD144B">
        <w:rPr>
          <w:rFonts w:ascii="Arial" w:hAnsi="Arial" w:cs="Arial"/>
          <w:bCs/>
          <w:iCs/>
          <w:sz w:val="18"/>
          <w:szCs w:val="18"/>
        </w:rPr>
        <w:t>1. Art.</w:t>
      </w:r>
      <w:r w:rsidRPr="00AD144B">
        <w:rPr>
          <w:rFonts w:ascii="Arial" w:hAnsi="Arial" w:cs="Arial"/>
          <w:iCs/>
          <w:sz w:val="18"/>
          <w:szCs w:val="18"/>
        </w:rPr>
        <w:t xml:space="preserve"> 3, c. 5, D.L. 24 giugno 2014, n. 90: </w:t>
      </w:r>
      <w:r w:rsidRPr="00AD144B">
        <w:rPr>
          <w:rFonts w:ascii="Arial" w:hAnsi="Arial" w:cs="Arial"/>
          <w:bCs/>
          <w:iCs/>
          <w:sz w:val="18"/>
          <w:szCs w:val="18"/>
        </w:rPr>
        <w:t xml:space="preserve">"(...) </w:t>
      </w:r>
      <w:r w:rsidRPr="00AD144B">
        <w:rPr>
          <w:rFonts w:ascii="Arial" w:hAnsi="Arial" w:cs="Arial"/>
          <w:bCs/>
          <w:i/>
          <w:iCs/>
          <w:sz w:val="18"/>
          <w:szCs w:val="18"/>
        </w:rPr>
        <w:t>A decorrere dall'anno 2014 è consentito il cumulo delle risorse destinate alle assunzioni per un arco temporale non superiore a tre anni, nel rispetto della programmazione del fabbisogno e di qu</w:t>
      </w:r>
      <w:r>
        <w:rPr>
          <w:rFonts w:ascii="Arial" w:hAnsi="Arial" w:cs="Arial"/>
          <w:bCs/>
          <w:i/>
          <w:iCs/>
          <w:sz w:val="18"/>
          <w:szCs w:val="18"/>
        </w:rPr>
        <w:t>ella finanziaria e contabile; è altresì</w:t>
      </w:r>
      <w:r w:rsidRPr="00AD144B">
        <w:rPr>
          <w:rFonts w:ascii="Arial" w:hAnsi="Arial" w:cs="Arial"/>
          <w:bCs/>
          <w:i/>
          <w:iCs/>
          <w:sz w:val="18"/>
          <w:szCs w:val="18"/>
        </w:rPr>
        <w:t xml:space="preserve"> consentito l'utilizzo dei residui ancora disponibili delle quote percentuali delle facolt</w:t>
      </w:r>
      <w:r>
        <w:rPr>
          <w:rFonts w:ascii="Arial" w:hAnsi="Arial" w:cs="Arial"/>
          <w:bCs/>
          <w:i/>
          <w:iCs/>
          <w:sz w:val="18"/>
          <w:szCs w:val="18"/>
        </w:rPr>
        <w:t>à</w:t>
      </w:r>
      <w:r w:rsidRPr="00AD144B">
        <w:rPr>
          <w:rFonts w:ascii="Arial" w:hAnsi="Arial" w:cs="Arial"/>
          <w:bCs/>
          <w:i/>
          <w:iCs/>
          <w:sz w:val="18"/>
          <w:szCs w:val="18"/>
        </w:rPr>
        <w:t xml:space="preserve"> </w:t>
      </w:r>
      <w:proofErr w:type="spellStart"/>
      <w:r w:rsidRPr="00AD144B">
        <w:rPr>
          <w:rFonts w:ascii="Arial" w:hAnsi="Arial" w:cs="Arial"/>
          <w:bCs/>
          <w:i/>
          <w:iCs/>
          <w:sz w:val="18"/>
          <w:szCs w:val="18"/>
        </w:rPr>
        <w:t>assunzionali</w:t>
      </w:r>
      <w:proofErr w:type="spellEnd"/>
      <w:r w:rsidRPr="00AD144B">
        <w:rPr>
          <w:rFonts w:ascii="Arial" w:hAnsi="Arial" w:cs="Arial"/>
          <w:bCs/>
          <w:i/>
          <w:iCs/>
          <w:sz w:val="18"/>
          <w:szCs w:val="18"/>
        </w:rPr>
        <w:t xml:space="preserve"> riferite al triennio precedente. (...)</w:t>
      </w:r>
      <w:r w:rsidRPr="00AD144B">
        <w:rPr>
          <w:rFonts w:ascii="Arial" w:hAnsi="Arial" w:cs="Arial"/>
          <w:bCs/>
          <w:iCs/>
          <w:sz w:val="18"/>
          <w:szCs w:val="18"/>
        </w:rPr>
        <w:t>"</w:t>
      </w:r>
    </w:p>
  </w:footnote>
  <w:footnote w:id="23">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categoria iniziale di accesso (A, B, B3, C, D, D3), senza posizione economica.</w:t>
      </w:r>
    </w:p>
  </w:footnote>
  <w:footnote w:id="24">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Specificare tra: pensionamento, dimissioni, esternalizzazione del servizio, mobilità in uscita verso ente non soggetto ad assunzioni, mobilità in uscita del segretario. Ricordiamo che NON COSTITUISCONO CESSAZIONI: mobilità in uscita verso enti soggetti a limiti </w:t>
      </w:r>
      <w:proofErr w:type="spellStart"/>
      <w:r w:rsidRPr="00AD144B">
        <w:rPr>
          <w:rFonts w:ascii="Arial" w:hAnsi="Arial" w:cs="Arial"/>
          <w:sz w:val="18"/>
          <w:szCs w:val="18"/>
        </w:rPr>
        <w:t>assunzionali</w:t>
      </w:r>
      <w:proofErr w:type="spellEnd"/>
      <w:r w:rsidRPr="00AD144B">
        <w:rPr>
          <w:rFonts w:ascii="Arial" w:hAnsi="Arial" w:cs="Arial"/>
          <w:sz w:val="18"/>
          <w:szCs w:val="18"/>
        </w:rPr>
        <w:t xml:space="preserve"> (tra cui tutti gli enti locali); cessazione categorie protette, cessazione di dipendente per effetto di progressione verticale. </w:t>
      </w:r>
    </w:p>
  </w:footnote>
  <w:footnote w:id="25">
    <w:p w:rsidR="0095078D" w:rsidRDefault="0095078D" w:rsidP="0095078D">
      <w:pPr>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retribuzione tabellare della categoria iniziale di inquadramento del dipendente cessato, senza progressioni economiche, considerato per 12 mensilità (compresa la 13^).</w:t>
      </w:r>
    </w:p>
  </w:footnote>
  <w:footnote w:id="26">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Alla retribuzione fondamentale va sommato il costo del trattamento accessorio medio, calcolato assumendo il totale delle risorse decentrate dell’anno di riferimento diviso il numero medio dei dipendenti in servizio (semisomma del numero dei dipendenti al 1° gennaio e al 31 dicembre dell’anno) (</w:t>
      </w:r>
      <w:proofErr w:type="spellStart"/>
      <w:r w:rsidRPr="00AD144B">
        <w:rPr>
          <w:rFonts w:ascii="Arial" w:hAnsi="Arial" w:cs="Arial"/>
          <w:sz w:val="18"/>
          <w:szCs w:val="18"/>
        </w:rPr>
        <w:t>rif.</w:t>
      </w:r>
      <w:proofErr w:type="spellEnd"/>
      <w:r w:rsidRPr="00AD144B">
        <w:rPr>
          <w:rFonts w:ascii="Arial" w:hAnsi="Arial" w:cs="Arial"/>
          <w:sz w:val="18"/>
          <w:szCs w:val="18"/>
        </w:rPr>
        <w:t xml:space="preserve"> DFP, nota circolare n. 11786 del 22/02/2011).</w:t>
      </w:r>
    </w:p>
  </w:footnote>
  <w:footnote w:id="27">
    <w:p w:rsidR="0095078D" w:rsidRDefault="0095078D" w:rsidP="0095078D">
      <w:pPr>
        <w:pStyle w:val="Testonotaapidipagina"/>
        <w:jc w:val="both"/>
      </w:pPr>
      <w:r w:rsidRPr="000D0AE0">
        <w:rPr>
          <w:rStyle w:val="Rimandonotaapidipagina"/>
          <w:rFonts w:ascii="Arial" w:hAnsi="Arial" w:cs="Arial"/>
          <w:sz w:val="18"/>
          <w:szCs w:val="18"/>
        </w:rPr>
        <w:footnoteRef/>
      </w:r>
      <w:r w:rsidRPr="000D0AE0">
        <w:rPr>
          <w:rFonts w:ascii="Arial" w:hAnsi="Arial" w:cs="Arial"/>
          <w:sz w:val="18"/>
          <w:szCs w:val="18"/>
        </w:rPr>
        <w:t xml:space="preserve"> Pari al 25% della spesa per cessazioni dell’anno 2016 o al </w:t>
      </w:r>
      <w:r>
        <w:rPr>
          <w:rFonts w:ascii="Arial" w:hAnsi="Arial" w:cs="Arial"/>
          <w:sz w:val="18"/>
          <w:szCs w:val="18"/>
        </w:rPr>
        <w:t>75% se l’ente ha rispettato il</w:t>
      </w:r>
      <w:r w:rsidRPr="000D0AE0">
        <w:rPr>
          <w:rFonts w:ascii="Arial" w:hAnsi="Arial" w:cs="Arial"/>
          <w:sz w:val="18"/>
          <w:szCs w:val="18"/>
        </w:rPr>
        <w:t xml:space="preserve"> parametro previsto dal </w:t>
      </w:r>
      <w:proofErr w:type="spellStart"/>
      <w:r w:rsidRPr="000D0AE0">
        <w:rPr>
          <w:rFonts w:ascii="Arial" w:hAnsi="Arial" w:cs="Arial"/>
          <w:sz w:val="18"/>
          <w:szCs w:val="18"/>
        </w:rPr>
        <w:t>d.m.</w:t>
      </w:r>
      <w:proofErr w:type="spellEnd"/>
      <w:r w:rsidRPr="000D0AE0">
        <w:rPr>
          <w:rFonts w:ascii="Arial" w:hAnsi="Arial" w:cs="Arial"/>
          <w:sz w:val="18"/>
          <w:szCs w:val="18"/>
        </w:rPr>
        <w:t xml:space="preserve"> di cui all’articolo 263, comma 2, del TUEL.</w:t>
      </w:r>
    </w:p>
  </w:footnote>
  <w:footnote w:id="28">
    <w:p w:rsidR="0095078D" w:rsidRDefault="0095078D" w:rsidP="0095078D">
      <w:pPr>
        <w:spacing w:before="40" w:after="40"/>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w:t>
      </w:r>
      <w:r w:rsidRPr="00AD144B">
        <w:rPr>
          <w:rFonts w:ascii="Arial" w:hAnsi="Arial" w:cs="Arial"/>
          <w:bCs/>
          <w:iCs/>
          <w:sz w:val="18"/>
          <w:szCs w:val="18"/>
        </w:rPr>
        <w:t>1. Art.</w:t>
      </w:r>
      <w:r w:rsidRPr="00AD144B">
        <w:rPr>
          <w:rFonts w:ascii="Arial" w:hAnsi="Arial" w:cs="Arial"/>
          <w:iCs/>
          <w:sz w:val="18"/>
          <w:szCs w:val="18"/>
        </w:rPr>
        <w:t xml:space="preserve"> 3, c. 5, D.L. 24 giugno 2014, n. 90: </w:t>
      </w:r>
      <w:r w:rsidRPr="00AD144B">
        <w:rPr>
          <w:rFonts w:ascii="Arial" w:hAnsi="Arial" w:cs="Arial"/>
          <w:bCs/>
          <w:iCs/>
          <w:sz w:val="18"/>
          <w:szCs w:val="18"/>
        </w:rPr>
        <w:t xml:space="preserve">"(...) </w:t>
      </w:r>
      <w:r w:rsidRPr="00AD144B">
        <w:rPr>
          <w:rFonts w:ascii="Arial" w:hAnsi="Arial" w:cs="Arial"/>
          <w:bCs/>
          <w:i/>
          <w:iCs/>
          <w:sz w:val="18"/>
          <w:szCs w:val="18"/>
        </w:rPr>
        <w:t>A decorrere dall'anno 2014 è consentito il cumulo delle risorse destinate alle assunzioni per un arco temporale non superiore a tre anni, nel rispetto della programmazione del fabbisogno e di qu</w:t>
      </w:r>
      <w:r>
        <w:rPr>
          <w:rFonts w:ascii="Arial" w:hAnsi="Arial" w:cs="Arial"/>
          <w:bCs/>
          <w:i/>
          <w:iCs/>
          <w:sz w:val="18"/>
          <w:szCs w:val="18"/>
        </w:rPr>
        <w:t>ella finanziaria e contabile; è altresì</w:t>
      </w:r>
      <w:r w:rsidRPr="00AD144B">
        <w:rPr>
          <w:rFonts w:ascii="Arial" w:hAnsi="Arial" w:cs="Arial"/>
          <w:bCs/>
          <w:i/>
          <w:iCs/>
          <w:sz w:val="18"/>
          <w:szCs w:val="18"/>
        </w:rPr>
        <w:t xml:space="preserve"> consentito l'utilizzo dei residui ancora disponibili delle quote percentuali delle facolt</w:t>
      </w:r>
      <w:r>
        <w:rPr>
          <w:rFonts w:ascii="Arial" w:hAnsi="Arial" w:cs="Arial"/>
          <w:bCs/>
          <w:i/>
          <w:iCs/>
          <w:sz w:val="18"/>
          <w:szCs w:val="18"/>
        </w:rPr>
        <w:t>à</w:t>
      </w:r>
      <w:r w:rsidRPr="00AD144B">
        <w:rPr>
          <w:rFonts w:ascii="Arial" w:hAnsi="Arial" w:cs="Arial"/>
          <w:bCs/>
          <w:i/>
          <w:iCs/>
          <w:sz w:val="18"/>
          <w:szCs w:val="18"/>
        </w:rPr>
        <w:t xml:space="preserve"> </w:t>
      </w:r>
      <w:proofErr w:type="spellStart"/>
      <w:r w:rsidRPr="00AD144B">
        <w:rPr>
          <w:rFonts w:ascii="Arial" w:hAnsi="Arial" w:cs="Arial"/>
          <w:bCs/>
          <w:i/>
          <w:iCs/>
          <w:sz w:val="18"/>
          <w:szCs w:val="18"/>
        </w:rPr>
        <w:t>assunzionali</w:t>
      </w:r>
      <w:proofErr w:type="spellEnd"/>
      <w:r w:rsidRPr="00AD144B">
        <w:rPr>
          <w:rFonts w:ascii="Arial" w:hAnsi="Arial" w:cs="Arial"/>
          <w:bCs/>
          <w:i/>
          <w:iCs/>
          <w:sz w:val="18"/>
          <w:szCs w:val="18"/>
        </w:rPr>
        <w:t xml:space="preserve"> riferite al triennio precedente. (...)</w:t>
      </w:r>
      <w:r w:rsidRPr="00AD144B">
        <w:rPr>
          <w:rFonts w:ascii="Arial" w:hAnsi="Arial" w:cs="Arial"/>
          <w:bCs/>
          <w:iCs/>
          <w:sz w:val="18"/>
          <w:szCs w:val="18"/>
        </w:rPr>
        <w:t>"</w:t>
      </w:r>
    </w:p>
  </w:footnote>
  <w:footnote w:id="29">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categoria iniziale di accesso (A, B, B3, C, D, D3), senza posizione economica.</w:t>
      </w:r>
    </w:p>
  </w:footnote>
  <w:footnote w:id="30">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Specificare tra: pensionamento, dimissioni, esternalizzazione del servizio, mobilità in uscita verso ente non soggetto ad assunzioni, mobilità in uscita del segretario. Ricordiamo che NON COSTITUISCONO CESSAZIONI: mobilità in uscita verso enti soggetti a limiti </w:t>
      </w:r>
      <w:proofErr w:type="spellStart"/>
      <w:r w:rsidRPr="00AD144B">
        <w:rPr>
          <w:rFonts w:ascii="Arial" w:hAnsi="Arial" w:cs="Arial"/>
          <w:sz w:val="18"/>
          <w:szCs w:val="18"/>
        </w:rPr>
        <w:t>assunzionali</w:t>
      </w:r>
      <w:proofErr w:type="spellEnd"/>
      <w:r w:rsidRPr="00AD144B">
        <w:rPr>
          <w:rFonts w:ascii="Arial" w:hAnsi="Arial" w:cs="Arial"/>
          <w:sz w:val="18"/>
          <w:szCs w:val="18"/>
        </w:rPr>
        <w:t xml:space="preserve"> (tra cui tutti gli enti locali); cessazione categorie protette, cessazione di dipendente per effetto di progressione verticale. </w:t>
      </w:r>
    </w:p>
  </w:footnote>
  <w:footnote w:id="31">
    <w:p w:rsidR="0095078D" w:rsidRDefault="0095078D" w:rsidP="0095078D">
      <w:pPr>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Indicare la retribuzione tabellare della categoria iniziale di inquadramento del dipendente cessato, senza progressioni economiche, considerato per 12 mensilità (compresa la 13^).</w:t>
      </w:r>
    </w:p>
  </w:footnote>
  <w:footnote w:id="32">
    <w:p w:rsidR="0095078D" w:rsidRDefault="0095078D" w:rsidP="0095078D">
      <w:pPr>
        <w:pStyle w:val="Testonotaapidipagina"/>
        <w:jc w:val="both"/>
      </w:pPr>
      <w:r w:rsidRPr="00AD144B">
        <w:rPr>
          <w:rStyle w:val="Rimandonotaapidipagina"/>
          <w:rFonts w:ascii="Arial" w:hAnsi="Arial" w:cs="Arial"/>
          <w:sz w:val="18"/>
          <w:szCs w:val="18"/>
        </w:rPr>
        <w:footnoteRef/>
      </w:r>
      <w:r w:rsidRPr="00AD144B">
        <w:rPr>
          <w:rFonts w:ascii="Arial" w:hAnsi="Arial" w:cs="Arial"/>
          <w:sz w:val="18"/>
          <w:szCs w:val="18"/>
        </w:rPr>
        <w:t xml:space="preserve"> Alla retribuzione fondamentale va sommato il costo del trattamento accessorio medio, calcolato assumendo il totale delle risorse decentrate dell’anno di riferimento diviso il numero medio dei dipendenti in servizio (semisomma del numero dei dipendenti al 1° gennaio e al 31 dicembre dell’anno) (</w:t>
      </w:r>
      <w:proofErr w:type="spellStart"/>
      <w:r w:rsidRPr="00AD144B">
        <w:rPr>
          <w:rFonts w:ascii="Arial" w:hAnsi="Arial" w:cs="Arial"/>
          <w:sz w:val="18"/>
          <w:szCs w:val="18"/>
        </w:rPr>
        <w:t>rif.</w:t>
      </w:r>
      <w:proofErr w:type="spellEnd"/>
      <w:r w:rsidRPr="00AD144B">
        <w:rPr>
          <w:rFonts w:ascii="Arial" w:hAnsi="Arial" w:cs="Arial"/>
          <w:sz w:val="18"/>
          <w:szCs w:val="18"/>
        </w:rPr>
        <w:t xml:space="preserve"> DFP, nota circolare n. 11786 del 22/02/2011).</w:t>
      </w:r>
    </w:p>
  </w:footnote>
  <w:footnote w:id="33">
    <w:p w:rsidR="0095078D" w:rsidRDefault="0095078D" w:rsidP="0095078D">
      <w:pPr>
        <w:pStyle w:val="Testonotaapidipagina"/>
        <w:jc w:val="both"/>
      </w:pPr>
      <w:r w:rsidRPr="008D1799">
        <w:rPr>
          <w:rStyle w:val="Rimandonotaapidipagina"/>
          <w:rFonts w:ascii="Arial" w:hAnsi="Arial" w:cs="Arial"/>
          <w:sz w:val="18"/>
          <w:szCs w:val="18"/>
        </w:rPr>
        <w:footnoteRef/>
      </w:r>
      <w:r w:rsidRPr="008D1799">
        <w:rPr>
          <w:rFonts w:ascii="Arial" w:hAnsi="Arial" w:cs="Arial"/>
          <w:sz w:val="18"/>
          <w:szCs w:val="18"/>
        </w:rPr>
        <w:t xml:space="preserve"> Percentuale applicabile negli en</w:t>
      </w:r>
      <w:r>
        <w:rPr>
          <w:rFonts w:ascii="Arial" w:hAnsi="Arial" w:cs="Arial"/>
          <w:sz w:val="18"/>
          <w:szCs w:val="18"/>
        </w:rPr>
        <w:t>ti con popolazione tra 1.000 e 5</w:t>
      </w:r>
      <w:r w:rsidRPr="008D1799">
        <w:rPr>
          <w:rFonts w:ascii="Arial" w:hAnsi="Arial" w:cs="Arial"/>
          <w:sz w:val="18"/>
          <w:szCs w:val="18"/>
        </w:rPr>
        <w:t>.000 abitanti con spesa di personale contenuta entro il valore medio del triennio 2011-2013 e con spesa di personale inferiore al 24% della media delle entrate correnti registrate nei rendiconti dell’ultimo triennio</w:t>
      </w:r>
      <w:r>
        <w:rPr>
          <w:rFonts w:ascii="Arial" w:hAnsi="Arial" w:cs="Arial"/>
          <w:sz w:val="18"/>
          <w:szCs w:val="18"/>
        </w:rPr>
        <w:t xml:space="preserve"> (</w:t>
      </w:r>
      <w:r w:rsidRPr="00AB2CC1">
        <w:rPr>
          <w:rFonts w:ascii="Arial" w:hAnsi="Arial" w:cs="Arial"/>
          <w:i/>
          <w:sz w:val="18"/>
          <w:szCs w:val="18"/>
        </w:rPr>
        <w:t>ex art. 1, c. 863, L. 27 dicembre 2017, n. 205</w:t>
      </w:r>
      <w:r>
        <w:rPr>
          <w:rFonts w:ascii="Arial" w:hAnsi="Arial" w:cs="Arial"/>
          <w:sz w:val="18"/>
          <w:szCs w:val="18"/>
        </w:rPr>
        <w:t>)</w:t>
      </w:r>
      <w:r w:rsidRPr="008D1799">
        <w:rPr>
          <w:rFonts w:ascii="Arial" w:hAnsi="Arial" w:cs="Arial"/>
          <w:sz w:val="18"/>
          <w:szCs w:val="18"/>
        </w:rPr>
        <w:t>.</w:t>
      </w:r>
    </w:p>
  </w:footnote>
  <w:footnote w:id="34">
    <w:p w:rsidR="0095078D" w:rsidRDefault="0095078D" w:rsidP="0095078D">
      <w:pPr>
        <w:pStyle w:val="Testonotaapidipagina"/>
        <w:jc w:val="both"/>
      </w:pPr>
      <w:r w:rsidRPr="008D1799">
        <w:rPr>
          <w:rStyle w:val="Rimandonotaapidipagina"/>
          <w:rFonts w:ascii="Arial" w:hAnsi="Arial" w:cs="Arial"/>
          <w:sz w:val="18"/>
          <w:szCs w:val="18"/>
        </w:rPr>
        <w:footnoteRef/>
      </w:r>
      <w:r w:rsidRPr="008D1799">
        <w:rPr>
          <w:rFonts w:ascii="Arial" w:hAnsi="Arial" w:cs="Arial"/>
          <w:sz w:val="18"/>
          <w:szCs w:val="18"/>
        </w:rPr>
        <w:t xml:space="preserve"> Percentuale applicabil</w:t>
      </w:r>
      <w:r>
        <w:rPr>
          <w:rFonts w:ascii="Arial" w:hAnsi="Arial" w:cs="Arial"/>
          <w:sz w:val="18"/>
          <w:szCs w:val="18"/>
        </w:rPr>
        <w:t xml:space="preserve">e negli enti con popolazione superiore a 1.000 </w:t>
      </w:r>
      <w:r w:rsidRPr="008D1799">
        <w:rPr>
          <w:rFonts w:ascii="Arial" w:hAnsi="Arial" w:cs="Arial"/>
          <w:sz w:val="18"/>
          <w:szCs w:val="18"/>
        </w:rPr>
        <w:t>abitanti con spesa di personale contenuta entro il valore medio del triennio 2011-2013</w:t>
      </w:r>
      <w:r>
        <w:rPr>
          <w:rFonts w:ascii="Arial" w:hAnsi="Arial" w:cs="Arial"/>
          <w:sz w:val="18"/>
          <w:szCs w:val="18"/>
        </w:rPr>
        <w:t xml:space="preserve">, </w:t>
      </w:r>
      <w:r w:rsidRPr="008D1799">
        <w:rPr>
          <w:rFonts w:ascii="Arial" w:hAnsi="Arial" w:cs="Arial"/>
          <w:sz w:val="18"/>
          <w:szCs w:val="18"/>
        </w:rPr>
        <w:t xml:space="preserve">con </w:t>
      </w:r>
      <w:r>
        <w:rPr>
          <w:rFonts w:ascii="Arial" w:hAnsi="Arial" w:cs="Arial"/>
          <w:sz w:val="18"/>
          <w:szCs w:val="18"/>
        </w:rPr>
        <w:t>r</w:t>
      </w:r>
      <w:r w:rsidRPr="00113D5A">
        <w:rPr>
          <w:rFonts w:ascii="Arial" w:hAnsi="Arial" w:cs="Arial"/>
          <w:sz w:val="18"/>
          <w:szCs w:val="18"/>
        </w:rPr>
        <w:t xml:space="preserve">apporto dipendenti/popolazione inferiore a </w:t>
      </w:r>
      <w:r>
        <w:rPr>
          <w:rFonts w:ascii="Arial" w:hAnsi="Arial" w:cs="Arial"/>
          <w:sz w:val="18"/>
          <w:szCs w:val="18"/>
        </w:rPr>
        <w:t>quello individuato dal</w:t>
      </w:r>
      <w:r w:rsidRPr="00113D5A">
        <w:rPr>
          <w:rFonts w:ascii="Arial" w:hAnsi="Arial" w:cs="Arial"/>
          <w:sz w:val="18"/>
          <w:szCs w:val="18"/>
        </w:rPr>
        <w:t xml:space="preserve"> D.M. 10 aprile 2017 per classe demografica, calcolato al 31 dicembre esercizio precedente</w:t>
      </w:r>
      <w:r>
        <w:rPr>
          <w:rFonts w:ascii="Arial" w:hAnsi="Arial" w:cs="Arial"/>
          <w:sz w:val="18"/>
          <w:szCs w:val="18"/>
        </w:rPr>
        <w:t>, che hanno rispettato il</w:t>
      </w:r>
      <w:r w:rsidRPr="00D201A4">
        <w:rPr>
          <w:rFonts w:ascii="Arial" w:hAnsi="Arial" w:cs="Arial"/>
          <w:sz w:val="18"/>
          <w:szCs w:val="18"/>
        </w:rPr>
        <w:t xml:space="preserve"> saldo di finanza pubblica e con spazi finanziari inutilizzati inferiori all’1% degli accertamenti delle entrate finali, come risultanti dal rendiconto dell’esercizio precedente</w:t>
      </w:r>
      <w:r w:rsidRPr="008D1799">
        <w:rPr>
          <w:rFonts w:ascii="Arial" w:hAnsi="Arial" w:cs="Arial"/>
          <w:sz w:val="18"/>
          <w:szCs w:val="18"/>
        </w:rPr>
        <w:t>.</w:t>
      </w:r>
    </w:p>
  </w:footnote>
  <w:footnote w:id="35">
    <w:p w:rsidR="0095078D" w:rsidRDefault="0095078D" w:rsidP="0095078D">
      <w:pPr>
        <w:pStyle w:val="Testonotaapidipagina"/>
        <w:jc w:val="both"/>
      </w:pPr>
      <w:r w:rsidRPr="008D1799">
        <w:rPr>
          <w:rStyle w:val="Rimandonotaapidipagina"/>
          <w:rFonts w:ascii="Arial" w:hAnsi="Arial" w:cs="Arial"/>
          <w:sz w:val="18"/>
          <w:szCs w:val="18"/>
        </w:rPr>
        <w:footnoteRef/>
      </w:r>
      <w:r w:rsidRPr="008D1799">
        <w:rPr>
          <w:rFonts w:ascii="Arial" w:hAnsi="Arial" w:cs="Arial"/>
          <w:sz w:val="18"/>
          <w:szCs w:val="18"/>
        </w:rPr>
        <w:t xml:space="preserve"> Percentuale applicabil</w:t>
      </w:r>
      <w:r>
        <w:rPr>
          <w:rFonts w:ascii="Arial" w:hAnsi="Arial" w:cs="Arial"/>
          <w:sz w:val="18"/>
          <w:szCs w:val="18"/>
        </w:rPr>
        <w:t xml:space="preserve">e negli enti con popolazione superiore a 1.000 </w:t>
      </w:r>
      <w:r w:rsidRPr="008D1799">
        <w:rPr>
          <w:rFonts w:ascii="Arial" w:hAnsi="Arial" w:cs="Arial"/>
          <w:sz w:val="18"/>
          <w:szCs w:val="18"/>
        </w:rPr>
        <w:t xml:space="preserve">abitanti con spesa di personale contenuta entro il valore medio del triennio 2011-2013 e con </w:t>
      </w:r>
      <w:r>
        <w:rPr>
          <w:rFonts w:ascii="Arial" w:hAnsi="Arial" w:cs="Arial"/>
          <w:sz w:val="18"/>
          <w:szCs w:val="18"/>
        </w:rPr>
        <w:t>r</w:t>
      </w:r>
      <w:r w:rsidRPr="00113D5A">
        <w:rPr>
          <w:rFonts w:ascii="Arial" w:hAnsi="Arial" w:cs="Arial"/>
          <w:sz w:val="18"/>
          <w:szCs w:val="18"/>
        </w:rPr>
        <w:t xml:space="preserve">apporto dipendenti/popolazione inferiore a </w:t>
      </w:r>
      <w:r>
        <w:rPr>
          <w:rFonts w:ascii="Arial" w:hAnsi="Arial" w:cs="Arial"/>
          <w:sz w:val="18"/>
          <w:szCs w:val="18"/>
        </w:rPr>
        <w:t>quello individuato dal</w:t>
      </w:r>
      <w:r w:rsidRPr="00113D5A">
        <w:rPr>
          <w:rFonts w:ascii="Arial" w:hAnsi="Arial" w:cs="Arial"/>
          <w:sz w:val="18"/>
          <w:szCs w:val="18"/>
        </w:rPr>
        <w:t xml:space="preserve"> D.M. 10 aprile 2017 per classe demografica, calcolato al 31 dicembre esercizio precedente</w:t>
      </w:r>
      <w:r w:rsidRPr="008D1799">
        <w:rPr>
          <w:rFonts w:ascii="Arial" w:hAnsi="Arial" w:cs="Arial"/>
          <w:sz w:val="18"/>
          <w:szCs w:val="18"/>
        </w:rPr>
        <w:t>.</w:t>
      </w:r>
    </w:p>
  </w:footnote>
  <w:footnote w:id="36">
    <w:p w:rsidR="0095078D" w:rsidRDefault="0095078D" w:rsidP="0095078D">
      <w:pPr>
        <w:pStyle w:val="Testonotaapidipagina"/>
      </w:pPr>
      <w:r w:rsidRPr="00936822">
        <w:rPr>
          <w:rStyle w:val="Rimandonotaapidipagina"/>
          <w:rFonts w:ascii="Arial" w:hAnsi="Arial" w:cs="Arial"/>
          <w:sz w:val="18"/>
          <w:szCs w:val="18"/>
        </w:rPr>
        <w:footnoteRef/>
      </w:r>
      <w:r w:rsidRPr="00936822">
        <w:rPr>
          <w:rFonts w:ascii="Arial" w:hAnsi="Arial" w:cs="Arial"/>
          <w:sz w:val="18"/>
          <w:szCs w:val="18"/>
        </w:rPr>
        <w:t xml:space="preserve"> Indicare la categoria iniziale di accesso (A, B, B3, C, D, D3), senza posizione economica.</w:t>
      </w:r>
    </w:p>
  </w:footnote>
  <w:footnote w:id="37">
    <w:p w:rsidR="0095078D" w:rsidRDefault="0095078D" w:rsidP="0095078D">
      <w:pPr>
        <w:pStyle w:val="Testonotaapidipagina"/>
        <w:jc w:val="both"/>
      </w:pPr>
      <w:r w:rsidRPr="00936822">
        <w:rPr>
          <w:rStyle w:val="Rimandonotaapidipagina"/>
          <w:rFonts w:ascii="Arial" w:hAnsi="Arial" w:cs="Arial"/>
          <w:sz w:val="18"/>
          <w:szCs w:val="18"/>
        </w:rPr>
        <w:footnoteRef/>
      </w:r>
      <w:r w:rsidRPr="00936822">
        <w:rPr>
          <w:rFonts w:ascii="Arial" w:hAnsi="Arial" w:cs="Arial"/>
          <w:sz w:val="18"/>
          <w:szCs w:val="18"/>
        </w:rPr>
        <w:t xml:space="preserve"> Specificare tra: pensionamento, dimissioni, esternalizzazione del servizio, mobilità in uscita verso ente non soggetto ad assunzioni, mobilità in uscita del segretario. Ricordiamo che NON COSTITUISCONO CESSAZIONI: mobilità in uscita verso enti soggetti a limiti </w:t>
      </w:r>
      <w:proofErr w:type="spellStart"/>
      <w:r w:rsidRPr="00936822">
        <w:rPr>
          <w:rFonts w:ascii="Arial" w:hAnsi="Arial" w:cs="Arial"/>
          <w:sz w:val="18"/>
          <w:szCs w:val="18"/>
        </w:rPr>
        <w:t>assunzionali</w:t>
      </w:r>
      <w:proofErr w:type="spellEnd"/>
      <w:r w:rsidRPr="00936822">
        <w:rPr>
          <w:rFonts w:ascii="Arial" w:hAnsi="Arial" w:cs="Arial"/>
          <w:sz w:val="18"/>
          <w:szCs w:val="18"/>
        </w:rPr>
        <w:t xml:space="preserve"> (tra cui tutti gli enti locali); cessazione categorie protette, cessazione di dipendente per effetto di progressione verticale. </w:t>
      </w:r>
    </w:p>
  </w:footnote>
  <w:footnote w:id="38">
    <w:p w:rsidR="0095078D" w:rsidRDefault="0095078D" w:rsidP="0095078D">
      <w:pPr>
        <w:jc w:val="both"/>
      </w:pPr>
      <w:r w:rsidRPr="00936822">
        <w:rPr>
          <w:rStyle w:val="Rimandonotaapidipagina"/>
          <w:rFonts w:ascii="Arial" w:hAnsi="Arial" w:cs="Arial"/>
          <w:sz w:val="18"/>
          <w:szCs w:val="18"/>
        </w:rPr>
        <w:footnoteRef/>
      </w:r>
      <w:r w:rsidRPr="00936822">
        <w:rPr>
          <w:rFonts w:ascii="Arial" w:hAnsi="Arial" w:cs="Arial"/>
          <w:sz w:val="18"/>
          <w:szCs w:val="18"/>
        </w:rPr>
        <w:t xml:space="preserve"> Indicare la retribuzione tabellare della categoria iniziale di inquadramento del dipendente cessato, senza progressioni economiche, considerato per 12 mensilità (compresa la 13^).</w:t>
      </w:r>
    </w:p>
  </w:footnote>
  <w:footnote w:id="39">
    <w:p w:rsidR="0095078D" w:rsidRDefault="0095078D" w:rsidP="0095078D">
      <w:pPr>
        <w:pStyle w:val="Testonotaapidipagina"/>
        <w:jc w:val="both"/>
      </w:pPr>
      <w:r w:rsidRPr="00936822">
        <w:rPr>
          <w:rStyle w:val="Rimandonotaapidipagina"/>
          <w:rFonts w:ascii="Arial" w:hAnsi="Arial" w:cs="Arial"/>
          <w:sz w:val="18"/>
          <w:szCs w:val="18"/>
        </w:rPr>
        <w:footnoteRef/>
      </w:r>
      <w:r w:rsidRPr="00936822">
        <w:rPr>
          <w:rFonts w:ascii="Arial" w:hAnsi="Arial" w:cs="Arial"/>
          <w:sz w:val="18"/>
          <w:szCs w:val="18"/>
        </w:rPr>
        <w:t xml:space="preserve"> Alla retribuzione fondamentale va sommato il costo del trattamento accessorio medio, calcolato assumendo il totale delle risorse decentrate dell’anno di riferimento diviso il numero medio dei dipendenti in servizio (semisomma del numero dei dipendenti al 1° gennaio e al 31 dicembre dell’anno) (</w:t>
      </w:r>
      <w:proofErr w:type="spellStart"/>
      <w:r w:rsidRPr="00936822">
        <w:rPr>
          <w:rFonts w:ascii="Arial" w:hAnsi="Arial" w:cs="Arial"/>
          <w:sz w:val="18"/>
          <w:szCs w:val="18"/>
        </w:rPr>
        <w:t>rif.</w:t>
      </w:r>
      <w:proofErr w:type="spellEnd"/>
      <w:r w:rsidRPr="00936822">
        <w:rPr>
          <w:rFonts w:ascii="Arial" w:hAnsi="Arial" w:cs="Arial"/>
          <w:sz w:val="18"/>
          <w:szCs w:val="18"/>
        </w:rPr>
        <w:t xml:space="preserve"> DFP, nota circolare n. 11786 del 22/02/2011).</w:t>
      </w:r>
    </w:p>
  </w:footnote>
  <w:footnote w:id="40">
    <w:p w:rsidR="0095078D" w:rsidRDefault="0095078D" w:rsidP="0095078D">
      <w:pPr>
        <w:pStyle w:val="Testonotaapidipagina"/>
      </w:pPr>
      <w:r w:rsidRPr="008D1799">
        <w:rPr>
          <w:rStyle w:val="Rimandonotaapidipagina"/>
          <w:rFonts w:ascii="Arial" w:hAnsi="Arial" w:cs="Arial"/>
          <w:sz w:val="18"/>
          <w:szCs w:val="18"/>
        </w:rPr>
        <w:footnoteRef/>
      </w:r>
      <w:r w:rsidRPr="008D1799">
        <w:rPr>
          <w:rFonts w:ascii="Arial" w:hAnsi="Arial" w:cs="Arial"/>
          <w:sz w:val="18"/>
          <w:szCs w:val="18"/>
        </w:rPr>
        <w:t xml:space="preserve"> Percentuale applicabile negli en</w:t>
      </w:r>
      <w:r>
        <w:rPr>
          <w:rFonts w:ascii="Arial" w:hAnsi="Arial" w:cs="Arial"/>
          <w:sz w:val="18"/>
          <w:szCs w:val="18"/>
        </w:rPr>
        <w:t>ti con popolazione tra 1.000 e 5</w:t>
      </w:r>
      <w:r w:rsidRPr="008D1799">
        <w:rPr>
          <w:rFonts w:ascii="Arial" w:hAnsi="Arial" w:cs="Arial"/>
          <w:sz w:val="18"/>
          <w:szCs w:val="18"/>
        </w:rPr>
        <w:t>.000 abitanti con spesa di personale contenuta entro il valore medio del triennio 2011-2013 e con spesa di personale inferiore al 24% della media delle entrate correnti registrate nei rendiconti dell’ultimo triennio</w:t>
      </w:r>
      <w:r>
        <w:rPr>
          <w:rFonts w:ascii="Arial" w:hAnsi="Arial" w:cs="Arial"/>
          <w:sz w:val="18"/>
          <w:szCs w:val="18"/>
        </w:rPr>
        <w:t xml:space="preserve"> (</w:t>
      </w:r>
      <w:r w:rsidRPr="00B66AB7">
        <w:rPr>
          <w:rFonts w:ascii="Arial" w:hAnsi="Arial" w:cs="Arial"/>
          <w:i/>
          <w:color w:val="000000"/>
          <w:sz w:val="18"/>
          <w:szCs w:val="18"/>
        </w:rPr>
        <w:t>ex art. 1, c. 863, L. 27 dicembre 2017, n. 205</w:t>
      </w:r>
      <w:r>
        <w:rPr>
          <w:rFonts w:ascii="Arial" w:hAnsi="Arial" w:cs="Arial"/>
          <w:sz w:val="18"/>
          <w:szCs w:val="18"/>
        </w:rPr>
        <w:t>)</w:t>
      </w:r>
      <w:r w:rsidRPr="008D1799">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3EFE"/>
    <w:multiLevelType w:val="hybridMultilevel"/>
    <w:tmpl w:val="3FF87A22"/>
    <w:lvl w:ilvl="0" w:tplc="2CC8568A">
      <w:start w:val="3"/>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18D733C0"/>
    <w:multiLevelType w:val="hybridMultilevel"/>
    <w:tmpl w:val="89D41CA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bullet"/>
      <w:lvlText w:val=""/>
      <w:lvlJc w:val="left"/>
      <w:pPr>
        <w:tabs>
          <w:tab w:val="num" w:pos="924"/>
        </w:tabs>
        <w:ind w:left="924" w:firstLine="1056"/>
      </w:pPr>
      <w:rPr>
        <w:rFonts w:ascii="Wingdings" w:hAnsi="Wingding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53D4C56"/>
    <w:multiLevelType w:val="hybridMultilevel"/>
    <w:tmpl w:val="855C9D9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719AF"/>
    <w:multiLevelType w:val="multilevel"/>
    <w:tmpl w:val="230CD04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EA0343"/>
    <w:multiLevelType w:val="hybridMultilevel"/>
    <w:tmpl w:val="97528CE8"/>
    <w:lvl w:ilvl="0" w:tplc="E9C492D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30B1077"/>
    <w:multiLevelType w:val="hybridMultilevel"/>
    <w:tmpl w:val="A4F8382A"/>
    <w:lvl w:ilvl="0" w:tplc="CAFCAE5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62F5208B"/>
    <w:multiLevelType w:val="hybridMultilevel"/>
    <w:tmpl w:val="DD769C10"/>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D843EFE"/>
    <w:multiLevelType w:val="hybridMultilevel"/>
    <w:tmpl w:val="19BED932"/>
    <w:lvl w:ilvl="0" w:tplc="6DD03F7E">
      <w:start w:val="3"/>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8D"/>
    <w:rsid w:val="0095078D"/>
    <w:rsid w:val="00AD5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564F4-56A3-4D19-A838-FBB4ABC9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078D"/>
    <w:pPr>
      <w:keepNext/>
      <w:spacing w:before="240" w:after="60" w:line="240" w:lineRule="auto"/>
      <w:outlineLvl w:val="0"/>
    </w:pPr>
    <w:rPr>
      <w:rFonts w:asciiTheme="majorHAnsi" w:eastAsiaTheme="majorEastAsia" w:hAnsiTheme="majorHAnsi" w:cs="Times New Roman"/>
      <w:b/>
      <w:bCs/>
      <w:kern w:val="32"/>
      <w:sz w:val="32"/>
      <w:szCs w:val="32"/>
      <w:lang w:eastAsia="it-IT"/>
    </w:rPr>
  </w:style>
  <w:style w:type="paragraph" w:styleId="Titolo2">
    <w:name w:val="heading 2"/>
    <w:basedOn w:val="Normale"/>
    <w:next w:val="Normale"/>
    <w:link w:val="Titolo2Carattere"/>
    <w:uiPriority w:val="9"/>
    <w:semiHidden/>
    <w:unhideWhenUsed/>
    <w:qFormat/>
    <w:rsid w:val="0095078D"/>
    <w:pPr>
      <w:keepNext/>
      <w:spacing w:before="240" w:after="60" w:line="240" w:lineRule="auto"/>
      <w:outlineLvl w:val="1"/>
    </w:pPr>
    <w:rPr>
      <w:rFonts w:asciiTheme="majorHAnsi" w:eastAsiaTheme="majorEastAsia" w:hAnsiTheme="majorHAnsi"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078D"/>
    <w:rPr>
      <w:rFonts w:asciiTheme="majorHAnsi" w:eastAsiaTheme="majorEastAsia" w:hAnsiTheme="majorHAnsi" w:cs="Times New Roman"/>
      <w:b/>
      <w:bCs/>
      <w:kern w:val="32"/>
      <w:sz w:val="32"/>
      <w:szCs w:val="32"/>
      <w:lang w:eastAsia="it-IT"/>
    </w:rPr>
  </w:style>
  <w:style w:type="character" w:customStyle="1" w:styleId="Titolo2Carattere">
    <w:name w:val="Titolo 2 Carattere"/>
    <w:basedOn w:val="Carpredefinitoparagrafo"/>
    <w:link w:val="Titolo2"/>
    <w:uiPriority w:val="9"/>
    <w:semiHidden/>
    <w:rsid w:val="0095078D"/>
    <w:rPr>
      <w:rFonts w:asciiTheme="majorHAnsi" w:eastAsiaTheme="majorEastAsia" w:hAnsiTheme="majorHAnsi" w:cs="Times New Roman"/>
      <w:b/>
      <w:bCs/>
      <w:i/>
      <w:iCs/>
      <w:sz w:val="28"/>
      <w:szCs w:val="28"/>
      <w:lang w:eastAsia="it-IT"/>
    </w:rPr>
  </w:style>
  <w:style w:type="numbering" w:customStyle="1" w:styleId="Nessunelenco1">
    <w:name w:val="Nessun elenco1"/>
    <w:next w:val="Nessunelenco"/>
    <w:uiPriority w:val="99"/>
    <w:semiHidden/>
    <w:unhideWhenUsed/>
    <w:rsid w:val="0095078D"/>
  </w:style>
  <w:style w:type="paragraph" w:styleId="Pidipagina">
    <w:name w:val="footer"/>
    <w:basedOn w:val="Normale"/>
    <w:link w:val="PidipaginaCarattere"/>
    <w:uiPriority w:val="99"/>
    <w:unhideWhenUsed/>
    <w:rsid w:val="0095078D"/>
    <w:pPr>
      <w:tabs>
        <w:tab w:val="center" w:pos="4819"/>
        <w:tab w:val="right" w:pos="9638"/>
      </w:tabs>
      <w:spacing w:after="0" w:line="240" w:lineRule="auto"/>
    </w:pPr>
    <w:rPr>
      <w:rFonts w:ascii="Times New Roman" w:eastAsiaTheme="minorEastAsia"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5078D"/>
    <w:rPr>
      <w:rFonts w:ascii="Times New Roman" w:eastAsiaTheme="minorEastAsia" w:hAnsi="Times New Roman" w:cs="Times New Roman"/>
      <w:sz w:val="24"/>
      <w:szCs w:val="24"/>
      <w:lang w:eastAsia="it-IT"/>
    </w:rPr>
  </w:style>
  <w:style w:type="paragraph" w:styleId="Testonotaapidipagina">
    <w:name w:val="footnote text"/>
    <w:basedOn w:val="Normale"/>
    <w:link w:val="TestonotaapidipaginaCarattere"/>
    <w:uiPriority w:val="99"/>
    <w:semiHidden/>
    <w:rsid w:val="0095078D"/>
    <w:pPr>
      <w:spacing w:after="0" w:line="240" w:lineRule="auto"/>
    </w:pPr>
    <w:rPr>
      <w:rFonts w:ascii="Times New Roman" w:eastAsiaTheme="minorEastAsia"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5078D"/>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semiHidden/>
    <w:rsid w:val="0095078D"/>
    <w:rPr>
      <w:rFonts w:cs="Times New Roman"/>
      <w:vertAlign w:val="superscript"/>
    </w:rPr>
  </w:style>
  <w:style w:type="paragraph" w:styleId="Intestazione">
    <w:name w:val="header"/>
    <w:basedOn w:val="Normale"/>
    <w:link w:val="IntestazioneCarattere"/>
    <w:uiPriority w:val="99"/>
    <w:unhideWhenUsed/>
    <w:rsid w:val="0095078D"/>
    <w:pPr>
      <w:tabs>
        <w:tab w:val="center" w:pos="4819"/>
        <w:tab w:val="right" w:pos="9638"/>
      </w:tabs>
      <w:spacing w:after="0" w:line="240" w:lineRule="auto"/>
    </w:pPr>
    <w:rPr>
      <w:rFonts w:ascii="Times New Roman" w:eastAsiaTheme="minorEastAsia"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5078D"/>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1688</Words>
  <Characters>9626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2018-07-16T11:11:00Z</dcterms:created>
  <dcterms:modified xsi:type="dcterms:W3CDTF">2018-07-16T11:11:00Z</dcterms:modified>
</cp:coreProperties>
</file>