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4D04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156480" wp14:editId="19BD6017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239CB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3EEFE21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3C1287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7439C866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7C9DE39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65F2392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AE48356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3B8F5847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053A7410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833C3E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7BAAD35D" w14:textId="77777777" w:rsidR="00722551" w:rsidRDefault="00722551" w:rsidP="00722551"/>
    <w:p w14:paraId="637B8381" w14:textId="77777777" w:rsidR="00544FAE" w:rsidRDefault="00544FAE" w:rsidP="00722551"/>
    <w:p w14:paraId="1470DB49" w14:textId="77777777" w:rsidR="00544FAE" w:rsidRPr="00722551" w:rsidRDefault="00544FAE" w:rsidP="00722551"/>
    <w:p w14:paraId="489936D1" w14:textId="77777777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2017</w:t>
      </w:r>
    </w:p>
    <w:p w14:paraId="38D8CBB7" w14:textId="77777777" w:rsidR="003D526F" w:rsidRDefault="003D526F">
      <w:pPr>
        <w:sectPr w:rsidR="003D52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00BF283" w14:textId="77777777" w:rsidR="006C2393" w:rsidRPr="003229A4" w:rsidRDefault="006C2393" w:rsidP="006C2393">
      <w:pPr>
        <w:widowControl w:val="0"/>
        <w:shd w:val="clear" w:color="auto" w:fill="002060"/>
        <w:spacing w:before="120" w:line="256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6957A32D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5636CE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25671C7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</w:p>
        </w:tc>
      </w:tr>
      <w:tr w:rsidR="006C2393" w:rsidRPr="003229A4" w14:paraId="56349DDA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21BE4E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329D09A" w14:textId="50E94644" w:rsidR="006C2393" w:rsidRPr="003229A4" w:rsidRDefault="00E7334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01097010449</w:t>
            </w:r>
          </w:p>
        </w:tc>
      </w:tr>
      <w:tr w:rsidR="006C2393" w:rsidRPr="003229A4" w14:paraId="23B9CF50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B98A257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998BDE4" w14:textId="203984E8" w:rsidR="006C2393" w:rsidRPr="003229A4" w:rsidRDefault="00E7334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HYDROWATT SPA</w:t>
            </w:r>
          </w:p>
        </w:tc>
      </w:tr>
      <w:tr w:rsidR="006C2393" w:rsidRPr="003229A4" w14:paraId="0944E2FC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A52F0B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AE9E00B" w14:textId="59AC88D4" w:rsidR="006C2393" w:rsidRPr="003229A4" w:rsidRDefault="00E7334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1986</w:t>
            </w:r>
          </w:p>
        </w:tc>
      </w:tr>
      <w:tr w:rsidR="006C2393" w:rsidRPr="003229A4" w14:paraId="634BF34B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C4A0F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47553D76894A41288EB6BC6AA464902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3C60A94E" w14:textId="5C39DFC5" w:rsidR="006C2393" w:rsidRPr="003229A4" w:rsidRDefault="00E73343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C2393" w:rsidRPr="003229A4" w14:paraId="0D004AA2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3C17BE7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B81B106601304AF9B740ABCA5F6884C7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0BB5031" w14:textId="77777777" w:rsidR="006C2393" w:rsidRPr="003229A4" w:rsidRDefault="006C2393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C2393" w:rsidRPr="003229A4" w14:paraId="20683C23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F3BF2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9DBCD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21CC3CC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9D7D5D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5B5A5A90DB9C4ACC8DCCD5A13A3D08D2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4834869B" w14:textId="3788A5D0" w:rsidR="006C2393" w:rsidRPr="003229A4" w:rsidRDefault="00720156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C2393" w:rsidRPr="003229A4" w14:paraId="0E4B9ACE" w14:textId="77777777" w:rsidTr="00D034E6">
        <w:trPr>
          <w:cantSplit/>
          <w:trHeight w:val="39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4903AA2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Anno di inizio della procedura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C26244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4743522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57E9BF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53319DE" w14:textId="1044809E" w:rsidR="006C2393" w:rsidRPr="003229A4" w:rsidRDefault="00C743DD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7941C980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27513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4645C9C" w14:textId="2F06F029" w:rsidR="006C2393" w:rsidRPr="003229A4" w:rsidRDefault="00C743DD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6BDC24DD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777F2BBE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9A4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3229A4">
        <w:rPr>
          <w:rFonts w:ascii="Calibri" w:eastAsia="Calibri" w:hAnsi="Calibri" w:cs="Times New Roman"/>
          <w:sz w:val="24"/>
          <w:szCs w:val="24"/>
        </w:rPr>
        <w:t>.</w:t>
      </w:r>
    </w:p>
    <w:p w14:paraId="64BE02CB" w14:textId="77777777" w:rsidR="006C2393" w:rsidRPr="003229A4" w:rsidRDefault="006C2393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3FA3D4A2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87E1FC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996F78E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0B6C1CA5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B2120B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5479A9BF10A1472693B76F8FD7F3FCA5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hideMark/>
              </w:tcPr>
              <w:p w14:paraId="10F112D5" w14:textId="5D7CDE71" w:rsidR="006C2393" w:rsidRPr="003229A4" w:rsidRDefault="00C743DD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C2393" w:rsidRPr="003229A4" w14:paraId="661F0ED3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93A04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379E3A5" w14:textId="1A6E8958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C2393" w:rsidRPr="003229A4" w14:paraId="0A259C76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088A55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53C0201" w14:textId="1D97A4DA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FOLIGNANO</w:t>
            </w:r>
          </w:p>
        </w:tc>
      </w:tr>
      <w:tr w:rsidR="006C2393" w:rsidRPr="003229A4" w14:paraId="4DE61E1E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FF001E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85ED1D" w14:textId="5D9BF54B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63084</w:t>
            </w:r>
          </w:p>
        </w:tc>
      </w:tr>
      <w:tr w:rsidR="006C2393" w:rsidRPr="003229A4" w14:paraId="1EA27A02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01E41A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3C9C549" w14:textId="431E1DA1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VERDI 7</w:t>
            </w:r>
          </w:p>
        </w:tc>
      </w:tr>
      <w:tr w:rsidR="006C2393" w:rsidRPr="003229A4" w14:paraId="28790755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A2F553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E46163" w14:textId="75638C17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0736390555</w:t>
            </w:r>
          </w:p>
        </w:tc>
      </w:tr>
      <w:tr w:rsidR="006C2393" w:rsidRPr="003229A4" w14:paraId="7EDBB366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61AFEB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4AAFDEA" w14:textId="0702500F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0736390556</w:t>
            </w:r>
          </w:p>
        </w:tc>
      </w:tr>
      <w:tr w:rsidR="006C2393" w:rsidRPr="003229A4" w14:paraId="41C41EE9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7E558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Email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02A2FCAD" w14:textId="7EC6131B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amministrazione@hydrowatt.it</w:t>
            </w:r>
          </w:p>
        </w:tc>
      </w:tr>
    </w:tbl>
    <w:p w14:paraId="1BE2B4FA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  <w:r w:rsidRPr="003229A4">
        <w:rPr>
          <w:rFonts w:ascii="Calibri" w:eastAsia="Calibri" w:hAnsi="Calibri" w:cs="Times New Roman"/>
          <w:u w:val="single"/>
        </w:rPr>
        <w:br w:type="page"/>
      </w:r>
    </w:p>
    <w:p w14:paraId="6345AD9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SETTORE DI ATTIVITÀ DELLA PARTECIPATA</w:t>
      </w:r>
    </w:p>
    <w:p w14:paraId="0322553A" w14:textId="77777777" w:rsidR="006C2393" w:rsidRPr="003229A4" w:rsidRDefault="006C2393" w:rsidP="006C239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5" w:history="1">
        <w:r w:rsidRPr="003229A4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0A7DCDFE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72C48D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8F357D8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4BAAD5BF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54388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0A6AAB" w14:textId="0FD7F3D7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35.11.00   Produzione energia elettrica</w:t>
            </w:r>
          </w:p>
        </w:tc>
      </w:tr>
      <w:tr w:rsidR="006C2393" w:rsidRPr="003229A4" w14:paraId="07169013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3D6DFF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5C0AC9" w14:textId="6AB22A7D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</w:t>
            </w:r>
          </w:p>
        </w:tc>
      </w:tr>
      <w:tr w:rsidR="006C2393" w:rsidRPr="003229A4" w14:paraId="3B0104B3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7A1CE3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570FF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37AD17D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11E1B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B05402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B31F788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9C3809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C2965C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9B8CA51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6F1E2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886E2D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829EF1F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1363D1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8D2C05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6FF5383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BC75B8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A0FB0D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C339FBB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7383AC49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u w:val="single"/>
        </w:rPr>
      </w:pPr>
    </w:p>
    <w:p w14:paraId="1D75672E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3C041086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505E8FA2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2FAC31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91B1E1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059CEFDD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6B90F9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497261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67ECC0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0AAAAE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showingPlcHdr/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5E6B53E8" w14:textId="77777777" w:rsidR="006C2393" w:rsidRPr="003229A4" w:rsidRDefault="006C2393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sdtContent>
          </w:sdt>
        </w:tc>
      </w:tr>
      <w:tr w:rsidR="006C2393" w:rsidRPr="003229A4" w14:paraId="2CA11FD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9657C0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showingPlcHdr/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5544328" w14:textId="77777777" w:rsidR="006C2393" w:rsidRPr="003229A4" w:rsidRDefault="006C2393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C2393" w:rsidRPr="003229A4" w14:paraId="76ED867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BF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21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14D0EE1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54407A52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48A1788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658D87A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9A8E1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54AE705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1BF89AF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199ED8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3A4869" w14:textId="5014DDC4" w:rsidR="006C2393" w:rsidRPr="003229A4" w:rsidRDefault="00C743DD" w:rsidP="00D034E6">
            <w:pPr>
              <w:spacing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14</w:t>
            </w:r>
          </w:p>
        </w:tc>
      </w:tr>
      <w:tr w:rsidR="006C2393" w:rsidRPr="003229A4" w14:paraId="382C010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B5EE61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2017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AED4F0" w14:textId="6BC9CA9C" w:rsidR="006C2393" w:rsidRPr="003229A4" w:rsidRDefault="00C743DD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0D468AB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B3103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5A4CF0" w14:textId="2C9BFB20" w:rsidR="006C2393" w:rsidRPr="003229A4" w:rsidRDefault="00C743DD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56D24EE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43C41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50C5FEF1" w14:textId="0353C4D4" w:rsidR="006C2393" w:rsidRPr="003229A4" w:rsidRDefault="00C743DD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D2A98BC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46325ECE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156BDE01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663085AE" w14:textId="224E1CB4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E8562B0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0E27EB28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2C7522B1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24C0ACE1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0EB4FFA5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4DDBD9C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0C0107E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3458A69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23E6D2C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63E760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5435A2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80BCB5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92FF34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F93E6D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1F8A48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7842DD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4E00A5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85F661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ACBFC5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E9BC19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48260B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EDD950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5ABA26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E60CC0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8C482A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5D603E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955DB5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280D05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2C637C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5A2E7B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DCBF4C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47AC9F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D45567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A123C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1E6C5F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989FD0E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812126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859D69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39805A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DBDBD4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31339A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057B6A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A1E8C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0F9204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FFBF78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008133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0D615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98B3FA6" w14:textId="77777777" w:rsidTr="00D034E6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054A82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AC2AD9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17FE79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E157C7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551E7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B0812F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2E49CF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7678FE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D45B3D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FCB7DB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A2D15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BC01A4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610689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E883E0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3AA8B4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3BC4B0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96A7A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0AE2C49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4E5D246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4FC0948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002060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Contabilità economico-patrimoniale – bilancio consolidato</w:t>
      </w:r>
    </w:p>
    <w:p w14:paraId="2A0EFBBA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1BDBCBA4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371D7FCA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A20077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9CBB64E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5C8ECF30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1BC3DB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D98DE2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B7E6DF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DAF598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B0B4C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BDFCCD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C4DB49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C16A5B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EC3301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3C26E3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50BBFA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51C338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117FF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0AA020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4DABB6E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5F0FD3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92DD0A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411B16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F94498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6D6A8A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58425A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CF1A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52C09E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4DE926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9A4550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05DADB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B9B06D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9A397D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>A) IX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40414B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1B32B5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561806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888C32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BBEDB2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192C50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e riserve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69E8E1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064C85E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3EB5C1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Utile (perdita) di esercizio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3892C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19C16A4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567AEC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di terzi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5A86F4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646E9C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C17192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Patrimonio Netto consolidato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D2DEF6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4B4B51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9839EE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97410C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142525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39393B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F977A7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193486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85EB4E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 / 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44E796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20C199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A4E03F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A1) Ricavi delle vendite e delle prestazioni 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DFB056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13FC1A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53F6EE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D8E903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E94C99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F53A0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BC0CD6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E754AC2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D06E2F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B. Costi della produzione / 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C3E55F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4FAE38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4C1E6E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B.9 Costi del personale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/ Costo del</w:t>
            </w:r>
            <w:r w:rsidRPr="003229A4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DC3A0C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7F89774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</w:p>
    <w:p w14:paraId="66D700F3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szCs w:val="20"/>
          <w:lang w:eastAsia="ja-JP"/>
        </w:rPr>
      </w:pPr>
      <w:r w:rsidRPr="003229A4">
        <w:rPr>
          <w:rFonts w:ascii="Calibri" w:eastAsia="MS Mincho" w:hAnsi="Calibri" w:cs="Calibri"/>
          <w:szCs w:val="20"/>
          <w:lang w:eastAsia="ja-JP"/>
        </w:rPr>
        <w:br w:type="page"/>
      </w:r>
    </w:p>
    <w:p w14:paraId="614C52E0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à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finanziaria</w:t>
      </w:r>
    </w:p>
    <w:p w14:paraId="48144B18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adotta una contabilità finanziaria.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6224"/>
      </w:tblGrid>
      <w:tr w:rsidR="006C2393" w:rsidRPr="003229A4" w14:paraId="3B85B8E2" w14:textId="77777777" w:rsidTr="00D034E6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D91AAE3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6855B821" w14:textId="77777777" w:rsidR="006C2393" w:rsidRPr="003229A4" w:rsidRDefault="006C2393" w:rsidP="00D034E6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7E4717B7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41289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Capitale o fondo di dotazione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ED9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37E7335A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865C17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Avanzo/Disavanzo di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C0F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1104A4C9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BA9D93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Patrimonio netto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E9F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3B87EA4E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A326B9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Entrate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65F0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1AA4EC84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83481A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Uscite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FE2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C2393" w:rsidRPr="003229A4" w14:paraId="089C2FC4" w14:textId="77777777" w:rsidTr="00D034E6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412441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Costi del Personale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B12C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AE13304" w14:textId="77777777" w:rsidR="006C2393" w:rsidRPr="003229A4" w:rsidRDefault="006C2393" w:rsidP="006C2393">
      <w:pPr>
        <w:keepNext/>
        <w:shd w:val="clear" w:color="auto" w:fill="FFFFFF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14:paraId="5C6EFEDD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Calibri" w:hAnsi="Calibri" w:cs="Calibri"/>
          <w:b/>
          <w:bCs/>
          <w:color w:val="FFFFFF"/>
          <w:sz w:val="24"/>
          <w:szCs w:val="24"/>
        </w:rPr>
        <w:br w:type="page"/>
      </w:r>
    </w:p>
    <w:p w14:paraId="2934390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48D62470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37CAC17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0E2D36E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9840E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A40B1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EEF32FD" w14:textId="4439F354" w:rsidR="006C2393" w:rsidRPr="003229A4" w:rsidRDefault="00C743DD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6C2393" w:rsidRPr="003229A4" w14:paraId="1CC7C3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A3B375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C6AC2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821B11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6B1D1D3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ECB4BA4" w14:textId="7E38B015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00101350445</w:t>
            </w:r>
          </w:p>
        </w:tc>
      </w:tr>
      <w:tr w:rsidR="006C2393" w:rsidRPr="003229A4" w14:paraId="2A359E57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7F928E8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72911C" w14:textId="5FC81C46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CIIP SPA</w:t>
            </w:r>
          </w:p>
        </w:tc>
      </w:tr>
      <w:tr w:rsidR="006C2393" w:rsidRPr="003229A4" w14:paraId="2D1DA87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0827C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EBC627" w14:textId="1AF19302" w:rsidR="006C2393" w:rsidRPr="003229A4" w:rsidRDefault="00C743D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40%</w:t>
            </w:r>
          </w:p>
        </w:tc>
      </w:tr>
    </w:tbl>
    <w:p w14:paraId="65D50FC8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39CB6617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14:paraId="4B18528D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14:paraId="7F23CF06" w14:textId="77777777" w:rsidR="006C2393" w:rsidRPr="003229A4" w:rsidRDefault="006C2393" w:rsidP="006C2393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BCA1749" w14:textId="77777777" w:rsidR="006C2393" w:rsidRPr="003229A4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p w14:paraId="32EC19F8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777E3793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6AD1FC1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AA7EEB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27BA36A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026F2B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13A6179" w14:textId="77777777" w:rsidR="006C2393" w:rsidRPr="003229A4" w:rsidRDefault="006C2393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C2393" w:rsidRPr="003229A4" w14:paraId="19AEA1B5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DCE5F8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133C237" w14:textId="77777777" w:rsidR="006C2393" w:rsidRPr="003229A4" w:rsidRDefault="006C2393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</w:tbl>
    <w:p w14:paraId="5B7E5B8B" w14:textId="77777777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198AC594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7BCA8FAF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6C2393" w:rsidRPr="003229A4" w14:paraId="0BA5E65F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24F7335F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3A7A94A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7B1C645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838F3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01A46D7" w14:textId="0A9C6C18" w:rsidR="006C2393" w:rsidRPr="003229A4" w:rsidRDefault="00C743DD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20C892E2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B43682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34007445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0794074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6AA5D43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3560546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B79CC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4064C5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0AC965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80FE8B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3DFD6B5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B93DB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2597C2D" w14:textId="3E61E885" w:rsidR="006C2393" w:rsidRPr="003229A4" w:rsidRDefault="00C743DD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1BB405B5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3E0AD94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413E0A8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4279EF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7F091D3F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6471918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44BA22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97C0B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CC9794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83DC31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70959A1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3E902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D07FDA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69BF17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78B930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2E4E598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6443C1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C1338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E2128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3EE0BF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0F4501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ECE470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A86772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3952CA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CDF636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0F72F5B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7B2344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8CC6D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B5C6C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998A15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0447944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848C57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ACC669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8841B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4EC0C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5BBE6B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F26E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553D7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224099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B9106B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107F30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48F99F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4130A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7EF6D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6CFE81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7E88963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4302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0B95B9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1FB3B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19CAD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5E47FA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8F7A79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FE4AC5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B340D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CB78C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194AAC9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A02B11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14519841" w14:textId="2DEF8A6C" w:rsidR="006C2393" w:rsidRPr="003229A4" w:rsidRDefault="00C743DD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2B0FABE7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0CCC2F3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A5FBBCC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5B43A95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E3825D1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23DE914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34282C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99EE4A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FB7B46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590176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6CE65EC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C790A5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8F985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D4BD9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97A1E3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6050595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CCECB9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4661F4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CCAA71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78A49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F22A1E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580B9A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5DE02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A6C23E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A9836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770844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AA81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E2D35A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4DCC84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28EDF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E21E1B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6C57C6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4FC185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63FC06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DD5818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14313E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55E4DA5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14:paraId="72D779B9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4F65B24E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0B763D2B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A7468" w14:textId="77777777" w:rsidR="00A702E1" w:rsidRDefault="00A702E1" w:rsidP="003D526F">
      <w:pPr>
        <w:spacing w:after="0" w:line="240" w:lineRule="auto"/>
      </w:pPr>
      <w:r>
        <w:separator/>
      </w:r>
    </w:p>
  </w:endnote>
  <w:endnote w:type="continuationSeparator" w:id="0">
    <w:p w14:paraId="27DF5C88" w14:textId="77777777" w:rsidR="00A702E1" w:rsidRDefault="00A702E1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80DA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7996E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A3BD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FC5B7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865063">
      <w:rPr>
        <w:rFonts w:cstheme="minorHAnsi"/>
        <w:noProof/>
        <w:color w:val="1F497D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84352" behindDoc="0" locked="0" layoutInCell="1" allowOverlap="1" wp14:anchorId="695EAB34" wp14:editId="6FDAE718">
              <wp:simplePos x="0" y="0"/>
              <wp:positionH relativeFrom="column">
                <wp:posOffset>5715</wp:posOffset>
              </wp:positionH>
              <wp:positionV relativeFrom="paragraph">
                <wp:posOffset>-63501</wp:posOffset>
              </wp:positionV>
              <wp:extent cx="64516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FC584" id="Straight Connector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</w:t>
    </w:r>
    <w:r w:rsidR="00865063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865063" w:rsidRPr="003D526F">
      <w:rPr>
        <w:rFonts w:cstheme="minorHAnsi"/>
        <w:noProof/>
        <w:color w:val="1F497D"/>
        <w:szCs w:val="20"/>
      </w:rPr>
      <w:fldChar w:fldCharType="separate"/>
    </w:r>
    <w:r w:rsidR="00C743DD">
      <w:rPr>
        <w:rFonts w:cstheme="minorHAnsi"/>
        <w:noProof/>
        <w:color w:val="1F497D"/>
        <w:szCs w:val="20"/>
      </w:rPr>
      <w:t>10</w:t>
    </w:r>
    <w:r w:rsidR="00865063" w:rsidRPr="003D526F">
      <w:rPr>
        <w:rFonts w:cstheme="minorHAnsi"/>
        <w:noProof/>
        <w:color w:val="1F497D"/>
        <w:szCs w:val="20"/>
      </w:rPr>
      <w:fldChar w:fldCharType="end"/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14:paraId="1220ED20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5C38E" w14:textId="77777777" w:rsidR="00A702E1" w:rsidRDefault="00A702E1" w:rsidP="003D526F">
      <w:pPr>
        <w:spacing w:after="0" w:line="240" w:lineRule="auto"/>
      </w:pPr>
      <w:r>
        <w:separator/>
      </w:r>
    </w:p>
  </w:footnote>
  <w:footnote w:type="continuationSeparator" w:id="0">
    <w:p w14:paraId="6BD982C2" w14:textId="77777777" w:rsidR="00A702E1" w:rsidRDefault="00A702E1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925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7273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EE8B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101114"/>
    <w:rsid w:val="00106733"/>
    <w:rsid w:val="00116688"/>
    <w:rsid w:val="00125312"/>
    <w:rsid w:val="001325AF"/>
    <w:rsid w:val="00137EEB"/>
    <w:rsid w:val="00147084"/>
    <w:rsid w:val="00150E88"/>
    <w:rsid w:val="00160005"/>
    <w:rsid w:val="00160E88"/>
    <w:rsid w:val="00172FA4"/>
    <w:rsid w:val="0017570A"/>
    <w:rsid w:val="00193A63"/>
    <w:rsid w:val="001A053C"/>
    <w:rsid w:val="001A6C07"/>
    <w:rsid w:val="001B7AC4"/>
    <w:rsid w:val="001C6B62"/>
    <w:rsid w:val="001D7FE8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6BB0"/>
    <w:rsid w:val="002B6BFA"/>
    <w:rsid w:val="002D3113"/>
    <w:rsid w:val="002E3504"/>
    <w:rsid w:val="002F06CD"/>
    <w:rsid w:val="00303EC8"/>
    <w:rsid w:val="00310050"/>
    <w:rsid w:val="00321001"/>
    <w:rsid w:val="003317B9"/>
    <w:rsid w:val="00341142"/>
    <w:rsid w:val="0034585E"/>
    <w:rsid w:val="00367B04"/>
    <w:rsid w:val="003724DA"/>
    <w:rsid w:val="00393275"/>
    <w:rsid w:val="003943CA"/>
    <w:rsid w:val="003A5D63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87AFE"/>
    <w:rsid w:val="005A5017"/>
    <w:rsid w:val="005A7448"/>
    <w:rsid w:val="005F0E81"/>
    <w:rsid w:val="00607169"/>
    <w:rsid w:val="00617E5F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393"/>
    <w:rsid w:val="006C7C22"/>
    <w:rsid w:val="006C7F40"/>
    <w:rsid w:val="006E16DC"/>
    <w:rsid w:val="006F1FB3"/>
    <w:rsid w:val="006F79B7"/>
    <w:rsid w:val="007016DF"/>
    <w:rsid w:val="00704015"/>
    <w:rsid w:val="00705973"/>
    <w:rsid w:val="00717DFC"/>
    <w:rsid w:val="00720156"/>
    <w:rsid w:val="00722551"/>
    <w:rsid w:val="007265D3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756E"/>
    <w:rsid w:val="00A01C2C"/>
    <w:rsid w:val="00A22ACD"/>
    <w:rsid w:val="00A24253"/>
    <w:rsid w:val="00A32ACC"/>
    <w:rsid w:val="00A702E1"/>
    <w:rsid w:val="00A70325"/>
    <w:rsid w:val="00A73F40"/>
    <w:rsid w:val="00A76CBF"/>
    <w:rsid w:val="00A81555"/>
    <w:rsid w:val="00AA02F1"/>
    <w:rsid w:val="00AA58C3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C1316D"/>
    <w:rsid w:val="00C17B54"/>
    <w:rsid w:val="00C20723"/>
    <w:rsid w:val="00C2427C"/>
    <w:rsid w:val="00C24B6B"/>
    <w:rsid w:val="00C35209"/>
    <w:rsid w:val="00C61EAB"/>
    <w:rsid w:val="00C743DD"/>
    <w:rsid w:val="00C83FE8"/>
    <w:rsid w:val="00C90E6A"/>
    <w:rsid w:val="00CE4A4F"/>
    <w:rsid w:val="00CE73BD"/>
    <w:rsid w:val="00CF364E"/>
    <w:rsid w:val="00D027C0"/>
    <w:rsid w:val="00D14179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73343"/>
    <w:rsid w:val="00E91275"/>
    <w:rsid w:val="00E914BE"/>
    <w:rsid w:val="00E950E8"/>
    <w:rsid w:val="00EB1111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B0971"/>
    <w:rsid w:val="00FC65EB"/>
    <w:rsid w:val="00FC7D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863E"/>
  <w15:docId w15:val="{0637F325-31AF-4297-A441-11B4257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553D76894A41288EB6BC6AA46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76DD-FFAE-447D-88BF-AB6044EF6E66}"/>
      </w:docPartPr>
      <w:docPartBody>
        <w:p w:rsidR="00143A2C" w:rsidRDefault="00F25B80" w:rsidP="00F25B80">
          <w:pPr>
            <w:pStyle w:val="47553D76894A41288EB6BC6AA464902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B5A5A90DB9C4ACC8DCCD5A13A3D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EE33-8029-4F76-B28E-CD6509AF3D5E}"/>
      </w:docPartPr>
      <w:docPartBody>
        <w:p w:rsidR="00143A2C" w:rsidRDefault="00F25B80" w:rsidP="00F25B80">
          <w:pPr>
            <w:pStyle w:val="5B5A5A90DB9C4ACC8DCCD5A13A3D08D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479A9BF10A1472693B76F8FD7F3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E94A-6079-48E6-A873-8D34E868865D}"/>
      </w:docPartPr>
      <w:docPartBody>
        <w:p w:rsidR="00143A2C" w:rsidRDefault="00F25B80" w:rsidP="00F25B80">
          <w:pPr>
            <w:pStyle w:val="5479A9BF10A1472693B76F8FD7F3FCA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30C9B"/>
    <w:rsid w:val="0006515F"/>
    <w:rsid w:val="000C0EA7"/>
    <w:rsid w:val="00143A2C"/>
    <w:rsid w:val="001E15A0"/>
    <w:rsid w:val="001F5B55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97635"/>
    <w:rsid w:val="004E2D37"/>
    <w:rsid w:val="005735DE"/>
    <w:rsid w:val="00584A50"/>
    <w:rsid w:val="0063466D"/>
    <w:rsid w:val="0065426B"/>
    <w:rsid w:val="00676602"/>
    <w:rsid w:val="0072104A"/>
    <w:rsid w:val="007D6FF1"/>
    <w:rsid w:val="007F7A44"/>
    <w:rsid w:val="00824CBB"/>
    <w:rsid w:val="00846CE9"/>
    <w:rsid w:val="008756AB"/>
    <w:rsid w:val="008B09BA"/>
    <w:rsid w:val="008F153E"/>
    <w:rsid w:val="009C4C73"/>
    <w:rsid w:val="00A34BE2"/>
    <w:rsid w:val="00B45D15"/>
    <w:rsid w:val="00B52C1F"/>
    <w:rsid w:val="00BB0E39"/>
    <w:rsid w:val="00BE1B4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ED3D63"/>
    <w:rsid w:val="00F25B80"/>
    <w:rsid w:val="00F263D8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B8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0BF0-2B19-4529-8DCC-AD95EE92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cantalamessa francesco</cp:lastModifiedBy>
  <cp:revision>5</cp:revision>
  <dcterms:created xsi:type="dcterms:W3CDTF">2018-11-29T17:23:00Z</dcterms:created>
  <dcterms:modified xsi:type="dcterms:W3CDTF">2018-12-12T13:15:00Z</dcterms:modified>
</cp:coreProperties>
</file>