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All. B- modulo INAIL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INFORMATIVA SULLA SALUTE E SICUREZZA NEL LAVORO AGILE AI SENSI DELL’ART. 22, COMMA 1, L. 81/2017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Al lavoratore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Al Rappresentante dei lavoratori per la sicurezza (RLS)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Oggetto: informativa sulla sicurezza dei lavoratori (art. 22, comma 1, della legge 22 maggio 2017 n. 81)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AVVERTENZE GENERALI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Si informano i lavoratori (_________) degli obblighi e dei diritti previsti dalla legge del 22 maggio 2017 n. 81 e dal decreto legislativo del 9 aprile 2008 n. 81.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Sicurezza sul lavoro (art. 22 L. 81/2017)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2. Il lavoratore è tenuto a cooperare all'attuazione delle misure di prevenzione predisposte dal datore di lavoro per fronteggiare i rischi connessi all'esecuzione della prestazione all'esterno dei locali aziendali.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Obblighi dei lavoratori (art. 20 D. </w:t>
      </w:r>
      <w:proofErr w:type="spellStart"/>
      <w:r w:rsidRPr="00B2196C">
        <w:rPr>
          <w:rFonts w:eastAsiaTheme="minorHAnsi"/>
          <w:b/>
          <w:bCs/>
          <w:color w:val="000000"/>
          <w:lang w:eastAsia="en-US"/>
        </w:rPr>
        <w:t>Lgs</w:t>
      </w:r>
      <w:proofErr w:type="spellEnd"/>
      <w:r w:rsidRPr="00B2196C">
        <w:rPr>
          <w:rFonts w:eastAsiaTheme="minorHAnsi"/>
          <w:b/>
          <w:bCs/>
          <w:color w:val="000000"/>
          <w:lang w:eastAsia="en-US"/>
        </w:rPr>
        <w:t xml:space="preserve">. 81/2008)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2. I lavoratori devono in particolare: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a) contribuire, insieme al datore di lavoro, ai dirigenti e ai preposti, all'adempimento degli obblighi previsti a tutela della salute e sicurezza sui luoghi di lavoro;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b) osservare le disposizioni e le istruzioni impartite dal datore di lavoro, dai dirigenti e dai preposti, ai fini della protezione collettiva ed individuale;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c) utilizzare correttamente le attrezzature di lavoro, le sostanze e i preparati pericolosi, i mezzi di trasporto, nonché i dispositivi di sicurezza;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d) utilizzare in modo appropriato i dispositivi di protezione messi a loro disposizione;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f) non rimuovere o modificare senza autorizzazione i dispositivi di sicurezza o di segnalazione o di controllo;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g) non compiere di propria iniziativa operazioni o manovre che non sono di loro competenza ovvero che possono compromettere la sicurezza propria o di altri lavoratori;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h) partecipare ai programmi di formazione e di addestramento organizzati dal datore di lavoro;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 sottoporsi ai controlli sanitari previsti dal D. </w:t>
      </w:r>
      <w:proofErr w:type="spellStart"/>
      <w:r w:rsidRPr="00B2196C">
        <w:rPr>
          <w:rFonts w:eastAsiaTheme="minorHAnsi"/>
          <w:color w:val="000000"/>
          <w:lang w:eastAsia="en-US"/>
        </w:rPr>
        <w:t>Lgs</w:t>
      </w:r>
      <w:proofErr w:type="spellEnd"/>
      <w:r w:rsidRPr="00B2196C">
        <w:rPr>
          <w:rFonts w:eastAsiaTheme="minorHAnsi"/>
          <w:color w:val="000000"/>
          <w:lang w:eastAsia="en-US"/>
        </w:rPr>
        <w:t xml:space="preserve">. 81/2008 o comunque disposti dal medico competente.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w:t>
      </w:r>
      <w:proofErr w:type="spellStart"/>
      <w:r w:rsidRPr="00B2196C">
        <w:rPr>
          <w:rFonts w:eastAsiaTheme="minorHAnsi"/>
          <w:color w:val="000000"/>
          <w:lang w:eastAsia="en-US"/>
        </w:rPr>
        <w:t>Lgs</w:t>
      </w:r>
      <w:proofErr w:type="spellEnd"/>
      <w:r w:rsidRPr="00B2196C">
        <w:rPr>
          <w:rFonts w:eastAsiaTheme="minorHAnsi"/>
          <w:color w:val="000000"/>
          <w:lang w:eastAsia="en-US"/>
        </w:rPr>
        <w:t xml:space="preserve">. 81/2008; ha provveduto alla formazione e informazione di tutti i lavoratori, ex artt. 36 e 37 del medesimo D. </w:t>
      </w:r>
      <w:proofErr w:type="spellStart"/>
      <w:r w:rsidRPr="00B2196C">
        <w:rPr>
          <w:rFonts w:eastAsiaTheme="minorHAnsi"/>
          <w:color w:val="000000"/>
          <w:lang w:eastAsia="en-US"/>
        </w:rPr>
        <w:t>Lgs</w:t>
      </w:r>
      <w:proofErr w:type="spellEnd"/>
      <w:r w:rsidRPr="00B2196C">
        <w:rPr>
          <w:rFonts w:eastAsiaTheme="minorHAnsi"/>
          <w:color w:val="000000"/>
          <w:lang w:eastAsia="en-US"/>
        </w:rPr>
        <w:t xml:space="preserve">. 81/2008.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Pertanto, di seguito, si procede alla analitica informazione, con specifico riferimento alle modalità di lavoro per lo </w:t>
      </w:r>
      <w:proofErr w:type="spellStart"/>
      <w:r w:rsidRPr="00B2196C">
        <w:rPr>
          <w:rFonts w:eastAsiaTheme="minorHAnsi"/>
          <w:i/>
          <w:iCs/>
          <w:color w:val="000000"/>
          <w:lang w:eastAsia="en-US"/>
        </w:rPr>
        <w:t>smart</w:t>
      </w:r>
      <w:proofErr w:type="spellEnd"/>
      <w:r w:rsidRPr="00B2196C">
        <w:rPr>
          <w:rFonts w:eastAsiaTheme="minorHAnsi"/>
          <w:i/>
          <w:iCs/>
          <w:color w:val="000000"/>
          <w:lang w:eastAsia="en-US"/>
        </w:rPr>
        <w:t xml:space="preserve"> </w:t>
      </w:r>
      <w:proofErr w:type="spellStart"/>
      <w:r w:rsidRPr="00B2196C">
        <w:rPr>
          <w:rFonts w:eastAsiaTheme="minorHAnsi"/>
          <w:i/>
          <w:iCs/>
          <w:color w:val="000000"/>
          <w:lang w:eastAsia="en-US"/>
        </w:rPr>
        <w:t>worker</w:t>
      </w:r>
      <w:proofErr w:type="spellEnd"/>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 ***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COMPORTAMENTI </w:t>
      </w:r>
      <w:proofErr w:type="spellStart"/>
      <w:r w:rsidRPr="00B2196C">
        <w:rPr>
          <w:rFonts w:eastAsiaTheme="minorHAnsi"/>
          <w:b/>
          <w:bCs/>
          <w:color w:val="000000"/>
          <w:lang w:eastAsia="en-US"/>
        </w:rPr>
        <w:t>DI</w:t>
      </w:r>
      <w:proofErr w:type="spellEnd"/>
      <w:r w:rsidRPr="00B2196C">
        <w:rPr>
          <w:rFonts w:eastAsiaTheme="minorHAnsi"/>
          <w:b/>
          <w:bCs/>
          <w:color w:val="000000"/>
          <w:lang w:eastAsia="en-US"/>
        </w:rPr>
        <w:t xml:space="preserve"> PREVENZIONE GENERALE RICHIESTI ALLO </w:t>
      </w:r>
      <w:r w:rsidRPr="00B2196C">
        <w:rPr>
          <w:rFonts w:eastAsiaTheme="minorHAnsi"/>
          <w:b/>
          <w:bCs/>
          <w:i/>
          <w:iCs/>
          <w:color w:val="000000"/>
          <w:lang w:eastAsia="en-US"/>
        </w:rPr>
        <w:t xml:space="preserve">SMART WORKER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Cooperare con diligenza all’attuazione delle misure di prevenzione e protezione predisposte dal datore di lavoro (</w:t>
      </w:r>
      <w:proofErr w:type="spellStart"/>
      <w:r w:rsidRPr="00B2196C">
        <w:rPr>
          <w:rFonts w:eastAsiaTheme="minorHAnsi"/>
          <w:color w:val="000000"/>
          <w:lang w:eastAsia="en-US"/>
        </w:rPr>
        <w:t>DL</w:t>
      </w:r>
      <w:proofErr w:type="spellEnd"/>
      <w:r w:rsidRPr="00B2196C">
        <w:rPr>
          <w:rFonts w:eastAsiaTheme="minorHAnsi"/>
          <w:color w:val="000000"/>
          <w:lang w:eastAsia="en-US"/>
        </w:rPr>
        <w:t xml:space="preserve">) per fronteggiare i rischi connessi all’esecuzione della prestazione in ambienti </w:t>
      </w:r>
      <w:r w:rsidRPr="00B2196C">
        <w:rPr>
          <w:rFonts w:eastAsiaTheme="minorHAnsi"/>
          <w:i/>
          <w:iCs/>
          <w:color w:val="000000"/>
          <w:lang w:eastAsia="en-US"/>
        </w:rPr>
        <w:t xml:space="preserve">indoor </w:t>
      </w:r>
      <w:r w:rsidRPr="00B2196C">
        <w:rPr>
          <w:rFonts w:eastAsiaTheme="minorHAnsi"/>
          <w:color w:val="000000"/>
          <w:lang w:eastAsia="en-US"/>
        </w:rPr>
        <w:t xml:space="preserve">e </w:t>
      </w:r>
      <w:r w:rsidRPr="00B2196C">
        <w:rPr>
          <w:rFonts w:eastAsiaTheme="minorHAnsi"/>
          <w:i/>
          <w:iCs/>
          <w:color w:val="000000"/>
          <w:lang w:eastAsia="en-US"/>
        </w:rPr>
        <w:t xml:space="preserve">outdoor </w:t>
      </w:r>
      <w:r w:rsidRPr="00B2196C">
        <w:rPr>
          <w:rFonts w:eastAsiaTheme="minorHAnsi"/>
          <w:color w:val="000000"/>
          <w:lang w:eastAsia="en-US"/>
        </w:rPr>
        <w:t xml:space="preserve">diversi da quelli di lavoro abituali.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adottare condotte che possano generare rischi per la propria salute e sicurezza o per quella di terzi.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Individuare, secondo le esigenze connesse alla prestazione stessa o dalla necessità del lavoratore di conciliare le esigenze di vita con quelle lavorative e adottando principi di ragionevolezza, i luoghi di lavoro per l’esecuzione della prestazione lavorativa in </w:t>
      </w:r>
      <w:proofErr w:type="spellStart"/>
      <w:r w:rsidRPr="00B2196C">
        <w:rPr>
          <w:rFonts w:eastAsiaTheme="minorHAnsi"/>
          <w:i/>
          <w:iCs/>
          <w:color w:val="000000"/>
          <w:lang w:eastAsia="en-US"/>
        </w:rPr>
        <w:t>smart</w:t>
      </w:r>
      <w:proofErr w:type="spellEnd"/>
      <w:r w:rsidRPr="00B2196C">
        <w:rPr>
          <w:rFonts w:eastAsiaTheme="minorHAnsi"/>
          <w:i/>
          <w:iCs/>
          <w:color w:val="000000"/>
          <w:lang w:eastAsia="en-US"/>
        </w:rPr>
        <w:t xml:space="preserve"> </w:t>
      </w:r>
      <w:proofErr w:type="spellStart"/>
      <w:r w:rsidRPr="00B2196C">
        <w:rPr>
          <w:rFonts w:eastAsiaTheme="minorHAnsi"/>
          <w:i/>
          <w:iCs/>
          <w:color w:val="000000"/>
          <w:lang w:eastAsia="en-US"/>
        </w:rPr>
        <w:t>working</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rispettando le indicazioni previste dalla presente informativa.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 ogni caso, evitare luoghi, ambienti, situazioni e circostanze da cui possa derivare un pericolo per la propria salute e sicurezza o per quella dei terzi.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Di seguito, le indicazioni che il lavoratore è tenuto ad osservare per prevenire i rischi per la salute e sicurezza legati allo svolgimento della prestazione in modalità di lavoro agile.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 ***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i/>
          <w:iCs/>
          <w:color w:val="000000"/>
          <w:lang w:eastAsia="en-US"/>
        </w:rPr>
        <w:t xml:space="preserve">CAPITOLO 1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RELATIVE ALLO SVOLGIMENTO </w:t>
      </w:r>
      <w:proofErr w:type="spellStart"/>
      <w:r w:rsidRPr="00B2196C">
        <w:rPr>
          <w:rFonts w:eastAsiaTheme="minorHAnsi"/>
          <w:b/>
          <w:bCs/>
          <w:color w:val="000000"/>
          <w:lang w:eastAsia="en-US"/>
        </w:rPr>
        <w:t>DI</w:t>
      </w:r>
      <w:proofErr w:type="spellEnd"/>
      <w:r w:rsidRPr="00B2196C">
        <w:rPr>
          <w:rFonts w:eastAsiaTheme="minorHAnsi"/>
          <w:b/>
          <w:bCs/>
          <w:color w:val="000000"/>
          <w:lang w:eastAsia="en-US"/>
        </w:rPr>
        <w:t xml:space="preserve"> ATTIVITA’ LAVORATIVA IN AMBIENTI </w:t>
      </w:r>
      <w:r w:rsidRPr="00B2196C">
        <w:rPr>
          <w:rFonts w:eastAsiaTheme="minorHAnsi"/>
          <w:b/>
          <w:bCs/>
          <w:i/>
          <w:iCs/>
          <w:color w:val="000000"/>
          <w:lang w:eastAsia="en-US"/>
        </w:rPr>
        <w:t xml:space="preserve">OUTDOOR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Nello svolgere l’attività all’aperto si richiama il lavoratore ad adottare un comportamento coscienzioso e prudente, escludendo luoghi che lo esporrebbero a rischi aggiuntivi rispetto a quelli specifici della propria attività svolta in luoghi chiusi.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È opportuno non lavorare con dispositivi elettronici come </w:t>
      </w:r>
      <w:proofErr w:type="spellStart"/>
      <w:r w:rsidRPr="00B2196C">
        <w:rPr>
          <w:rFonts w:eastAsiaTheme="minorHAnsi"/>
          <w:i/>
          <w:iCs/>
          <w:color w:val="000000"/>
          <w:lang w:eastAsia="en-US"/>
        </w:rPr>
        <w:t>tablet</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e </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o similari all’aperto, soprattutto se si nota una diminuzione di visibilità dei caratteri sullo schermo rispetto all’uso in locali al chiuso dovuta alla maggiore luminosità ambientale.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All’aperto inoltre aumenta il rischio di riflessi sullo schermo o di abbagliamento.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Pertanto le attività svolgibili all’aperto sono essenzialmente quelle di lettura di documenti cartacei o comunicazioni telefoniche o tramite servizi VOIP (ad es. </w:t>
      </w:r>
      <w:proofErr w:type="spellStart"/>
      <w:r w:rsidRPr="00B2196C">
        <w:rPr>
          <w:rFonts w:eastAsiaTheme="minorHAnsi"/>
          <w:color w:val="000000"/>
          <w:lang w:eastAsia="en-US"/>
        </w:rPr>
        <w:t>Skype</w:t>
      </w:r>
      <w:proofErr w:type="spellEnd"/>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Fermo restando che va seguito il criterio di ragionevolezza nella scelta del luogo in cui svolgere la prestazione lavorativa, si raccomanda di: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privilegiare luoghi ombreggiati per ridurre l’esposizione a radiazione solare ultravioletta (UV);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esporsi a condizioni </w:t>
      </w:r>
      <w:proofErr w:type="spellStart"/>
      <w:r w:rsidRPr="00B2196C">
        <w:rPr>
          <w:rFonts w:eastAsiaTheme="minorHAnsi"/>
          <w:color w:val="000000"/>
          <w:lang w:eastAsia="en-US"/>
        </w:rPr>
        <w:t>meteoclimatiche</w:t>
      </w:r>
      <w:proofErr w:type="spellEnd"/>
      <w:r w:rsidRPr="00B2196C">
        <w:rPr>
          <w:rFonts w:eastAsiaTheme="minorHAnsi"/>
          <w:color w:val="000000"/>
          <w:lang w:eastAsia="en-US"/>
        </w:rPr>
        <w:t xml:space="preserve"> sfavorevoli quali caldo o freddo intenso;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frequentare aree con presenza di animali incustoditi o aree che non siano adeguatamente </w:t>
      </w:r>
      <w:proofErr w:type="spellStart"/>
      <w:r w:rsidRPr="00B2196C">
        <w:rPr>
          <w:rFonts w:eastAsiaTheme="minorHAnsi"/>
          <w:color w:val="000000"/>
          <w:lang w:eastAsia="en-US"/>
        </w:rPr>
        <w:t>manutenute</w:t>
      </w:r>
      <w:proofErr w:type="spellEnd"/>
      <w:r w:rsidRPr="00B2196C">
        <w:rPr>
          <w:rFonts w:eastAsiaTheme="minorHAnsi"/>
          <w:color w:val="000000"/>
          <w:lang w:eastAsia="en-US"/>
        </w:rPr>
        <w:t xml:space="preserve"> quali ad esempio aree verdi incolte, con degrado ambientale e/o con presenza di rifiuti;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svolgere l’attività in un luogo isolato in cui sia difficoltoso richiedere e ricevere soccorso;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svolgere l’attività in aree con presenza di sostanze combustibili e infiammabili (vedere capitolo 5);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non svolgere l’attività in aree in cui non ci sia la possibilità di approvvigionarsi di acqua potabile; - mettere in atto tutte le precauzioni che consuetamente si adottano svolgendo attività </w:t>
      </w:r>
      <w:r w:rsidRPr="00B2196C">
        <w:rPr>
          <w:rFonts w:eastAsiaTheme="minorHAnsi"/>
          <w:i/>
          <w:iCs/>
          <w:color w:val="000000"/>
          <w:lang w:eastAsia="en-US"/>
        </w:rPr>
        <w:t xml:space="preserve">outdoor </w:t>
      </w:r>
      <w:r w:rsidRPr="00B2196C">
        <w:rPr>
          <w:rFonts w:eastAsiaTheme="minorHAnsi"/>
          <w:color w:val="000000"/>
          <w:lang w:eastAsia="en-US"/>
        </w:rPr>
        <w:t xml:space="preserve">(ad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 ***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i/>
          <w:iCs/>
          <w:color w:val="000000"/>
          <w:lang w:eastAsia="en-US"/>
        </w:rPr>
        <w:t xml:space="preserve">CAPITOLO 2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RELATIVE AD AMBIENTI </w:t>
      </w:r>
      <w:r w:rsidRPr="00B2196C">
        <w:rPr>
          <w:rFonts w:eastAsiaTheme="minorHAnsi"/>
          <w:b/>
          <w:bCs/>
          <w:i/>
          <w:iCs/>
          <w:color w:val="000000"/>
          <w:lang w:eastAsia="en-US"/>
        </w:rPr>
        <w:t xml:space="preserve">INDOOR </w:t>
      </w:r>
      <w:r w:rsidRPr="00B2196C">
        <w:rPr>
          <w:rFonts w:eastAsiaTheme="minorHAnsi"/>
          <w:b/>
          <w:bCs/>
          <w:color w:val="000000"/>
          <w:lang w:eastAsia="en-US"/>
        </w:rPr>
        <w:t xml:space="preserve">PRIVATI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Di seguito vengono riportate le principali indicazioni relative ai requisiti igienico-sanitari previsti per i locali privati in cui possono operare i lavoratori destinati a svolgere il lavoro agile.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Raccomandazioni generali per i locali</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le attività lavorative non possono essere svolte in locali tecnici o locali non abitabili (ad es. soffitte, seminterrati, rustici, box);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adeguata disponibilità di servizi igienici e acqua potabile e presenza di impianti a norma (elettrico, termoidraulico, ecc.) adeguatamente </w:t>
      </w:r>
      <w:proofErr w:type="spellStart"/>
      <w:r w:rsidRPr="00B2196C">
        <w:rPr>
          <w:rFonts w:eastAsiaTheme="minorHAnsi"/>
          <w:color w:val="000000"/>
          <w:lang w:eastAsia="en-US"/>
        </w:rPr>
        <w:t>manutenuti</w:t>
      </w:r>
      <w:proofErr w:type="spellEnd"/>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le superfici interne delle pareti non devono presentare tracce di condensazione permanente (muffe);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 locali, eccettuati quelli destinati a servizi igienici, disimpegni, corridoi, vani-scala e ripostigli debbono fruire di illuminazione naturale diretta, adeguata alla destinazione d'uso e, a tale scopo, devono avere una superficie finestrata idonea;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 locali devono essere muniti di impianti di illuminazione artificiale, generale e localizzata, atti a garantire un adeguato comfort visivo agli occupanti.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per l’illuminazione naturale ed artificiale: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si raccomanda, soprattutto nei mesi estivi, di schermare le finestre (ad es. con tendaggi, appropriato utilizzo delle tapparelle, ecc.) allo scopo di evitare l’abbagliamento e limitare l’esposizione diretta alle radiazioni solari;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l’illuminazione generale e specifica (lampade da tavolo) deve essere tale da garantire un illuminamento sufficiente e un contrasto appropriato tra lo schermo e l’ambiente circostante.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importante collocare le lampade in modo tale da evitare abbagliamenti diretti e/o riflessi e la proiezione di ombre che ostacolino il compito visivo mentre si svolge l’attività lavorativa.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Indicazioni per l’aerazione naturale ed artificiale</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opportuno garantire il ricambio dell’aria naturale o con ventilazione meccanica;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evitare di esporsi a correnti d’aria fastidiose che colpiscano una zona circoscritta del corpo (ad es. la nuca, le gambe,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gli eventuali impianti di condizionamento dell’aria devono essere a norma e regolarmente </w:t>
      </w:r>
      <w:proofErr w:type="spellStart"/>
      <w:r w:rsidRPr="00B2196C">
        <w:rPr>
          <w:rFonts w:eastAsiaTheme="minorHAnsi"/>
          <w:color w:val="000000"/>
          <w:lang w:eastAsia="en-US"/>
        </w:rPr>
        <w:t>manutenuti</w:t>
      </w:r>
      <w:proofErr w:type="spellEnd"/>
      <w:r w:rsidRPr="00B2196C">
        <w:rPr>
          <w:rFonts w:eastAsiaTheme="minorHAnsi"/>
          <w:color w:val="000000"/>
          <w:lang w:eastAsia="en-US"/>
        </w:rPr>
        <w:t xml:space="preserve">; i sistemi filtranti dell’impianto e i recipienti eventuali per la raccolta della condensa, vanno regolarmente ispezionati e puliti e, se necessario, sostituiti;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regolare la temperatura a livelli troppo alti o troppo bassi (a seconda della stagione) rispetto alla temperatura esterna;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l’inalazione attiva e passiva del fumo di tabacco, soprattutto negli ambienti chiusi, in quanto molto pericolosa per la salute umana.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 ***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i/>
          <w:iCs/>
          <w:color w:val="000000"/>
          <w:lang w:eastAsia="en-US"/>
        </w:rPr>
        <w:t xml:space="preserve">CAPITOLO 3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UTILIZZO SICURO </w:t>
      </w:r>
      <w:proofErr w:type="spellStart"/>
      <w:r w:rsidRPr="00B2196C">
        <w:rPr>
          <w:rFonts w:eastAsiaTheme="minorHAnsi"/>
          <w:b/>
          <w:bCs/>
          <w:color w:val="000000"/>
          <w:lang w:eastAsia="en-US"/>
        </w:rPr>
        <w:t>DI</w:t>
      </w:r>
      <w:proofErr w:type="spellEnd"/>
      <w:r w:rsidRPr="00B2196C">
        <w:rPr>
          <w:rFonts w:eastAsiaTheme="minorHAnsi"/>
          <w:b/>
          <w:bCs/>
          <w:color w:val="000000"/>
          <w:lang w:eastAsia="en-US"/>
        </w:rPr>
        <w:t xml:space="preserve"> ATTREZZATURE/DISPOSITIVI </w:t>
      </w:r>
      <w:proofErr w:type="spellStart"/>
      <w:r w:rsidRPr="00B2196C">
        <w:rPr>
          <w:rFonts w:eastAsiaTheme="minorHAnsi"/>
          <w:b/>
          <w:bCs/>
          <w:color w:val="000000"/>
          <w:lang w:eastAsia="en-US"/>
        </w:rPr>
        <w:t>DI</w:t>
      </w:r>
      <w:proofErr w:type="spellEnd"/>
      <w:r w:rsidRPr="00B2196C">
        <w:rPr>
          <w:rFonts w:eastAsiaTheme="minorHAnsi"/>
          <w:b/>
          <w:bCs/>
          <w:color w:val="000000"/>
          <w:lang w:eastAsia="en-US"/>
        </w:rPr>
        <w:t xml:space="preserve"> LAVORO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Di seguito vengono riportate le principali indicazioni relative ai requisiti e al corretto utilizzo di attrezzature/dispositivi di lavoro, con specifico riferimento a quelle consegnate ai lavoratori destinati a svolgere il lavoro agile: </w:t>
      </w:r>
      <w:r w:rsidRPr="00B2196C">
        <w:rPr>
          <w:rFonts w:eastAsiaTheme="minorHAnsi"/>
          <w:i/>
          <w:iCs/>
          <w:color w:val="000000"/>
          <w:lang w:eastAsia="en-US"/>
        </w:rPr>
        <w:t>notebook</w:t>
      </w:r>
      <w:r w:rsidRPr="00B2196C">
        <w:rPr>
          <w:rFonts w:eastAsiaTheme="minorHAnsi"/>
          <w:color w:val="000000"/>
          <w:lang w:eastAsia="en-US"/>
        </w:rPr>
        <w:t xml:space="preserve">, </w:t>
      </w:r>
      <w:proofErr w:type="spellStart"/>
      <w:r w:rsidRPr="00B2196C">
        <w:rPr>
          <w:rFonts w:eastAsiaTheme="minorHAnsi"/>
          <w:i/>
          <w:iCs/>
          <w:color w:val="000000"/>
          <w:lang w:eastAsia="en-US"/>
        </w:rPr>
        <w:t>tablet</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e </w:t>
      </w:r>
      <w:proofErr w:type="spellStart"/>
      <w:r w:rsidRPr="00B2196C">
        <w:rPr>
          <w:rFonts w:eastAsiaTheme="minorHAnsi"/>
          <w:i/>
          <w:iCs/>
          <w:color w:val="000000"/>
          <w:lang w:eastAsia="en-US"/>
        </w:rPr>
        <w:t>smartphone</w:t>
      </w:r>
      <w:proofErr w:type="spellEnd"/>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generali: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conservare in luoghi in cui siano facilmente reperibili e consultabili il manuale/istruzioni per l’uso redatte dal fabbricante;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leggere il manuale/istruzioni per l’uso prima dell’utilizzo dei dispositivi, seguire le indicazioni del costruttore/importatore e tenere a mente le informazioni riguardanti i principi di sicurezza;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verificare periodicamente che le attrezzature siano integre e correttamente funzionanti, compresi i cavi elettrici e la spina di alimentazione;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collegare tra loro dispositivi o accessori incompatibili;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effettuare la ricarica elettrica da prese di alimentazione integre e attraverso i dispositivi (cavi di collegamento, alimentatori) forniti in dotazione;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disporre i cavi di alimentazione in modo da minimizzare il pericolo di inciampo;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spegnere le attrezzature una volta terminati i lavori;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controllare che tutte le attrezzature/dispositivi siano scollegate/i dall’impianto elettrico quando non utilizzati, specialmente per lunghi periodi;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si raccomanda di collocare le attrezzature/dispositivi in modo da favorire la loro ventilazione e raffreddamento (non coperti e con le griglie di aerazione non ostruite) e di astenersi dall’uso nel caso di un loro anomalo riscaldamento;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inserire le spine dei cavi di alimentazione delle attrezzature/dispositivi in prese compatibili (ad es. spine a poli allineati in prese a poli allineati, spine </w:t>
      </w:r>
      <w:proofErr w:type="spellStart"/>
      <w:r w:rsidRPr="00B2196C">
        <w:rPr>
          <w:rFonts w:eastAsiaTheme="minorHAnsi"/>
          <w:i/>
          <w:iCs/>
          <w:color w:val="000000"/>
          <w:lang w:eastAsia="en-US"/>
        </w:rPr>
        <w:t>schuko</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in prese </w:t>
      </w:r>
      <w:proofErr w:type="spellStart"/>
      <w:r w:rsidRPr="00B2196C">
        <w:rPr>
          <w:rFonts w:eastAsiaTheme="minorHAnsi"/>
          <w:i/>
          <w:iCs/>
          <w:color w:val="000000"/>
          <w:lang w:eastAsia="en-US"/>
        </w:rPr>
        <w:t>schuko</w:t>
      </w:r>
      <w:proofErr w:type="spellEnd"/>
      <w:r w:rsidRPr="00B2196C">
        <w:rPr>
          <w:rFonts w:eastAsiaTheme="minorHAnsi"/>
          <w:color w:val="000000"/>
          <w:lang w:eastAsia="en-US"/>
        </w:rPr>
        <w:t xml:space="preserve">). Utilizzare la presa solo se ben ancorata al muro e controllare che la spina sia completamente inserita nella presa a garanzia di un contatto certo ed ottimale;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effettuare operazioni di riparazione e manutenzione fai da 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le batterie/accumulatori non vanno gettati nel fuoco (potrebbero esplodere), né smontati, tagliati, compressi, piegati, forati, danneggiati, manomessi, immersi o esposti all’acqua o altri liquidi;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segnalare tempestivamente al datore di lavoro eventuali malfunzionamenti, tenendo le attrezzature/dispositivi spenti e scollegati dall’impianto elettrico;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opportuno fare periodicamente delle brevi pause per distogliere la vista dallo schermo e sgranchirsi le gambe;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bene cambiare spesso posizione durante il lavoro anche sfruttando le caratteristiche di estrema maneggevolezza di </w:t>
      </w:r>
      <w:proofErr w:type="spellStart"/>
      <w:r w:rsidRPr="00B2196C">
        <w:rPr>
          <w:rFonts w:eastAsiaTheme="minorHAnsi"/>
          <w:i/>
          <w:iCs/>
          <w:color w:val="000000"/>
          <w:lang w:eastAsia="en-US"/>
        </w:rPr>
        <w:t>tablet</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e </w:t>
      </w:r>
      <w:proofErr w:type="spellStart"/>
      <w:r w:rsidRPr="00B2196C">
        <w:rPr>
          <w:rFonts w:eastAsiaTheme="minorHAnsi"/>
          <w:i/>
          <w:iCs/>
          <w:color w:val="000000"/>
          <w:lang w:eastAsia="en-US"/>
        </w:rPr>
        <w:t>smartphone</w:t>
      </w:r>
      <w:proofErr w:type="spellEnd"/>
      <w:r w:rsidRPr="00B2196C">
        <w:rPr>
          <w:rFonts w:eastAsiaTheme="minorHAnsi"/>
          <w:color w:val="000000"/>
          <w:lang w:eastAsia="en-US"/>
        </w:rPr>
        <w:t xml:space="preserve">, tenendo presente la possibilità di alternare la posizione eretta con quella seduta;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in una situazione corretta lo schermo è posto perpendicolarmente rispetto alla finestra e ad una distanza tale da evitare riflessi e abbagliamenti;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 </w:t>
      </w:r>
      <w:r w:rsidRPr="00B2196C">
        <w:rPr>
          <w:rFonts w:eastAsiaTheme="minorHAnsi"/>
          <w:i/>
          <w:iCs/>
          <w:color w:val="000000"/>
          <w:lang w:eastAsia="en-US"/>
        </w:rPr>
        <w:t xml:space="preserve">notebook, </w:t>
      </w:r>
      <w:proofErr w:type="spellStart"/>
      <w:r w:rsidRPr="00B2196C">
        <w:rPr>
          <w:rFonts w:eastAsiaTheme="minorHAnsi"/>
          <w:i/>
          <w:iCs/>
          <w:color w:val="000000"/>
          <w:lang w:eastAsia="en-US"/>
        </w:rPr>
        <w:t>tablet</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e </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hanno uno schermo con una superficie molto riflettente (schermi lucidi o </w:t>
      </w:r>
      <w:proofErr w:type="spellStart"/>
      <w:r w:rsidRPr="00B2196C">
        <w:rPr>
          <w:rFonts w:eastAsiaTheme="minorHAnsi"/>
          <w:i/>
          <w:iCs/>
          <w:color w:val="000000"/>
          <w:lang w:eastAsia="en-US"/>
        </w:rPr>
        <w:t>glossy</w:t>
      </w:r>
      <w:proofErr w:type="spellEnd"/>
      <w:r w:rsidRPr="00B2196C">
        <w:rPr>
          <w:rFonts w:eastAsiaTheme="minorHAnsi"/>
          <w:color w:val="000000"/>
          <w:lang w:eastAsia="en-US"/>
        </w:rPr>
        <w:t xml:space="preserve">) per garantire una resa ottimale dei colori; tenere presente che l’utilizzo di tali schermi può causare affaticamento visivo e pertanto: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regolare la luminosità e il contrasto sullo schermo in modo ottimale;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durante la lettura, distogliere spesso lo sguardo dallo schermo per fissare oggetti lontani, così come si fa quando si lavora normalmente al computer fisso;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 tutti i casi in cui i caratteri sullo schermo del dispositivo mobile siano troppo piccoli, è importante ingrandire i caratteri a schermo e utilizzare la funzione zoom per non affaticare gli occhi;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lavorare mai al buio.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per il lavoro con il </w:t>
      </w:r>
      <w:r w:rsidRPr="00B2196C">
        <w:rPr>
          <w:rFonts w:eastAsiaTheme="minorHAnsi"/>
          <w:b/>
          <w:bCs/>
          <w:i/>
          <w:iCs/>
          <w:color w:val="000000"/>
          <w:lang w:eastAsia="en-US"/>
        </w:rPr>
        <w:t xml:space="preserve">notebook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In caso di attività che comportino la redazione o la revisione di lunghi testi, tabelle o simili è opportuno l’impiego del </w:t>
      </w:r>
      <w:r w:rsidRPr="00B2196C">
        <w:rPr>
          <w:rFonts w:eastAsiaTheme="minorHAnsi"/>
          <w:i/>
          <w:iCs/>
          <w:color w:val="000000"/>
          <w:lang w:eastAsia="en-US"/>
        </w:rPr>
        <w:t xml:space="preserve">notebook </w:t>
      </w:r>
      <w:r w:rsidRPr="00B2196C">
        <w:rPr>
          <w:rFonts w:eastAsiaTheme="minorHAnsi"/>
          <w:color w:val="000000"/>
          <w:lang w:eastAsia="en-US"/>
        </w:rPr>
        <w:t xml:space="preserve">con le seguenti raccomandazioni: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sistemare il </w:t>
      </w:r>
      <w:r w:rsidRPr="00B2196C">
        <w:rPr>
          <w:rFonts w:eastAsiaTheme="minorHAnsi"/>
          <w:i/>
          <w:iCs/>
          <w:color w:val="000000"/>
          <w:lang w:eastAsia="en-US"/>
        </w:rPr>
        <w:t xml:space="preserve">notebook </w:t>
      </w:r>
      <w:r w:rsidRPr="00B2196C">
        <w:rPr>
          <w:rFonts w:eastAsiaTheme="minorHAnsi"/>
          <w:color w:val="000000"/>
          <w:lang w:eastAsia="en-US"/>
        </w:rPr>
        <w:t xml:space="preserve">su un idoneo supporto che consenta lo stabile posizionamento dell’attrezzatura e un comodo appoggio degli avambracci;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il sedile di lavoro deve essere stabile e deve permettere una posizione comoda. In caso di lavoro prolungato, la seduta deve avere bordi smussati;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importante stare seduti con un comodo appoggio della zona lombare e su una seduta non rigida (eventualmente utilizzare dei cuscini poco spessi);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durante il lavoro con il </w:t>
      </w:r>
      <w:r w:rsidRPr="00B2196C">
        <w:rPr>
          <w:rFonts w:eastAsiaTheme="minorHAnsi"/>
          <w:i/>
          <w:iCs/>
          <w:color w:val="000000"/>
          <w:lang w:eastAsia="en-US"/>
        </w:rPr>
        <w:t>notebook</w:t>
      </w:r>
      <w:r w:rsidRPr="00B2196C">
        <w:rPr>
          <w:rFonts w:eastAsiaTheme="minorHAnsi"/>
          <w:color w:val="000000"/>
          <w:lang w:eastAsia="en-US"/>
        </w:rPr>
        <w:t xml:space="preserve">, la schiena va mantenuta poggiata al sedile provvisto di supporto per la zona lombare, evitando di piegarla in avanti;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mantenere gli avambracci, i polsi e le mani allineati durante l’uso della tastiera, evitando di piegare o angolare i polsi;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opportuno che gli avambracci siano appoggiati sul piano e non tenuti sospesi;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sidRPr="00B2196C">
        <w:rPr>
          <w:rFonts w:eastAsiaTheme="minorHAnsi"/>
          <w:i/>
          <w:iCs/>
          <w:color w:val="000000"/>
          <w:lang w:eastAsia="en-US"/>
        </w:rPr>
        <w:t>notebook</w:t>
      </w:r>
      <w:r w:rsidRPr="00B2196C">
        <w:rPr>
          <w:rFonts w:eastAsiaTheme="minorHAnsi"/>
          <w:color w:val="000000"/>
          <w:lang w:eastAsia="en-US"/>
        </w:rPr>
        <w:t xml:space="preserve">), dei documenti e del materiale accessorio;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l’altezza del piano di lavoro e della seduta devono essere tali da consentire all’operatore in posizione seduta di avere gli angoli braccio/avambraccio e gamba/coscia ciascuno a circa 90°;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la profondità del piano di lavoro deve essere tale da assicurare una adeguata distanza visiva dallo schermo;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in base alla statura, e se necessario per mantenere un angolo di 90° tra gamba e coscia, creare un poggiapiedi con un oggetto di dimensioni opportune.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i/>
          <w:iCs/>
          <w:color w:val="000000"/>
          <w:lang w:eastAsia="en-US"/>
        </w:rPr>
        <w:t xml:space="preserve">In caso di uso su mezzi di trasporto (treni/aerei/ navi) in qualità di passeggeri o in locali pubblici: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lavori prolungati nel caso l’altezza della seduta sia troppo bassa o alta rispetto al piano di appoggio del </w:t>
      </w:r>
      <w:r w:rsidRPr="00B2196C">
        <w:rPr>
          <w:rFonts w:eastAsiaTheme="minorHAnsi"/>
          <w:i/>
          <w:iCs/>
          <w:color w:val="000000"/>
          <w:lang w:eastAsia="en-US"/>
        </w:rPr>
        <w:t>notebook</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osservare le disposizioni impartite dal personale viaggiante (autisti, controllori, personale di volo,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nelle imbarcazioni il </w:t>
      </w:r>
      <w:r w:rsidRPr="00B2196C">
        <w:rPr>
          <w:rFonts w:eastAsiaTheme="minorHAnsi"/>
          <w:i/>
          <w:iCs/>
          <w:color w:val="000000"/>
          <w:lang w:eastAsia="en-US"/>
        </w:rPr>
        <w:t xml:space="preserve">notebook </w:t>
      </w:r>
      <w:r w:rsidRPr="00B2196C">
        <w:rPr>
          <w:rFonts w:eastAsiaTheme="minorHAnsi"/>
          <w:color w:val="000000"/>
          <w:lang w:eastAsia="en-US"/>
        </w:rPr>
        <w:t xml:space="preserve">è utilizzabile solo nei casi in cui sia possibile predisporre una idonea postazione di lavoro al chiuso e in assenza di rollio/beccheggio della nave;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se fosse necessario ricaricare, e se esistono prese elettriche per la ricarica dei dispositivi mobili a disposizione dei clienti, verificare che la presa non sia danneggiata e che sia normalmente ancorata al suo supporto parete;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utilizzare il </w:t>
      </w:r>
      <w:r w:rsidRPr="00B2196C">
        <w:rPr>
          <w:rFonts w:eastAsiaTheme="minorHAnsi"/>
          <w:i/>
          <w:iCs/>
          <w:color w:val="000000"/>
          <w:lang w:eastAsia="en-US"/>
        </w:rPr>
        <w:t xml:space="preserve">notebook </w:t>
      </w:r>
      <w:r w:rsidRPr="00B2196C">
        <w:rPr>
          <w:rFonts w:eastAsiaTheme="minorHAnsi"/>
          <w:color w:val="000000"/>
          <w:lang w:eastAsia="en-US"/>
        </w:rPr>
        <w:t xml:space="preserve">su autobus/tram, metropolitane, taxi e in macchina anche se si è passeggeri.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per il lavoro con </w:t>
      </w:r>
      <w:proofErr w:type="spellStart"/>
      <w:r w:rsidRPr="00B2196C">
        <w:rPr>
          <w:rFonts w:eastAsiaTheme="minorHAnsi"/>
          <w:b/>
          <w:bCs/>
          <w:i/>
          <w:iCs/>
          <w:color w:val="000000"/>
          <w:lang w:eastAsia="en-US"/>
        </w:rPr>
        <w:t>tablet</w:t>
      </w:r>
      <w:proofErr w:type="spellEnd"/>
      <w:r w:rsidRPr="00B2196C">
        <w:rPr>
          <w:rFonts w:eastAsiaTheme="minorHAnsi"/>
          <w:b/>
          <w:bCs/>
          <w:i/>
          <w:iCs/>
          <w:color w:val="000000"/>
          <w:lang w:eastAsia="en-US"/>
        </w:rPr>
        <w:t xml:space="preserve"> </w:t>
      </w:r>
      <w:r w:rsidRPr="00B2196C">
        <w:rPr>
          <w:rFonts w:eastAsiaTheme="minorHAnsi"/>
          <w:b/>
          <w:bCs/>
          <w:color w:val="000000"/>
          <w:lang w:eastAsia="en-US"/>
        </w:rPr>
        <w:t xml:space="preserve">e </w:t>
      </w:r>
      <w:proofErr w:type="spellStart"/>
      <w:r w:rsidRPr="00B2196C">
        <w:rPr>
          <w:rFonts w:eastAsiaTheme="minorHAnsi"/>
          <w:b/>
          <w:bCs/>
          <w:i/>
          <w:iCs/>
          <w:color w:val="000000"/>
          <w:lang w:eastAsia="en-US"/>
        </w:rPr>
        <w:t>smartphone</w:t>
      </w:r>
      <w:proofErr w:type="spellEnd"/>
      <w:r w:rsidRPr="00B2196C">
        <w:rPr>
          <w:rFonts w:eastAsiaTheme="minorHAnsi"/>
          <w:b/>
          <w:bCs/>
          <w:i/>
          <w:iCs/>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 </w:t>
      </w:r>
      <w:proofErr w:type="spellStart"/>
      <w:r w:rsidRPr="00B2196C">
        <w:rPr>
          <w:rFonts w:eastAsiaTheme="minorHAnsi"/>
          <w:i/>
          <w:iCs/>
          <w:color w:val="000000"/>
          <w:lang w:eastAsia="en-US"/>
        </w:rPr>
        <w:t>tablet</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sono idonei prevalentemente alla gestione della posta elettronica e della documentazione, mentre gli </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sono idonei essenzialmente alla gestione della posta elettronica e alla lettura di brevi documenti.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In caso di impiego di </w:t>
      </w:r>
      <w:proofErr w:type="spellStart"/>
      <w:r w:rsidRPr="00B2196C">
        <w:rPr>
          <w:rFonts w:eastAsiaTheme="minorHAnsi"/>
          <w:i/>
          <w:iCs/>
          <w:color w:val="000000"/>
          <w:lang w:eastAsia="en-US"/>
        </w:rPr>
        <w:t>tablet</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e </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si raccomanda di: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effettuare frequenti pause, limitando il tempo di digitazione continuata;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utilizzare questi dispositivi per scrivere lunghi testi;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utilizzare tali attrezzature mentre si cammina, salvo che per rispondere a chiamate vocali prediligendo l’utilizzo dell’auricolare;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per prevenire l’affaticamento visivo, evitare attività prolungate di lettura sullo </w:t>
      </w:r>
      <w:proofErr w:type="spellStart"/>
      <w:r w:rsidRPr="00B2196C">
        <w:rPr>
          <w:rFonts w:eastAsiaTheme="minorHAnsi"/>
          <w:i/>
          <w:iCs/>
          <w:color w:val="000000"/>
          <w:lang w:eastAsia="en-US"/>
        </w:rPr>
        <w:t>smartphone</w:t>
      </w:r>
      <w:proofErr w:type="spellEnd"/>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effettuare periodicamente esercizi di allungamento dei muscoli della mano e del pollice (</w:t>
      </w:r>
      <w:r w:rsidRPr="00B2196C">
        <w:rPr>
          <w:rFonts w:eastAsiaTheme="minorHAnsi"/>
          <w:i/>
          <w:iCs/>
          <w:color w:val="000000"/>
          <w:lang w:eastAsia="en-US"/>
        </w:rPr>
        <w:t>stretching</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per l’utilizzo sicuro dello </w:t>
      </w:r>
      <w:proofErr w:type="spellStart"/>
      <w:r w:rsidRPr="00B2196C">
        <w:rPr>
          <w:rFonts w:eastAsiaTheme="minorHAnsi"/>
          <w:b/>
          <w:bCs/>
          <w:i/>
          <w:iCs/>
          <w:color w:val="000000"/>
          <w:lang w:eastAsia="en-US"/>
        </w:rPr>
        <w:t>smartphone</w:t>
      </w:r>
      <w:proofErr w:type="spellEnd"/>
      <w:r w:rsidRPr="00B2196C">
        <w:rPr>
          <w:rFonts w:eastAsiaTheme="minorHAnsi"/>
          <w:b/>
          <w:bCs/>
          <w:i/>
          <w:iCs/>
          <w:color w:val="000000"/>
          <w:lang w:eastAsia="en-US"/>
        </w:rPr>
        <w:t xml:space="preserve"> </w:t>
      </w:r>
      <w:r w:rsidRPr="00B2196C">
        <w:rPr>
          <w:rFonts w:eastAsiaTheme="minorHAnsi"/>
          <w:b/>
          <w:bCs/>
          <w:color w:val="000000"/>
          <w:lang w:eastAsia="en-US"/>
        </w:rPr>
        <w:t xml:space="preserve">come telefono cellulare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bene utilizzare l’auricolare durante le chiamate, evitando di tenere il volume su livelli elevati;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spegnere il dispositivo nelle aree in cui è vietato l’uso di telefoni cellulari/</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o quando può causare interferenze o situazioni di pericolo (in aereo, strutture sanitarie, luoghi a rischio di incendio/esplosione, ecc.);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al fine di evitare potenziali interferenze con apparecchiature mediche impiantate seguire le indicazioni del medico competente e le specifiche indicazioni del produttore/importatore dell’apparecchiatura.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 dispositivi potrebbero interferire con gli apparecchi acustici. A tal fine: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tenere i dispositivi nel taschino;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 caso di utilizzo posizionarli sull’orecchio opposto rispetto a quello su cui è installato l’apparecchio acustico;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usare il dispositivo in caso di sospetta interferenza;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un portatore di apparecchi acustici che usasse l’auricolare collegato al telefono/</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potrebbe avere difficoltà nell’udire i suoni dell’ambiente circostante. Non usare l’auricolare se questo può mettere a rischio la propria e l’altrui sicurezza.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i/>
          <w:iCs/>
          <w:color w:val="000000"/>
          <w:lang w:eastAsia="en-US"/>
        </w:rPr>
        <w:t xml:space="preserve">Nel caso in cui ci si trovi all’interno di un veicolo: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non tenere mai in mano il telefono cellulare/</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durante la guida: le mani devono essere sempre tenute libere per poter condurre il veicolo;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durante la guida usare il telefono cellulare/</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esclusivamente con l’auricolare o in modalità viva voce;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inviare e leggere i messaggi solo durante le fermate in area di sosta o di servizio o se si viaggia in qualità di passeggeri;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tenere o trasportare liquidi infiammabili o materiali esplosivi in prossimità del dispositivo, dei suoi componenti o dei suoi accessori;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non utilizzare il telefono cellulare/</w:t>
      </w:r>
      <w:proofErr w:type="spellStart"/>
      <w:r w:rsidRPr="00B2196C">
        <w:rPr>
          <w:rFonts w:eastAsiaTheme="minorHAnsi"/>
          <w:i/>
          <w:iCs/>
          <w:color w:val="000000"/>
          <w:lang w:eastAsia="en-US"/>
        </w:rPr>
        <w:t>smartphone</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nelle aree di distribuzione di carburante;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collocare il dispositivo nell’area di espansione dell’airbag.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 ***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i/>
          <w:iCs/>
          <w:color w:val="000000"/>
          <w:lang w:eastAsia="en-US"/>
        </w:rPr>
        <w:t xml:space="preserve">CAPITOLO 4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INDICAZIONI RELATIVE A REQUISITI E CORRETTO UTILIZZO </w:t>
      </w:r>
      <w:proofErr w:type="spellStart"/>
      <w:r w:rsidRPr="00B2196C">
        <w:rPr>
          <w:rFonts w:eastAsiaTheme="minorHAnsi"/>
          <w:b/>
          <w:bCs/>
          <w:color w:val="000000"/>
          <w:lang w:eastAsia="en-US"/>
        </w:rPr>
        <w:t>DI</w:t>
      </w:r>
      <w:proofErr w:type="spellEnd"/>
      <w:r w:rsidRPr="00B2196C">
        <w:rPr>
          <w:rFonts w:eastAsiaTheme="minorHAnsi"/>
          <w:b/>
          <w:bCs/>
          <w:color w:val="000000"/>
          <w:lang w:eastAsia="en-US"/>
        </w:rPr>
        <w:t xml:space="preserve"> IMPIANTI ELETTRICI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Indicazioni relative ai requisiti e al corretto utilizzo di impianti elettrici, apparecchi/dispositivi elettrici utilizzatori, dispositivi di connessione elettrica temporanea.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Impianto elettrico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i/>
          <w:iCs/>
          <w:color w:val="000000"/>
          <w:lang w:eastAsia="en-US"/>
        </w:rPr>
        <w:t>A. Requisiti</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1) i componenti dell’impianto elettrico utilizzato (prese, interruttori, ecc.) devono apparire privi di parti danneggiate;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2) 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B2196C">
        <w:rPr>
          <w:rFonts w:eastAsiaTheme="minorHAnsi"/>
          <w:color w:val="000000"/>
          <w:lang w:eastAsia="en-US"/>
        </w:rPr>
        <w:t>portacavi</w:t>
      </w:r>
      <w:proofErr w:type="spellEnd"/>
      <w:r w:rsidRPr="00B2196C">
        <w:rPr>
          <w:rFonts w:eastAsiaTheme="minorHAnsi"/>
          <w:color w:val="000000"/>
          <w:lang w:eastAsia="en-US"/>
        </w:rPr>
        <w:t xml:space="preserve"> a vista prive di coperchi di chiusura o con coperchi danneggiati);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3) le parti dell’impianto devono risultare asciutte, pulite e non devono prodursi scintille, odori di bruciato e/o fumo;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4) nel caso di utilizzo della rete elettrica in locali privati, è necessario conoscere l’ubicazione del quadro elettrico e la funzione degli interruttori in esso contenuti per poter disconnettere la rete elettrica in caso di emergenza;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i/>
          <w:iCs/>
          <w:color w:val="000000"/>
          <w:lang w:eastAsia="en-US"/>
        </w:rPr>
        <w:t>B. Indicazioni di corretto utilizzo</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buona norma che le zone antistanti i quadri elettrici, le prese e gli interruttori siano tenute sgombre e accessibili;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accumulare o accostare materiali infiammabili (carta, stoffe, materiali sintetici di facile innesco, buste di plastica, ecc.) a ridosso dei componenti dell’impianto, e in particolare delle prese elettriche a parete, per evitare il rischio di incendio;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è importante posizionare le lampade, specialmente quelle da tavolo, in modo tale che non vi sia contatto con materiali infiammabili.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Dispositivi di connessione elettrica temporanea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(prolunghe, adattatori, prese a ricettività multipla, avvolgicavo,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i/>
          <w:iCs/>
          <w:color w:val="000000"/>
          <w:lang w:eastAsia="en-US"/>
        </w:rPr>
        <w:t xml:space="preserve">A. Requisiti: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 dispositivi di connessione elettrica temporanea devono essere dotati di informazioni (targhetta) indicanti almeno la tensione nominale (ad es. 220-240 Volt), la corrente nominale (ad es. 10 Ampere) e la potenza massima ammissibile (ad es. 1500 Watt);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i/>
          <w:iCs/>
          <w:color w:val="000000"/>
          <w:lang w:eastAsia="en-US"/>
        </w:rPr>
        <w:t xml:space="preserve">B. Indicazioni di corretto utilizzo: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l’utilizzo di dispositivi di connessione elettrica temporanea deve essere ridotto al minimo indispensabile e preferibilmente solo quando non siano disponibili punti di alimentazione più vicini e idonei;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le prese e le spine degli apparecchi elettrici, dei dispositivi di connessione elettrica temporanea e dell’impianto elettrico devono essere compatibili tra loro (spine a poli allineati in prese a poli allineati, spine </w:t>
      </w:r>
      <w:proofErr w:type="spellStart"/>
      <w:r w:rsidRPr="00B2196C">
        <w:rPr>
          <w:rFonts w:eastAsiaTheme="minorHAnsi"/>
          <w:i/>
          <w:iCs/>
          <w:color w:val="000000"/>
          <w:lang w:eastAsia="en-US"/>
        </w:rPr>
        <w:t>schuko</w:t>
      </w:r>
      <w:proofErr w:type="spellEnd"/>
      <w:r w:rsidRPr="00B2196C">
        <w:rPr>
          <w:rFonts w:eastAsiaTheme="minorHAnsi"/>
          <w:i/>
          <w:iCs/>
          <w:color w:val="000000"/>
          <w:lang w:eastAsia="en-US"/>
        </w:rPr>
        <w:t xml:space="preserve"> </w:t>
      </w:r>
      <w:r w:rsidRPr="00B2196C">
        <w:rPr>
          <w:rFonts w:eastAsiaTheme="minorHAnsi"/>
          <w:color w:val="000000"/>
          <w:lang w:eastAsia="en-US"/>
        </w:rPr>
        <w:t xml:space="preserve">in prese </w:t>
      </w:r>
      <w:proofErr w:type="spellStart"/>
      <w:r w:rsidRPr="00B2196C">
        <w:rPr>
          <w:rFonts w:eastAsiaTheme="minorHAnsi"/>
          <w:i/>
          <w:iCs/>
          <w:color w:val="000000"/>
          <w:lang w:eastAsia="en-US"/>
        </w:rPr>
        <w:t>schuko</w:t>
      </w:r>
      <w:proofErr w:type="spellEnd"/>
      <w:r w:rsidRPr="00B2196C">
        <w:rPr>
          <w:rFonts w:eastAsiaTheme="minorHAnsi"/>
          <w:color w:val="000000"/>
          <w:lang w:eastAsia="en-US"/>
        </w:rPr>
        <w:t xml:space="preserve">) e, nel funzionamento, le spine devono essere inserite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completamente nelle prese, in modo da evitare il danneggiamento delle prese e garantire un contatto certo;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piegare, schiacciare, tirare prolunghe, spine,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disporre i cavi di alimentazione e/o le eventuali prolunghe con attenzione, in modo da minimizzare il pericolo di inciampo;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fare attenzione a che i dispositivi di connessione elettrica temporanea non risultino particolarmente caldi durante il loro funzionamento;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srotolare i cavi il più possibile o comunque disporli in modo tale da esporre la maggiore superficie libera per smaltire il calore prodotto durante il loro impiego.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i/>
          <w:iCs/>
          <w:color w:val="000000"/>
          <w:lang w:eastAsia="en-US"/>
        </w:rPr>
        <w:t xml:space="preserve">CAPITOLO 5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INFORMATIVA RELATIVA AL RISCHIO INCENDI PER IL LAVORO “AGILE”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Indicazioni generali</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identificare il luogo di lavoro (indirizzo esatto) e avere a disposizione i principali numeri telefonici dei soccorsi nazionali e locali (VVF, Polizia, ospedali,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rispettare il divieto di fumo laddove presente;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gettare mozziconi accesi nelle aree a verde all’esterno, nei vasi con piante e nei contenitori destinati ai rifiuti;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non ostruire le vie di esodo e non bloccare la chiusura delle eventuali porte tagliafuoco.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Comportamento per principio di incendio</w:t>
      </w:r>
      <w:r w:rsidRPr="00B2196C">
        <w:rPr>
          <w:rFonts w:eastAsiaTheme="minorHAnsi"/>
          <w:color w:val="000000"/>
          <w:lang w:eastAsia="en-US"/>
        </w:rPr>
        <w:t xml:space="preserv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mantenere la calma;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disattivare le utenze presenti (PC, termoconvettori, apparecchiature elettriche) staccandone anche le spine;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avvertire i presenti all’interno dell’edificio o nelle zone circostanti </w:t>
      </w:r>
      <w:r w:rsidRPr="00B2196C">
        <w:rPr>
          <w:rFonts w:eastAsiaTheme="minorHAnsi"/>
          <w:i/>
          <w:iCs/>
          <w:color w:val="000000"/>
          <w:lang w:eastAsia="en-US"/>
        </w:rPr>
        <w:t>outdoor</w:t>
      </w:r>
      <w:r w:rsidRPr="00B2196C">
        <w:rPr>
          <w:rFonts w:eastAsiaTheme="minorHAnsi"/>
          <w:color w:val="000000"/>
          <w:lang w:eastAsia="en-US"/>
        </w:rPr>
        <w:t xml:space="preserve">, chiedere aiuto e, nel caso si valuti l’impossibilità di agire, chiamare i soccorsi telefonicamente (VVF, Polizia, ecc.), fornendo loro cognome, luogo dell’evento, situazione, affollamento, ecc.;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se l’evento lo permette, in attesa o meno dell’arrivo di aiuto o dei soccorsi, provare a spegnere l’incendio attraverso i mezzi di estinzione presenti (acqua6, coperte7, estintori8, ecc.);- non utilizzare acqua per estinguere l’incendio su apparecchiature o parti di impianto elettrico o quantomeno prima di avere disattivato la tensione dal quadro elettrico;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6 È idonea allo spegnimento di incendi di manufatti in legno o in stoffa ma non per incendi che originano dall’impianto o da attrezzature elettriche.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7 In caso di principi di incendio dell’impianto elettrico o di altro tipo (purché si tratti di piccoli focolai) si possono utilizzare le coperte ignifughe o, in loro assenza, coperte di lana o di cotone spesso (evitare assolutamente materiali sintetici o di piume come i </w:t>
      </w:r>
      <w:r w:rsidRPr="00B2196C">
        <w:rPr>
          <w:rFonts w:eastAsiaTheme="minorHAnsi"/>
          <w:i/>
          <w:iCs/>
          <w:color w:val="000000"/>
          <w:lang w:eastAsia="en-US"/>
        </w:rPr>
        <w:t xml:space="preserve">pile </w:t>
      </w:r>
      <w:r w:rsidRPr="00B2196C">
        <w:rPr>
          <w:rFonts w:eastAsiaTheme="minorHAnsi"/>
          <w:color w:val="000000"/>
          <w:lang w:eastAsia="en-US"/>
        </w:rPr>
        <w:t xml:space="preserve">e i piumini) per soffocare il focolaio (si impedisce l’arrivo di ossigeno alla fiamma). Se particolarmente piccolo il focolaio può essere soffocato anche con un recipiente di metallo (ad es. un coperchio o una pentola di acciaio rovesciata).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8 ESTINTORI A POLVERE (ABC)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ESTINTORI AD ANIDRIDE CARBONICA (CO2)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CO2 risulta molto più pesante degli altri estintori a pari quantità di estinguente.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ISTRUZIONI PER L’UTILIZZO DELL’ESTINTORE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sganciare l’estintore dall’eventuale supporto e porlo a terra;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rompere il sigillo ed estrarre la spinetta di sicurezza;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impugnare il tubo erogatore o manichetta;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con l’altra mano, impugnata la maniglia dell’estintore, premere la valvola di apertura;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dirigere il getto alla base delle fiamme premendo la leva prima ad intermittenza e poi con maggiore progressione;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 iniziare lo spegnimento delle fiamme più vicine a sé e solo dopo verso il focolaio principale.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se non si riesce ad estinguere l’incendio, abbandonare il luogo dell’evento (chiudendo le porte dietro di sé ma non a chiave) e aspettare all’esterno l’arrivo dei soccorsi per fornire indicazioni;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se non è possibile abbandonare l’edificio, chiudersi all’interno di un’altra stanza tamponando la porta con panni umidi, se disponibili, per ostacolare la diffusione dei fumi all’interno, aprire la finestra e segnalare la propria presenza.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b/>
          <w:bCs/>
          <w:color w:val="000000"/>
          <w:lang w:eastAsia="en-US"/>
        </w:rPr>
        <w:t xml:space="preserve">Nel caso si svolga lavoro agile in luogo pubblico o come ospiti in altro luogo di lavoro privato è importante: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accertarsi dell’esistenza di divieti e limitazioni di esercizio imposti dalle strutture e rispettarli;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prendere visione, soprattutto nel piano dove si è collocati, delle piantine particolareggiate a parete, della dislocazione dei mezzi antincendio, dei pulsanti di allarme, delle vie di esodo;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visualizzare i numeri di emergenza interni che sono in genere riportati sulle piantine a parete (addetti lotta antincendio/emergenze/coordinatore per l’emergenza, ecc.);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leggere attentamente le indicazioni scritte e quelle grafiche riportate in planimetria;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rispettare il divieto di fumo;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evitare di creare ingombri alla circolazione lungo le vie di esodo;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segnalare al responsabile del luogo o ai lavoratori designati quali addetti ogni evento pericoloso, per persone e cose, rilevato nell’ambiente occupato.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 *** *** </w:t>
      </w:r>
    </w:p>
    <w:p w:rsidR="00B2196C" w:rsidRPr="00B2196C" w:rsidRDefault="00B2196C" w:rsidP="00B2196C">
      <w:pPr>
        <w:pageBreakBefore/>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lastRenderedPageBreak/>
        <w:t xml:space="preserve">Di seguito si riporta una tabella riepilogativa al fine di indicare in quali dei diversi scenari lavorativi dovranno trovare applicazione le informazioni contenute nei cinque capitoli di cui sopra.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Con la sottoscrizione del presente documento, il lavoratore attesta di aver preso conoscenza in modo puntuale del contenuto del medesimo e il Rappresentante dei lavoratori per la Sicurezza di averne condiviso pienamente il contenuto.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Data --/--/---- </w:t>
      </w:r>
    </w:p>
    <w:p w:rsidR="00B2196C" w:rsidRPr="00B2196C" w:rsidRDefault="00B2196C" w:rsidP="00B2196C">
      <w:pPr>
        <w:autoSpaceDE w:val="0"/>
        <w:autoSpaceDN w:val="0"/>
        <w:adjustRightInd w:val="0"/>
        <w:spacing w:line="360" w:lineRule="auto"/>
        <w:jc w:val="both"/>
        <w:rPr>
          <w:rFonts w:eastAsiaTheme="minorHAnsi"/>
          <w:color w:val="000000"/>
          <w:lang w:eastAsia="en-US"/>
        </w:rPr>
      </w:pPr>
      <w:r w:rsidRPr="00B2196C">
        <w:rPr>
          <w:rFonts w:eastAsiaTheme="minorHAnsi"/>
          <w:color w:val="000000"/>
          <w:lang w:eastAsia="en-US"/>
        </w:rPr>
        <w:t xml:space="preserve">Firma del Datore di Lavoro </w:t>
      </w:r>
    </w:p>
    <w:p w:rsidR="00AB50D1" w:rsidRPr="00B2196C" w:rsidRDefault="00B2196C" w:rsidP="00B2196C">
      <w:pPr>
        <w:spacing w:line="360" w:lineRule="auto"/>
        <w:jc w:val="both"/>
      </w:pPr>
      <w:r w:rsidRPr="00B2196C">
        <w:rPr>
          <w:rFonts w:eastAsiaTheme="minorHAnsi"/>
          <w:color w:val="000000"/>
          <w:lang w:eastAsia="en-US"/>
        </w:rPr>
        <w:t>Firma del Lavoratore</w:t>
      </w:r>
    </w:p>
    <w:sectPr w:rsidR="00AB50D1" w:rsidRPr="00B2196C" w:rsidSect="00AB50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3183"/>
    <w:multiLevelType w:val="hybridMultilevel"/>
    <w:tmpl w:val="382A0EC4"/>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131C4067"/>
    <w:multiLevelType w:val="multilevel"/>
    <w:tmpl w:val="E09A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414AC"/>
    <w:multiLevelType w:val="hybridMultilevel"/>
    <w:tmpl w:val="43E4D1C4"/>
    <w:lvl w:ilvl="0" w:tplc="FC500C02">
      <w:numFmt w:val="bullet"/>
      <w:lvlText w:val="-"/>
      <w:lvlJc w:val="left"/>
      <w:pPr>
        <w:ind w:left="135" w:hanging="164"/>
      </w:pPr>
      <w:rPr>
        <w:rFonts w:ascii="Calibri" w:eastAsia="Calibri" w:hAnsi="Calibri" w:cs="Calibri" w:hint="default"/>
        <w:w w:val="99"/>
        <w:sz w:val="20"/>
        <w:szCs w:val="20"/>
        <w:lang w:val="it-IT" w:eastAsia="it-IT" w:bidi="it-IT"/>
      </w:rPr>
    </w:lvl>
    <w:lvl w:ilvl="1" w:tplc="0FF455FA">
      <w:numFmt w:val="bullet"/>
      <w:lvlText w:val="•"/>
      <w:lvlJc w:val="left"/>
      <w:pPr>
        <w:ind w:left="1118" w:hanging="164"/>
      </w:pPr>
      <w:rPr>
        <w:lang w:val="it-IT" w:eastAsia="it-IT" w:bidi="it-IT"/>
      </w:rPr>
    </w:lvl>
    <w:lvl w:ilvl="2" w:tplc="E79AB940">
      <w:numFmt w:val="bullet"/>
      <w:lvlText w:val="•"/>
      <w:lvlJc w:val="left"/>
      <w:pPr>
        <w:ind w:left="2096" w:hanging="164"/>
      </w:pPr>
      <w:rPr>
        <w:lang w:val="it-IT" w:eastAsia="it-IT" w:bidi="it-IT"/>
      </w:rPr>
    </w:lvl>
    <w:lvl w:ilvl="3" w:tplc="4A5CFA84">
      <w:numFmt w:val="bullet"/>
      <w:lvlText w:val="•"/>
      <w:lvlJc w:val="left"/>
      <w:pPr>
        <w:ind w:left="3074" w:hanging="164"/>
      </w:pPr>
      <w:rPr>
        <w:lang w:val="it-IT" w:eastAsia="it-IT" w:bidi="it-IT"/>
      </w:rPr>
    </w:lvl>
    <w:lvl w:ilvl="4" w:tplc="20BE72B2">
      <w:numFmt w:val="bullet"/>
      <w:lvlText w:val="•"/>
      <w:lvlJc w:val="left"/>
      <w:pPr>
        <w:ind w:left="4052" w:hanging="164"/>
      </w:pPr>
      <w:rPr>
        <w:lang w:val="it-IT" w:eastAsia="it-IT" w:bidi="it-IT"/>
      </w:rPr>
    </w:lvl>
    <w:lvl w:ilvl="5" w:tplc="9832490A">
      <w:numFmt w:val="bullet"/>
      <w:lvlText w:val="•"/>
      <w:lvlJc w:val="left"/>
      <w:pPr>
        <w:ind w:left="5030" w:hanging="164"/>
      </w:pPr>
      <w:rPr>
        <w:lang w:val="it-IT" w:eastAsia="it-IT" w:bidi="it-IT"/>
      </w:rPr>
    </w:lvl>
    <w:lvl w:ilvl="6" w:tplc="5AA62480">
      <w:numFmt w:val="bullet"/>
      <w:lvlText w:val="•"/>
      <w:lvlJc w:val="left"/>
      <w:pPr>
        <w:ind w:left="6008" w:hanging="164"/>
      </w:pPr>
      <w:rPr>
        <w:lang w:val="it-IT" w:eastAsia="it-IT" w:bidi="it-IT"/>
      </w:rPr>
    </w:lvl>
    <w:lvl w:ilvl="7" w:tplc="C36A479C">
      <w:numFmt w:val="bullet"/>
      <w:lvlText w:val="•"/>
      <w:lvlJc w:val="left"/>
      <w:pPr>
        <w:ind w:left="6986" w:hanging="164"/>
      </w:pPr>
      <w:rPr>
        <w:lang w:val="it-IT" w:eastAsia="it-IT" w:bidi="it-IT"/>
      </w:rPr>
    </w:lvl>
    <w:lvl w:ilvl="8" w:tplc="7EB21068">
      <w:numFmt w:val="bullet"/>
      <w:lvlText w:val="•"/>
      <w:lvlJc w:val="left"/>
      <w:pPr>
        <w:ind w:left="7964" w:hanging="164"/>
      </w:pPr>
      <w:rPr>
        <w:lang w:val="it-IT" w:eastAsia="it-IT" w:bidi="it-I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08F7"/>
    <w:rsid w:val="00147E39"/>
    <w:rsid w:val="00322F24"/>
    <w:rsid w:val="003F65B4"/>
    <w:rsid w:val="004D2FED"/>
    <w:rsid w:val="005E08F7"/>
    <w:rsid w:val="00660903"/>
    <w:rsid w:val="006F1349"/>
    <w:rsid w:val="008044E6"/>
    <w:rsid w:val="008A3874"/>
    <w:rsid w:val="008B1537"/>
    <w:rsid w:val="00947C30"/>
    <w:rsid w:val="00AB50D1"/>
    <w:rsid w:val="00AB6F8C"/>
    <w:rsid w:val="00B2196C"/>
    <w:rsid w:val="00CE365B"/>
    <w:rsid w:val="00F71D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08F7"/>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1DB9"/>
    <w:pPr>
      <w:spacing w:before="100" w:beforeAutospacing="1" w:after="100" w:afterAutospacing="1"/>
    </w:pPr>
    <w:rPr>
      <w:rFonts w:eastAsia="Times New Roman"/>
    </w:rPr>
  </w:style>
  <w:style w:type="character" w:styleId="Enfasigrassetto">
    <w:name w:val="Strong"/>
    <w:basedOn w:val="Carpredefinitoparagrafo"/>
    <w:uiPriority w:val="22"/>
    <w:qFormat/>
    <w:rsid w:val="00F71DB9"/>
    <w:rPr>
      <w:b/>
      <w:bCs/>
    </w:rPr>
  </w:style>
  <w:style w:type="character" w:styleId="Collegamentoipertestuale">
    <w:name w:val="Hyperlink"/>
    <w:basedOn w:val="Carpredefinitoparagrafo"/>
    <w:uiPriority w:val="99"/>
    <w:semiHidden/>
    <w:unhideWhenUsed/>
    <w:rsid w:val="00F71DB9"/>
    <w:rPr>
      <w:color w:val="0000FF"/>
      <w:u w:val="single"/>
    </w:rPr>
  </w:style>
  <w:style w:type="paragraph" w:styleId="Corpodeltesto">
    <w:name w:val="Body Text"/>
    <w:basedOn w:val="Normale"/>
    <w:link w:val="CorpodeltestoCarattere"/>
    <w:uiPriority w:val="1"/>
    <w:semiHidden/>
    <w:unhideWhenUsed/>
    <w:qFormat/>
    <w:rsid w:val="00322F24"/>
    <w:pPr>
      <w:widowControl w:val="0"/>
      <w:autoSpaceDE w:val="0"/>
      <w:autoSpaceDN w:val="0"/>
    </w:pPr>
    <w:rPr>
      <w:rFonts w:ascii="Calibri" w:eastAsia="Calibri" w:hAnsi="Calibri" w:cs="Calibri"/>
      <w:sz w:val="20"/>
      <w:szCs w:val="20"/>
      <w:lang w:bidi="it-IT"/>
    </w:rPr>
  </w:style>
  <w:style w:type="character" w:customStyle="1" w:styleId="CorpodeltestoCarattere">
    <w:name w:val="Corpo del testo Carattere"/>
    <w:basedOn w:val="Carpredefinitoparagrafo"/>
    <w:link w:val="Corpodeltesto"/>
    <w:uiPriority w:val="1"/>
    <w:semiHidden/>
    <w:rsid w:val="00322F24"/>
    <w:rPr>
      <w:rFonts w:ascii="Calibri" w:eastAsia="Calibri" w:hAnsi="Calibri" w:cs="Calibri"/>
      <w:sz w:val="20"/>
      <w:szCs w:val="20"/>
      <w:lang w:eastAsia="it-IT" w:bidi="it-IT"/>
    </w:rPr>
  </w:style>
  <w:style w:type="paragraph" w:styleId="Paragrafoelenco">
    <w:name w:val="List Paragraph"/>
    <w:basedOn w:val="Normale"/>
    <w:uiPriority w:val="1"/>
    <w:qFormat/>
    <w:rsid w:val="00322F24"/>
    <w:pPr>
      <w:widowControl w:val="0"/>
      <w:autoSpaceDE w:val="0"/>
      <w:autoSpaceDN w:val="0"/>
      <w:ind w:left="135" w:right="146"/>
    </w:pPr>
    <w:rPr>
      <w:rFonts w:ascii="Calibri" w:eastAsia="Calibri" w:hAnsi="Calibri" w:cs="Calibri"/>
      <w:sz w:val="22"/>
      <w:szCs w:val="22"/>
      <w:lang w:bidi="it-IT"/>
    </w:rPr>
  </w:style>
  <w:style w:type="paragraph" w:customStyle="1" w:styleId="Heading1">
    <w:name w:val="Heading 1"/>
    <w:basedOn w:val="Normale"/>
    <w:uiPriority w:val="1"/>
    <w:qFormat/>
    <w:rsid w:val="00322F24"/>
    <w:pPr>
      <w:widowControl w:val="0"/>
      <w:autoSpaceDE w:val="0"/>
      <w:autoSpaceDN w:val="0"/>
      <w:ind w:left="1977"/>
      <w:outlineLvl w:val="1"/>
    </w:pPr>
    <w:rPr>
      <w:rFonts w:ascii="Calibri" w:eastAsia="Calibri" w:hAnsi="Calibri" w:cs="Calibri"/>
      <w:b/>
      <w:bCs/>
      <w:sz w:val="20"/>
      <w:szCs w:val="20"/>
      <w:lang w:bidi="it-IT"/>
    </w:rPr>
  </w:style>
  <w:style w:type="character" w:customStyle="1" w:styleId="result">
    <w:name w:val="result"/>
    <w:basedOn w:val="Carpredefinitoparagrafo"/>
    <w:rsid w:val="003F65B4"/>
  </w:style>
  <w:style w:type="character" w:customStyle="1" w:styleId="mdresult">
    <w:name w:val="mdresult"/>
    <w:basedOn w:val="Carpredefinitoparagrafo"/>
    <w:rsid w:val="003F65B4"/>
  </w:style>
  <w:style w:type="paragraph" w:customStyle="1" w:styleId="Default">
    <w:name w:val="Default"/>
    <w:rsid w:val="008B1537"/>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556167567">
      <w:bodyDiv w:val="1"/>
      <w:marLeft w:val="0"/>
      <w:marRight w:val="0"/>
      <w:marTop w:val="0"/>
      <w:marBottom w:val="0"/>
      <w:divBdr>
        <w:top w:val="none" w:sz="0" w:space="0" w:color="auto"/>
        <w:left w:val="none" w:sz="0" w:space="0" w:color="auto"/>
        <w:bottom w:val="none" w:sz="0" w:space="0" w:color="auto"/>
        <w:right w:val="none" w:sz="0" w:space="0" w:color="auto"/>
      </w:divBdr>
    </w:div>
    <w:div w:id="1182860542">
      <w:bodyDiv w:val="1"/>
      <w:marLeft w:val="0"/>
      <w:marRight w:val="0"/>
      <w:marTop w:val="0"/>
      <w:marBottom w:val="0"/>
      <w:divBdr>
        <w:top w:val="none" w:sz="0" w:space="0" w:color="auto"/>
        <w:left w:val="none" w:sz="0" w:space="0" w:color="auto"/>
        <w:bottom w:val="none" w:sz="0" w:space="0" w:color="auto"/>
        <w:right w:val="none" w:sz="0" w:space="0" w:color="auto"/>
      </w:divBdr>
    </w:div>
    <w:div w:id="1239248971">
      <w:bodyDiv w:val="1"/>
      <w:marLeft w:val="0"/>
      <w:marRight w:val="0"/>
      <w:marTop w:val="0"/>
      <w:marBottom w:val="0"/>
      <w:divBdr>
        <w:top w:val="none" w:sz="0" w:space="0" w:color="auto"/>
        <w:left w:val="none" w:sz="0" w:space="0" w:color="auto"/>
        <w:bottom w:val="none" w:sz="0" w:space="0" w:color="auto"/>
        <w:right w:val="none" w:sz="0" w:space="0" w:color="auto"/>
      </w:divBdr>
      <w:divsChild>
        <w:div w:id="18090090">
          <w:marLeft w:val="0"/>
          <w:marRight w:val="0"/>
          <w:marTop w:val="0"/>
          <w:marBottom w:val="0"/>
          <w:divBdr>
            <w:top w:val="none" w:sz="0" w:space="0" w:color="auto"/>
            <w:left w:val="none" w:sz="0" w:space="0" w:color="auto"/>
            <w:bottom w:val="none" w:sz="0" w:space="0" w:color="auto"/>
            <w:right w:val="none" w:sz="0" w:space="0" w:color="auto"/>
          </w:divBdr>
          <w:divsChild>
            <w:div w:id="225529645">
              <w:marLeft w:val="0"/>
              <w:marRight w:val="0"/>
              <w:marTop w:val="0"/>
              <w:marBottom w:val="0"/>
              <w:divBdr>
                <w:top w:val="none" w:sz="0" w:space="0" w:color="auto"/>
                <w:left w:val="none" w:sz="0" w:space="0" w:color="auto"/>
                <w:bottom w:val="none" w:sz="0" w:space="0" w:color="auto"/>
                <w:right w:val="none" w:sz="0" w:space="0" w:color="auto"/>
              </w:divBdr>
              <w:divsChild>
                <w:div w:id="1402214112">
                  <w:marLeft w:val="0"/>
                  <w:marRight w:val="0"/>
                  <w:marTop w:val="0"/>
                  <w:marBottom w:val="0"/>
                  <w:divBdr>
                    <w:top w:val="none" w:sz="0" w:space="0" w:color="auto"/>
                    <w:left w:val="none" w:sz="0" w:space="0" w:color="auto"/>
                    <w:bottom w:val="none" w:sz="0" w:space="0" w:color="auto"/>
                    <w:right w:val="none" w:sz="0" w:space="0" w:color="auto"/>
                  </w:divBdr>
                  <w:divsChild>
                    <w:div w:id="596064842">
                      <w:marLeft w:val="0"/>
                      <w:marRight w:val="0"/>
                      <w:marTop w:val="0"/>
                      <w:marBottom w:val="0"/>
                      <w:divBdr>
                        <w:top w:val="none" w:sz="0" w:space="0" w:color="auto"/>
                        <w:left w:val="none" w:sz="0" w:space="0" w:color="auto"/>
                        <w:bottom w:val="none" w:sz="0" w:space="0" w:color="auto"/>
                        <w:right w:val="none" w:sz="0" w:space="0" w:color="auto"/>
                      </w:divBdr>
                      <w:divsChild>
                        <w:div w:id="11717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374385">
      <w:bodyDiv w:val="1"/>
      <w:marLeft w:val="0"/>
      <w:marRight w:val="0"/>
      <w:marTop w:val="0"/>
      <w:marBottom w:val="0"/>
      <w:divBdr>
        <w:top w:val="none" w:sz="0" w:space="0" w:color="auto"/>
        <w:left w:val="none" w:sz="0" w:space="0" w:color="auto"/>
        <w:bottom w:val="none" w:sz="0" w:space="0" w:color="auto"/>
        <w:right w:val="none" w:sz="0" w:space="0" w:color="auto"/>
      </w:divBdr>
      <w:divsChild>
        <w:div w:id="29472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4616</Words>
  <Characters>26317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Isidori</dc:creator>
  <cp:lastModifiedBy>Isidori</cp:lastModifiedBy>
  <cp:revision>2</cp:revision>
  <cp:lastPrinted>2020-03-09T16:44:00Z</cp:lastPrinted>
  <dcterms:created xsi:type="dcterms:W3CDTF">2020-03-11T12:03:00Z</dcterms:created>
  <dcterms:modified xsi:type="dcterms:W3CDTF">2020-03-11T12:03:00Z</dcterms:modified>
</cp:coreProperties>
</file>