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5" w:type="dxa"/>
        <w:tblInd w:w="-1064" w:type="dxa"/>
        <w:tblCellMar>
          <w:left w:w="70" w:type="dxa"/>
          <w:right w:w="70" w:type="dxa"/>
        </w:tblCellMar>
        <w:tblLook w:val="04A0"/>
      </w:tblPr>
      <w:tblGrid>
        <w:gridCol w:w="146"/>
        <w:gridCol w:w="4674"/>
        <w:gridCol w:w="6739"/>
        <w:gridCol w:w="146"/>
      </w:tblGrid>
      <w:tr w:rsidR="00ED6D9F" w:rsidRPr="00A57C2C" w:rsidTr="0063751B">
        <w:trPr>
          <w:trHeight w:val="135"/>
        </w:trPr>
        <w:tc>
          <w:tcPr>
            <w:tcW w:w="0" w:type="auto"/>
            <w:tcBorders>
              <w:top w:val="nil"/>
              <w:left w:val="nil"/>
              <w:bottom w:val="nil"/>
              <w:right w:val="nil"/>
            </w:tcBorders>
            <w:shd w:val="clear" w:color="auto" w:fill="auto"/>
            <w:noWrap/>
            <w:vAlign w:val="bottom"/>
            <w:hideMark/>
          </w:tcPr>
          <w:p w:rsidR="00ED6D9F" w:rsidRPr="00BD76D3" w:rsidRDefault="00ED6D9F" w:rsidP="00BD76D3">
            <w:pPr>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BD76D3">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ED6D9F" w:rsidRPr="00BD76D3" w:rsidRDefault="00ED6D9F" w:rsidP="00BD76D3">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ED6D9F" w:rsidRPr="00BD76D3" w:rsidRDefault="00ED6D9F" w:rsidP="00BD76D3">
            <w:pPr>
              <w:jc w:val="center"/>
              <w:rPr>
                <w:rFonts w:eastAsia="Times New Roman"/>
                <w:color w:val="000000"/>
                <w:sz w:val="20"/>
                <w:szCs w:val="20"/>
              </w:rPr>
            </w:pPr>
          </w:p>
        </w:tc>
      </w:tr>
      <w:tr w:rsidR="00ED6D9F" w:rsidRPr="00A57C2C" w:rsidTr="0063751B">
        <w:trPr>
          <w:trHeight w:val="960"/>
        </w:trPr>
        <w:tc>
          <w:tcPr>
            <w:tcW w:w="0" w:type="auto"/>
            <w:tcBorders>
              <w:top w:val="nil"/>
              <w:left w:val="nil"/>
              <w:bottom w:val="nil"/>
              <w:right w:val="nil"/>
            </w:tcBorders>
            <w:shd w:val="clear" w:color="auto" w:fill="auto"/>
            <w:noWrap/>
            <w:vAlign w:val="bottom"/>
            <w:hideMark/>
          </w:tcPr>
          <w:p w:rsidR="00ED6D9F" w:rsidRPr="00BD76D3" w:rsidRDefault="00ED6D9F" w:rsidP="00BD76D3">
            <w:pPr>
              <w:rPr>
                <w:rFonts w:eastAsia="Times New Roman"/>
                <w:color w:val="000000"/>
                <w:sz w:val="20"/>
                <w:szCs w:val="20"/>
              </w:rPr>
            </w:pPr>
          </w:p>
        </w:tc>
        <w:tc>
          <w:tcPr>
            <w:tcW w:w="4674" w:type="dxa"/>
            <w:tcBorders>
              <w:top w:val="nil"/>
              <w:left w:val="nil"/>
              <w:bottom w:val="nil"/>
              <w:right w:val="nil"/>
            </w:tcBorders>
            <w:shd w:val="clear" w:color="000000" w:fill="CCCCFF"/>
            <w:noWrap/>
            <w:vAlign w:val="center"/>
            <w:hideMark/>
          </w:tcPr>
          <w:p w:rsidR="00ED6D9F" w:rsidRPr="00BD76D3" w:rsidRDefault="00ED6D9F" w:rsidP="00BD76D3">
            <w:pPr>
              <w:rPr>
                <w:rFonts w:eastAsia="Times New Roman"/>
                <w:b/>
                <w:bCs/>
                <w:color w:val="000000"/>
                <w:sz w:val="20"/>
                <w:szCs w:val="20"/>
              </w:rPr>
            </w:pPr>
            <w:r w:rsidRPr="00BD76D3">
              <w:rPr>
                <w:rFonts w:eastAsia="Times New Roman"/>
                <w:b/>
                <w:bCs/>
                <w:color w:val="000000"/>
                <w:sz w:val="20"/>
                <w:szCs w:val="20"/>
              </w:rPr>
              <w:t xml:space="preserve">Processi sottoposti a valutazione del rischio </w:t>
            </w:r>
          </w:p>
        </w:tc>
        <w:tc>
          <w:tcPr>
            <w:tcW w:w="0" w:type="auto"/>
            <w:tcBorders>
              <w:top w:val="nil"/>
              <w:left w:val="nil"/>
              <w:bottom w:val="nil"/>
              <w:right w:val="nil"/>
            </w:tcBorders>
            <w:shd w:val="clear" w:color="000000" w:fill="CCCCFF"/>
            <w:noWrap/>
            <w:vAlign w:val="center"/>
            <w:hideMark/>
          </w:tcPr>
          <w:p w:rsidR="00ED6D9F" w:rsidRPr="00BD76D3" w:rsidRDefault="00ED6D9F" w:rsidP="00BD76D3">
            <w:pPr>
              <w:rPr>
                <w:rFonts w:eastAsia="Times New Roman"/>
                <w:b/>
                <w:bCs/>
                <w:color w:val="000000"/>
                <w:sz w:val="20"/>
                <w:szCs w:val="20"/>
              </w:rPr>
            </w:pPr>
            <w:r w:rsidRPr="00BD76D3">
              <w:rPr>
                <w:rFonts w:eastAsia="Times New Roman"/>
                <w:b/>
                <w:bCs/>
                <w:color w:val="000000"/>
                <w:sz w:val="20"/>
                <w:szCs w:val="20"/>
              </w:rPr>
              <w:t>Misure specifiche da adottare nel triennio per ridurre ulteriormente il rischio</w:t>
            </w:r>
          </w:p>
        </w:tc>
        <w:tc>
          <w:tcPr>
            <w:tcW w:w="0" w:type="auto"/>
            <w:tcBorders>
              <w:top w:val="nil"/>
              <w:left w:val="nil"/>
              <w:bottom w:val="nil"/>
              <w:right w:val="nil"/>
            </w:tcBorders>
            <w:shd w:val="clear" w:color="auto" w:fill="auto"/>
            <w:noWrap/>
            <w:vAlign w:val="bottom"/>
            <w:hideMark/>
          </w:tcPr>
          <w:p w:rsidR="00ED6D9F" w:rsidRPr="00BD76D3" w:rsidRDefault="00ED6D9F" w:rsidP="00BD76D3">
            <w:pPr>
              <w:jc w:val="center"/>
              <w:rPr>
                <w:rFonts w:eastAsia="Times New Roman"/>
                <w:color w:val="000000"/>
                <w:sz w:val="20"/>
                <w:szCs w:val="20"/>
              </w:rPr>
            </w:pPr>
          </w:p>
        </w:tc>
      </w:tr>
      <w:tr w:rsidR="00ED6D9F" w:rsidRPr="00A57C2C" w:rsidTr="0063751B">
        <w:trPr>
          <w:trHeight w:val="300"/>
        </w:trPr>
        <w:tc>
          <w:tcPr>
            <w:tcW w:w="0" w:type="auto"/>
            <w:tcBorders>
              <w:top w:val="nil"/>
              <w:left w:val="nil"/>
              <w:bottom w:val="nil"/>
              <w:right w:val="nil"/>
            </w:tcBorders>
            <w:shd w:val="clear" w:color="auto" w:fill="auto"/>
            <w:noWrap/>
            <w:vAlign w:val="bottom"/>
            <w:hideMark/>
          </w:tcPr>
          <w:p w:rsidR="00ED6D9F" w:rsidRPr="00BD76D3" w:rsidRDefault="00ED6D9F" w:rsidP="00BD76D3">
            <w:pPr>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BD76D3">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ED6D9F" w:rsidRPr="00BD76D3" w:rsidRDefault="00ED6D9F" w:rsidP="00BD76D3">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ED6D9F" w:rsidRPr="00BD76D3" w:rsidRDefault="00ED6D9F" w:rsidP="00BD76D3">
            <w:pPr>
              <w:rPr>
                <w:rFonts w:eastAsia="Times New Roman"/>
                <w:color w:val="000000"/>
                <w:sz w:val="20"/>
                <w:szCs w:val="20"/>
              </w:rPr>
            </w:pPr>
          </w:p>
        </w:tc>
      </w:tr>
      <w:tr w:rsidR="00ED6D9F" w:rsidRPr="00A57C2C" w:rsidTr="0063751B">
        <w:trPr>
          <w:trHeight w:val="15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ind w:left="-656" w:firstLine="656"/>
              <w:jc w:val="both"/>
              <w:rPr>
                <w:rFonts w:eastAsia="Times New Roman"/>
                <w:color w:val="000000"/>
                <w:sz w:val="20"/>
                <w:szCs w:val="20"/>
              </w:rPr>
            </w:pPr>
            <w:r w:rsidRPr="00BD76D3">
              <w:rPr>
                <w:rFonts w:eastAsia="Times New Roman"/>
                <w:color w:val="000000"/>
                <w:sz w:val="20"/>
                <w:szCs w:val="20"/>
              </w:rPr>
              <w:t>01 - Concorso per l'assunzione di personale</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I due fattori maggiori di rischio corruttivo sono legati alla rilevanza esterna del processo e al suo impatto economico. Si ritiene pertanto necessario adottare ogni misura possibile affinché le commissioni di concorso si adoperino nella massima trasparenza. All'uopo sarà utile dotarsi di uno </w:t>
            </w:r>
            <w:r w:rsidRPr="00BD76D3">
              <w:rPr>
                <w:rFonts w:eastAsia="Times New Roman"/>
                <w:b/>
                <w:bCs/>
                <w:color w:val="000000"/>
                <w:sz w:val="20"/>
                <w:szCs w:val="20"/>
              </w:rPr>
              <w:t>specifico regolamento</w:t>
            </w:r>
            <w:r w:rsidRPr="00BD76D3">
              <w:rPr>
                <w:rFonts w:eastAsia="Times New Roman"/>
                <w:color w:val="000000"/>
                <w:sz w:val="20"/>
                <w:szCs w:val="20"/>
              </w:rPr>
              <w:t xml:space="preserve"> e adottare ogni cautela per la </w:t>
            </w:r>
            <w:r w:rsidRPr="00BD76D3">
              <w:rPr>
                <w:rFonts w:eastAsia="Times New Roman"/>
                <w:b/>
                <w:bCs/>
                <w:color w:val="000000"/>
                <w:sz w:val="20"/>
                <w:szCs w:val="20"/>
              </w:rPr>
              <w:t>verifica dell'assenza di cause di incompatibilità e di conflitto di interessi</w:t>
            </w:r>
            <w:r w:rsidRPr="00BD76D3">
              <w:rPr>
                <w:rFonts w:eastAsia="Times New Roman"/>
                <w:color w:val="000000"/>
                <w:sz w:val="20"/>
                <w:szCs w:val="20"/>
              </w:rPr>
              <w:t xml:space="preserve"> dei membri della commissione.</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5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02 - Concorso per la progressione in carriera del personale </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Rispetto al processo n. 1, in questo caso il rischio è minore, per il maggiore controllo interno e il minore impatto esterno. In ogni caso risulta anche qui necessario adottare ogni misura possibile affinché le commissioni di concorso si adoperino nella massima trasparenza, disponendo la pubblicazione più ampia e tempestiva possibile dei verbali di concorso dai quali, specie per i soggetti utilmente posti in graduatoria, risultino chiaramente i criteri di valutazione.</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8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03 - Selezione per l'affidamento di un incarico professionale </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Pur con i recenti correttivi delle norme che obbligano a fare un piano preliminare e con delle forti limitazione della spesa, questo processo può nascondere una certa pericolosità corruttiva in relazione alle valutazioni di merito che, in via preliminare hanno det</w:t>
            </w:r>
            <w:r w:rsidR="0063751B">
              <w:rPr>
                <w:rFonts w:eastAsia="Times New Roman"/>
                <w:color w:val="000000"/>
                <w:sz w:val="20"/>
                <w:szCs w:val="20"/>
              </w:rPr>
              <w:t>e</w:t>
            </w:r>
            <w:r w:rsidRPr="00BD76D3">
              <w:rPr>
                <w:rFonts w:eastAsia="Times New Roman"/>
                <w:color w:val="000000"/>
                <w:sz w:val="20"/>
                <w:szCs w:val="20"/>
              </w:rPr>
              <w:t xml:space="preserve">rminato l'esigenza di ricorrere a figure esterne all'amministrazione e all'ammontare del corrispettivo, comunque denominato. </w:t>
            </w:r>
            <w:r w:rsidRPr="00BD76D3">
              <w:rPr>
                <w:rFonts w:eastAsia="Times New Roman"/>
                <w:b/>
                <w:bCs/>
                <w:color w:val="000000"/>
                <w:sz w:val="20"/>
                <w:szCs w:val="20"/>
              </w:rPr>
              <w:t>Si ritiene pertanto necessario disporre che il RPCT venga fatto destinatario per opportuna conoscenza di tutti i provvedimenti di impegno di spesa relativi a corrispettivi particolarmente rilevanti.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24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04 - Affidamento mediante procedura aperta (o ristretta) di lavori, servizi, forniture</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Le recenti novità che obbligano al ricorso al mercato elettronico e alla limitazione solo a determinate forniture di meccanismi semplificati di gara, sembrerebbero aver ridotto molto il rischio corruttivo. Risulta però necessaria, anche a campione, un </w:t>
            </w:r>
            <w:r w:rsidRPr="00BD76D3">
              <w:rPr>
                <w:rFonts w:eastAsia="Times New Roman"/>
                <w:b/>
                <w:bCs/>
                <w:color w:val="000000"/>
                <w:sz w:val="20"/>
                <w:szCs w:val="20"/>
              </w:rPr>
              <w:t>controllo dei vari passaggi di gara</w:t>
            </w:r>
            <w:r w:rsidRPr="00BD76D3">
              <w:rPr>
                <w:rFonts w:eastAsia="Times New Roman"/>
                <w:color w:val="000000"/>
                <w:sz w:val="20"/>
                <w:szCs w:val="20"/>
              </w:rPr>
              <w:t>, anche in contraddittorio con i respons</w:t>
            </w:r>
            <w:r w:rsidR="00A57C2C">
              <w:rPr>
                <w:rFonts w:eastAsia="Times New Roman"/>
                <w:color w:val="000000"/>
                <w:sz w:val="20"/>
                <w:szCs w:val="20"/>
              </w:rPr>
              <w:t>a</w:t>
            </w:r>
            <w:r w:rsidRPr="00BD76D3">
              <w:rPr>
                <w:rFonts w:eastAsia="Times New Roman"/>
                <w:color w:val="000000"/>
                <w:sz w:val="20"/>
                <w:szCs w:val="20"/>
              </w:rPr>
              <w:t>bili delle varie fasi, richiamando preventivamente tutti i soggetti all'applicazione ferrea delle norme esistenti a tutela della concorrenza e dell'economicità delle procedure, prima ancora che della corruzione, che spesso si concretizza proprio in provvedimenti antieconomici per la nostra amministrazione. Inoltre si richiede ai Responsabili di effettuare una</w:t>
            </w:r>
            <w:r w:rsidRPr="00BD76D3">
              <w:rPr>
                <w:rFonts w:eastAsia="Times New Roman"/>
                <w:b/>
                <w:bCs/>
                <w:color w:val="000000"/>
                <w:sz w:val="20"/>
                <w:szCs w:val="20"/>
              </w:rPr>
              <w:t xml:space="preserve"> relazione quadrimestrale dalla quale si possa rilevare il numero e la tipologia di affidamenti effettuati.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24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05 - Affidamento diretto di lavori, servizi o forniture</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Le recenti novità che obbligano al ricorso al mercato elettronico e alla limitazione solo a det</w:t>
            </w:r>
            <w:r w:rsidR="00A57C2C">
              <w:rPr>
                <w:rFonts w:eastAsia="Times New Roman"/>
                <w:color w:val="000000"/>
                <w:sz w:val="20"/>
                <w:szCs w:val="20"/>
              </w:rPr>
              <w:t>er</w:t>
            </w:r>
            <w:r w:rsidRPr="00BD76D3">
              <w:rPr>
                <w:rFonts w:eastAsia="Times New Roman"/>
                <w:color w:val="000000"/>
                <w:sz w:val="20"/>
                <w:szCs w:val="20"/>
              </w:rPr>
              <w:t xml:space="preserve">minate forniture di meccanismi semplificati di gara, sembrerebbero aver ridotto molto il rischio corruttivo. Risulta però necessaria, anche a campione, una </w:t>
            </w:r>
            <w:proofErr w:type="spellStart"/>
            <w:r w:rsidRPr="00BD76D3">
              <w:rPr>
                <w:rFonts w:eastAsia="Times New Roman"/>
                <w:color w:val="000000"/>
                <w:sz w:val="20"/>
                <w:szCs w:val="20"/>
              </w:rPr>
              <w:t>profilazione</w:t>
            </w:r>
            <w:proofErr w:type="spellEnd"/>
            <w:r w:rsidRPr="00BD76D3">
              <w:rPr>
                <w:rFonts w:eastAsia="Times New Roman"/>
                <w:color w:val="000000"/>
                <w:sz w:val="20"/>
                <w:szCs w:val="20"/>
              </w:rPr>
              <w:t xml:space="preserve"> a consuntivo dei vari passaggi di gara, anche in contraddittorio con i respons</w:t>
            </w:r>
            <w:r w:rsidR="00A57C2C">
              <w:rPr>
                <w:rFonts w:eastAsia="Times New Roman"/>
                <w:color w:val="000000"/>
                <w:sz w:val="20"/>
                <w:szCs w:val="20"/>
              </w:rPr>
              <w:t>a</w:t>
            </w:r>
            <w:r w:rsidRPr="00BD76D3">
              <w:rPr>
                <w:rFonts w:eastAsia="Times New Roman"/>
                <w:color w:val="000000"/>
                <w:sz w:val="20"/>
                <w:szCs w:val="20"/>
              </w:rPr>
              <w:t>bili delle varie fasi, richiamando preventivamente tutti i soggetti all'applicazione ferrea delle norme esistenti a tutela della concorrenza e dell'economicità delle procedure, prima ancora che della corruzione, che spesso si concretizza proprio in provvedimenti antieconomici per la nostra amministrazione. Inoltre si richiede ai Responsabili di effettuare una</w:t>
            </w:r>
            <w:r w:rsidRPr="00BD76D3">
              <w:rPr>
                <w:rFonts w:eastAsia="Times New Roman"/>
                <w:b/>
                <w:bCs/>
                <w:color w:val="000000"/>
                <w:sz w:val="20"/>
                <w:szCs w:val="20"/>
              </w:rPr>
              <w:t xml:space="preserve"> comunicazione mensile dalla quale si possa rilevare il numero di affidamenti diretti di lavori, servizi e forniture effettuati.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2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06 - Permesso di costruire</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L'accesso agli uffici dei progettisti professionisti, degli impresari edili e dei proprietari di terreni edificabili o edifici che possono essere oggetto di interventi dovrà essere disciplinato in modo chiaro e basato su principi previamente definiti. In caso di varianti si dovrà dare conto nei provvedimenti finali delle motivazioni che hanno portato al rilascio.</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5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07 - Permesso di costruire in aree assoggettate ad autorizzazione paesaggistica</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In questo caso, oltre ai documenti di legge e a quanto previsto nella scheda n. 6, qui integralmente richiamato, si rende necessario uno studio del responsabile del servizio, preliminare ad ogni progetto approvato di questo tipo, che valuti anche i requisiti soggettivi del destinatario o di chi ne trae vantaggio, al fine di evitare che detti provvedimenti si risolvano in atti, seppure corretti formalmente, a favore di pratiche censurabili.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21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08 - Concessione di sovvenzioni, contributi, sussidi, ausili finanziari, nonché attribuzione di vantaggi economici di qualunque genere </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Il rischio corruttivo insito in questo processo e nelle varie fasi può essere abbattuto solo se si adottano criteri oggettivi di corresponsione dei benefici e con procedimenti che siano il più possibile rigidi, dove cioè non ci siano margini di discrezionalità. I processi dovranno essere avviati sulla base del regolamento adottato dall'Ente con D. C. C. n. 45 del 27.12.2018 o, in caso di particolari contributi, sulla base  di un bando pubblico; si dovrà fornire una modulistica che non permetta da parte di nessuno di avvalersi di "scorciatoie" procedimentali e, con le dovute cautele relative alla riservatezza dei dati personali, dovrà essere data la più ampia pubblicità possibile ai provvedimenti di liquidazione.</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8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09 - Provvedimenti di pianificazione urbanistica generale</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Anche in questo processo vengono richiamate e si auspica l'applicazione delle misure di cui alle schede 6 e 7. In più, visto che i processi di pianificazione generale hanno una durata temporale molto lunga, andrà tenuta memoria dei vari passaggi e in caso di "oggetti di previsione" particolarmente impattanti sia a livello finanziario che urbanistico, si dovrà vigilare in particolare sui beneficiari affinché non abbiamo alcun "contatto" che non sia esclusivamente tecnico, con i tecnici che pianificano e con gli amministratori che decidono.</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8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10 - Provvedimenti di pianificazione urbanistica attuativa</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Anche in questo processo vengono richiamate e si auspica l'applicazione delle misure di cui alle schede 6 e 7. In più, visto che i processi di pianificazione generale hanno una durata temporale molto lunga, andrà tenuta memoria dei vari passaggi e in caso di "oggetti di previsione" particolarmente impattanti sia a livello finanziario che urbanistico, si dovrà vigilare in particolare sui beneficiari affinché non abbiamo alcun "contatto" che non sia esclusivamente tecnico, con i tecnici che pianificano e con gli amministratori che decidono.</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6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11 - Levata dei protesti </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Quando il segretario esercita questa funzione, lo fa sempre alla presenza di un suo collaboratore che sia in grado in ogni momento di testimoniare dell'integrità dei suoi comportamenti. </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5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12 - Gestione delle sanzioni per violazione del CDS</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L'attività di accertamento delle violazioni dovrà sempre </w:t>
            </w:r>
            <w:proofErr w:type="spellStart"/>
            <w:r w:rsidRPr="00BD76D3">
              <w:rPr>
                <w:rFonts w:eastAsia="Times New Roman"/>
                <w:color w:val="000000"/>
                <w:sz w:val="20"/>
                <w:szCs w:val="20"/>
              </w:rPr>
              <w:t>avventire</w:t>
            </w:r>
            <w:proofErr w:type="spellEnd"/>
            <w:r w:rsidRPr="00BD76D3">
              <w:rPr>
                <w:rFonts w:eastAsia="Times New Roman"/>
                <w:color w:val="000000"/>
                <w:sz w:val="20"/>
                <w:szCs w:val="20"/>
              </w:rPr>
              <w:t xml:space="preserve"> secondo criteri di integrità dei comportamenti del pubblico ufficiale in servizio. La seconda misura è inerente al processo di riscossione che deve essere progressivamente sempre più informatizzato per rendere automatico ogni passaggio, specie per quelle sanzioni che vengono annullate, revocate o per le quali si decide di non procedere con la "messa a ruolo/ris</w:t>
            </w:r>
            <w:r w:rsidR="00A57C2C">
              <w:rPr>
                <w:rFonts w:eastAsia="Times New Roman"/>
                <w:color w:val="000000"/>
                <w:sz w:val="20"/>
                <w:szCs w:val="20"/>
              </w:rPr>
              <w:t>c</w:t>
            </w:r>
            <w:r w:rsidRPr="00BD76D3">
              <w:rPr>
                <w:rFonts w:eastAsia="Times New Roman"/>
                <w:color w:val="000000"/>
                <w:sz w:val="20"/>
                <w:szCs w:val="20"/>
              </w:rPr>
              <w:t>o</w:t>
            </w:r>
            <w:r w:rsidR="00A57C2C">
              <w:rPr>
                <w:rFonts w:eastAsia="Times New Roman"/>
                <w:color w:val="000000"/>
                <w:sz w:val="20"/>
                <w:szCs w:val="20"/>
              </w:rPr>
              <w:t>s</w:t>
            </w:r>
            <w:r w:rsidRPr="00BD76D3">
              <w:rPr>
                <w:rFonts w:eastAsia="Times New Roman"/>
                <w:color w:val="000000"/>
                <w:sz w:val="20"/>
                <w:szCs w:val="20"/>
              </w:rPr>
              <w:t>sione coattiva".</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5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13 - Gestione ordinaria delle entrate di bilancio</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Le fattispecie in cui si concretizzano questi processi sono le più varie, ma diventano rilevanti ai fini dell'anticorruzione solo quando "si decidono" dilazioni, sconti, azzeramenti, rimodulazioni del debito ecc. In questi casi si dovrebbe produrre anche uno scostamento tra la previsione di entrata registrata a bilancio e l'accertamento della stessa. Ogni provvedimento con il quale  si determinano detti scostamenti, dovrà essere segnalato dai servizi finanziari al RPCT.</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8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14 - Gestione ordinaria delle spese di bilancio</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Il meccanismo della spesa ha acquistato in questi ultimi anni degli automatismi tali che, se si è seguito tutto il procedimento: bilancio preventivo, PEG, scelta del contraente, impegno di spesa, registrazione dell'impegno, liquidazione, emissione del mandato, qualora la spesa stessa sia legittima (però in caso contrario siamo in una fattispecie diversa da questa scheda), è molto complicato ipotizzare fattispecie corruttive. In questo contesto possono assumere rilevanza e potrebbero essere segnalate al RPCT solo le variazioni della spesa particolarmente significative rispetto alle previsioni.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9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15 - Accertamenti e verifiche dei tributi locali</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La misura più importante è inerente al processo di riscossione che deve essere progressivamente sempre più informatizzato per rendere automatico ogni passaggio, specie per quei tributi che vengono annullati, revocati o per i quali si decide di non procedere con la "messa a ruolo/ris</w:t>
            </w:r>
            <w:r w:rsidR="00A57C2C" w:rsidRPr="00A57C2C">
              <w:rPr>
                <w:rFonts w:eastAsia="Times New Roman"/>
                <w:color w:val="000000"/>
                <w:sz w:val="20"/>
                <w:szCs w:val="20"/>
              </w:rPr>
              <w:t>c</w:t>
            </w:r>
            <w:r w:rsidRPr="00BD76D3">
              <w:rPr>
                <w:rFonts w:eastAsia="Times New Roman"/>
                <w:color w:val="000000"/>
                <w:sz w:val="20"/>
                <w:szCs w:val="20"/>
              </w:rPr>
              <w:t>ossione coattiva".</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5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16 - Accertamenti con adesione dei tributi locali</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Qui la scelta è duplice e oltre a quanto disposto per la scheda precedente relativamente al processo di riscossione, che deve essere progressivamente sempre più informatizzato e rendere automatico ogni passaggio, specie per quei tributi che vengono annullati, revocati o per i quali si decide di non procedere con la "messa a ruolo/</w:t>
            </w:r>
            <w:proofErr w:type="spellStart"/>
            <w:r w:rsidRPr="00BD76D3">
              <w:rPr>
                <w:rFonts w:eastAsia="Times New Roman"/>
                <w:color w:val="000000"/>
                <w:sz w:val="20"/>
                <w:szCs w:val="20"/>
              </w:rPr>
              <w:t>risocssione</w:t>
            </w:r>
            <w:proofErr w:type="spellEnd"/>
            <w:r w:rsidRPr="00BD76D3">
              <w:rPr>
                <w:rFonts w:eastAsia="Times New Roman"/>
                <w:color w:val="000000"/>
                <w:sz w:val="20"/>
                <w:szCs w:val="20"/>
              </w:rPr>
              <w:t xml:space="preserve"> coattiva", si dovrà anche prevedere un meccanismo di trasparenza nei provvedimenti che autorizzano dette riduzioni, con particolare riferimento alla parte motivazionale.</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21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17 - Accertamenti e controlli sugli abusi edilizi</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L'abuso edilizio può essere paragonato alle violazioni del </w:t>
            </w:r>
            <w:proofErr w:type="spellStart"/>
            <w:r w:rsidRPr="00BD76D3">
              <w:rPr>
                <w:rFonts w:eastAsia="Times New Roman"/>
                <w:color w:val="000000"/>
                <w:sz w:val="20"/>
                <w:szCs w:val="20"/>
              </w:rPr>
              <w:t>Cds</w:t>
            </w:r>
            <w:proofErr w:type="spellEnd"/>
            <w:r w:rsidRPr="00BD76D3">
              <w:rPr>
                <w:rFonts w:eastAsia="Times New Roman"/>
                <w:color w:val="000000"/>
                <w:sz w:val="20"/>
                <w:szCs w:val="20"/>
              </w:rPr>
              <w:t xml:space="preserve"> di cui alla scheda 12 e dunque due sono le direttive per la riduzione del rischio. La prima fa riferimento agli agenti e tecnici che accertano, sul territorio, gli abusi e le violazioni alla normativa urbanistica. Detti funzionari dovranno sempre operare almeno in coppia al fine di testimoniare reciprocamente l'integrità dei propri comportamenti. La seconda misura è inerente al processo sanzionatorio che deve essere progressivamente sempre più informatizzato e rendere automatico ogni passaggio, specie per quelle sanzioni che vengono annullate, revocate o per le quali si decide di non procedere con il ripristino o la demolizione.</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8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18 - Incentivi economici al personale (produttività e retribuzioni di risultato)</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Questo è un caso paradigmatico relativo ai parametri utilizzati per la valutazione del rischio che danno un risultato altissimo quando invece l'esperienza dimostra che teoricamente è difficile ipotizzare  fenomeni corruttivi, in quanto c'è il controllo reciproco dei dipendenti stessi e risulterebbe evidente ogni ipotesi premiale non in linea con i meccanismi di calcolo. A tal fine pare ovvio che la trasparenza del piano degli obiettivi debba essere altamente rigido e non derogabile e, ad ogni passaggio, sia applicata il massimo della trasparenza possibile.</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9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19 - Autorizzazione all’occupazione del suolo pubblico</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Se vengono applicate in modo chiaro e trasparente le disposizioni normative e regolamentari, non dovrebbero verificarsi fenomeni corruttivi. Questa fattispecie è comunque una di quelle in cui è rilevante anche il controllo delle entrate relative ai canoni previsti.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2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20 - Autorizzazioni ex artt. 68 e 69 del TULPS (spettacoli anche viaggianti, pubblici intrattenimenti, feste da ballo, esposizioni, gare)</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Se vengono applicate in modo chiaro e trasparente le disposizioni normative e regolamentari, non dovrebbero verificarsi fenomeni corruttivi. Questa fattispecie è comunque una di quelle in cui è rilevante anche il controllo delle entrate relative ai canoni previsti. E' opportuno predisporre disposizioni regolamentari in materia.</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5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21 - Permesso di costruire convenzionato</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Come per la scheda 6 (Permesso di costruire) l'accesso agli uffici dei progettisti professionisti, degli impresari edili e dei proprietari di terreni edificabili o edifici che possono essere oggetto di interventi di questo tipo dovrà essere disciplinato in modo chiaro e basato su principi previamente definiti. In caso di convenzioni si dovrà dare conto nei provvedimenti finali delle motivazioni che hanno portato al rilascio, specie nella definizione </w:t>
            </w:r>
            <w:proofErr w:type="spellStart"/>
            <w:r w:rsidRPr="00BD76D3">
              <w:rPr>
                <w:rFonts w:eastAsia="Times New Roman"/>
                <w:color w:val="000000"/>
                <w:sz w:val="20"/>
                <w:szCs w:val="20"/>
              </w:rPr>
              <w:t>deli</w:t>
            </w:r>
            <w:proofErr w:type="spellEnd"/>
            <w:r w:rsidRPr="00BD76D3">
              <w:rPr>
                <w:rFonts w:eastAsia="Times New Roman"/>
                <w:color w:val="000000"/>
                <w:sz w:val="20"/>
                <w:szCs w:val="20"/>
              </w:rPr>
              <w:t xml:space="preserve"> aspetti soggettivi dei beneficiari.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6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22 - Pratiche anagrafiche</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In questo ente si sono adottate tutte le misure previste dall'ordinamento anagrafico al fine di avere accertamenti anagrafici, eseguiti da personale diverso dagli ufficiali d'anagrafe, scrupolosi e puntuali. </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6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23 - Documenti di identità</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La procedura centralizzata della carta d'identità elettronica, con l'associazione delle impronte digitali, elimina pressoché totalmente ogni ipotesi corruttiva.</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8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24 - Servizi per minori e famiglie</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Per i servizi che comportano la corresponsione di contributi in denaro si faccia riferimento alle prescrizioni di cui alla scheda n. 8 sulla </w:t>
            </w:r>
            <w:proofErr w:type="spellStart"/>
            <w:r w:rsidRPr="00BD76D3">
              <w:rPr>
                <w:rFonts w:eastAsia="Times New Roman"/>
                <w:color w:val="000000"/>
                <w:sz w:val="20"/>
                <w:szCs w:val="20"/>
              </w:rPr>
              <w:t>corresponisone</w:t>
            </w:r>
            <w:proofErr w:type="spellEnd"/>
            <w:r w:rsidRPr="00BD76D3">
              <w:rPr>
                <w:rFonts w:eastAsia="Times New Roman"/>
                <w:color w:val="000000"/>
                <w:sz w:val="20"/>
                <w:szCs w:val="20"/>
              </w:rPr>
              <w:t xml:space="preserve"> dei benefici economici. Per i servizi in cui si debba disporre il ricovero in strutture o interventi similari, si dovranno utilizzare solo strutture accreditate secondo la normativa regionale e convenzionate con i servizi comunali e distrettuali (o consorziali per gli enti che hanno questa dimensione </w:t>
            </w:r>
            <w:proofErr w:type="spellStart"/>
            <w:r w:rsidRPr="00BD76D3">
              <w:rPr>
                <w:rFonts w:eastAsia="Times New Roman"/>
                <w:color w:val="000000"/>
                <w:sz w:val="20"/>
                <w:szCs w:val="20"/>
              </w:rPr>
              <w:t>sovracomunale</w:t>
            </w:r>
            <w:proofErr w:type="spellEnd"/>
            <w:r w:rsidRPr="00BD76D3">
              <w:rPr>
                <w:rFonts w:eastAsia="Times New Roman"/>
                <w:color w:val="000000"/>
                <w:sz w:val="20"/>
                <w:szCs w:val="20"/>
              </w:rPr>
              <w:t>). Per i servizi in argomento vi è una competenza specifica della Zona sociale n. 6 che fa capo al comune capofila di Norcia, che ha predisposto anche gli atti regolamentari relativi.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8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25 - Servizi assistenziali e socio-sanitari per anziani</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Per i servizi che comportano la corresponsione di contributi in denaro si faccia riferimento alle prescrizioni di cui alla scheda n. 8 sulla correspons</w:t>
            </w:r>
            <w:r w:rsidR="00A57C2C">
              <w:rPr>
                <w:rFonts w:eastAsia="Times New Roman"/>
                <w:color w:val="000000"/>
                <w:sz w:val="20"/>
                <w:szCs w:val="20"/>
              </w:rPr>
              <w:t>i</w:t>
            </w:r>
            <w:r w:rsidRPr="00BD76D3">
              <w:rPr>
                <w:rFonts w:eastAsia="Times New Roman"/>
                <w:color w:val="000000"/>
                <w:sz w:val="20"/>
                <w:szCs w:val="20"/>
              </w:rPr>
              <w:t xml:space="preserve">one dei benefici economici. Per i servizi in cui si debba disporre il ricovero in strutture o interventi similari, si dovranno utilizzare solo strutture accreditate secondo la normativa regionale e convenzionate con i servizi comunali e distrettuali (o consorziali per gli enti che hanno questa dimensione </w:t>
            </w:r>
            <w:proofErr w:type="spellStart"/>
            <w:r w:rsidRPr="00BD76D3">
              <w:rPr>
                <w:rFonts w:eastAsia="Times New Roman"/>
                <w:color w:val="000000"/>
                <w:sz w:val="20"/>
                <w:szCs w:val="20"/>
              </w:rPr>
              <w:t>sovracomunale</w:t>
            </w:r>
            <w:proofErr w:type="spellEnd"/>
            <w:r w:rsidRPr="00BD76D3">
              <w:rPr>
                <w:rFonts w:eastAsia="Times New Roman"/>
                <w:color w:val="000000"/>
                <w:sz w:val="20"/>
                <w:szCs w:val="20"/>
              </w:rPr>
              <w:t>). Per i servizi in argomento vi è una competenza specifica della Zona sociale n. 6 che fa capo al comune capofila di Norcia, che ha predisposto anche gli atti regolamentari relativi.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8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26 - Servizi per disabili</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Per i servizi che comportano la corresponsione di contributi in denaro si faccia riferimento alle prescrizioni di cui alla scheda n. 8 sulla </w:t>
            </w:r>
            <w:proofErr w:type="spellStart"/>
            <w:r w:rsidRPr="00BD76D3">
              <w:rPr>
                <w:rFonts w:eastAsia="Times New Roman"/>
                <w:color w:val="000000"/>
                <w:sz w:val="20"/>
                <w:szCs w:val="20"/>
              </w:rPr>
              <w:t>corresponisone</w:t>
            </w:r>
            <w:proofErr w:type="spellEnd"/>
            <w:r w:rsidRPr="00BD76D3">
              <w:rPr>
                <w:rFonts w:eastAsia="Times New Roman"/>
                <w:color w:val="000000"/>
                <w:sz w:val="20"/>
                <w:szCs w:val="20"/>
              </w:rPr>
              <w:t xml:space="preserve"> dei benefici economici. Per i servizi in cui si debba disporre il ricovero in strutture o interventi similari, si dovranno utilizzare solo strutture accreditate secondo la normativa regionale e convenzionate con i servizi comunali e distrettuali (o consorziali per gli enti che hanno questa dimensione </w:t>
            </w:r>
            <w:proofErr w:type="spellStart"/>
            <w:r w:rsidRPr="00BD76D3">
              <w:rPr>
                <w:rFonts w:eastAsia="Times New Roman"/>
                <w:color w:val="000000"/>
                <w:sz w:val="20"/>
                <w:szCs w:val="20"/>
              </w:rPr>
              <w:t>sovracomunale</w:t>
            </w:r>
            <w:proofErr w:type="spellEnd"/>
            <w:r w:rsidRPr="00BD76D3">
              <w:rPr>
                <w:rFonts w:eastAsia="Times New Roman"/>
                <w:color w:val="000000"/>
                <w:sz w:val="20"/>
                <w:szCs w:val="20"/>
              </w:rPr>
              <w:t>). Per i servizi in argomento vi è una competenza specifica della Zona sociale n. 6 che fa capo al comune capofila di Norcia, che ha predisposto anche gli atti regolamentari relativi.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8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27 - Servizi per adulti in difficoltà</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Per i servizi che comportano la corresponsione di contributi in denaro si faccia riferimento alle prescrizioni di cui alla scheda n. 8 sulla correspons</w:t>
            </w:r>
            <w:r w:rsidR="00A57C2C">
              <w:rPr>
                <w:rFonts w:eastAsia="Times New Roman"/>
                <w:color w:val="000000"/>
                <w:sz w:val="20"/>
                <w:szCs w:val="20"/>
              </w:rPr>
              <w:t>i</w:t>
            </w:r>
            <w:r w:rsidRPr="00BD76D3">
              <w:rPr>
                <w:rFonts w:eastAsia="Times New Roman"/>
                <w:color w:val="000000"/>
                <w:sz w:val="20"/>
                <w:szCs w:val="20"/>
              </w:rPr>
              <w:t xml:space="preserve">one dei benefici economici. Per i servizi in cui si debba disporre il ricovero in strutture o interventi similari, si dovranno utilizzare solo strutture accreditate secondo la normativa regionale e convenzionate con i servizi comunali e distrettuali (o consorziali per gli enti che hanno questa dimensione </w:t>
            </w:r>
            <w:proofErr w:type="spellStart"/>
            <w:r w:rsidRPr="00BD76D3">
              <w:rPr>
                <w:rFonts w:eastAsia="Times New Roman"/>
                <w:color w:val="000000"/>
                <w:sz w:val="20"/>
                <w:szCs w:val="20"/>
              </w:rPr>
              <w:t>sovracomunale</w:t>
            </w:r>
            <w:proofErr w:type="spellEnd"/>
            <w:r w:rsidRPr="00BD76D3">
              <w:rPr>
                <w:rFonts w:eastAsia="Times New Roman"/>
                <w:color w:val="000000"/>
                <w:sz w:val="20"/>
                <w:szCs w:val="20"/>
              </w:rPr>
              <w:t>). Per i servizi in argomento vi è una competenza specifica della Zona sociale n. 6 che fa capo al comune capofila di Norcia, che ha predisposto anche gli atti regolamentari relativi.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8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28 - Servizi di integrazione dei cittadini stranieri</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Per i servizi che comportano la corresponsione di contributi in denaro si faccia riferimento alle prescrizioni di cui alla scheda n. 8 sulla correspon</w:t>
            </w:r>
            <w:r w:rsidR="00A57C2C">
              <w:rPr>
                <w:rFonts w:eastAsia="Times New Roman"/>
                <w:color w:val="000000"/>
                <w:sz w:val="20"/>
                <w:szCs w:val="20"/>
              </w:rPr>
              <w:t>s</w:t>
            </w:r>
            <w:r w:rsidRPr="00BD76D3">
              <w:rPr>
                <w:rFonts w:eastAsia="Times New Roman"/>
                <w:color w:val="000000"/>
                <w:sz w:val="20"/>
                <w:szCs w:val="20"/>
              </w:rPr>
              <w:t xml:space="preserve">ione dei benefici economici. Per i servizi in cui si debba disporre il ricovero in strutture o interventi similari, si dovranno utilizzare solo strutture accreditate secondo la normativa regionale e convenzionate con i servizi comunali e distrettuali (o consorziali per gli enti che hanno questa dimensione </w:t>
            </w:r>
            <w:proofErr w:type="spellStart"/>
            <w:r w:rsidRPr="00BD76D3">
              <w:rPr>
                <w:rFonts w:eastAsia="Times New Roman"/>
                <w:color w:val="000000"/>
                <w:sz w:val="20"/>
                <w:szCs w:val="20"/>
              </w:rPr>
              <w:t>sovracomunale</w:t>
            </w:r>
            <w:proofErr w:type="spellEnd"/>
            <w:r w:rsidRPr="00BD76D3">
              <w:rPr>
                <w:rFonts w:eastAsia="Times New Roman"/>
                <w:color w:val="000000"/>
                <w:sz w:val="20"/>
                <w:szCs w:val="20"/>
              </w:rPr>
              <w:t xml:space="preserve">). Andrà sempre tenuto conto della regolarità del soggiorno dei beneficiari in contatto </w:t>
            </w:r>
            <w:proofErr w:type="spellStart"/>
            <w:r w:rsidRPr="00BD76D3">
              <w:rPr>
                <w:rFonts w:eastAsia="Times New Roman"/>
                <w:color w:val="000000"/>
                <w:sz w:val="20"/>
                <w:szCs w:val="20"/>
              </w:rPr>
              <w:t>costanete</w:t>
            </w:r>
            <w:proofErr w:type="spellEnd"/>
            <w:r w:rsidRPr="00BD76D3">
              <w:rPr>
                <w:rFonts w:eastAsia="Times New Roman"/>
                <w:color w:val="000000"/>
                <w:sz w:val="20"/>
                <w:szCs w:val="20"/>
              </w:rPr>
              <w:t xml:space="preserve"> con lo sportello per l'immigrazione e l'ufficio stranieri della questura.</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6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29 - Raccolta e smaltimento rifiuti</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I processi che ineriscono alla raccolta pratica e allo smaltimento quotidiano saranno rispondenti al contratto di servizio con il soggetto gestore e pertanto sono difficili da individuare fattispecie corruttive. </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6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30 - Gestione del protocollo</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Non si registrano pericoli corruttivi anche perché questo ente si è dotato del protocollo elettronico con profilatura dei flussi.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6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31 - Gestione dell'archivio</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Non si registrano pericoli corruttivi anche perché questo ente si è dotato di un manuale di gestione documentale che, unitamente al protocollo elettronico, determina una profilatura dei flussi documentali.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2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32 - Gestione delle sepolture e dei loculi</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Il forte controllo sociale derivato dalla forte esposizione del servizio all'at</w:t>
            </w:r>
            <w:r w:rsidR="00A57C2C" w:rsidRPr="00A57C2C">
              <w:rPr>
                <w:rFonts w:eastAsia="Times New Roman"/>
                <w:color w:val="000000"/>
                <w:sz w:val="20"/>
                <w:szCs w:val="20"/>
              </w:rPr>
              <w:t>t</w:t>
            </w:r>
            <w:r w:rsidRPr="00BD76D3">
              <w:rPr>
                <w:rFonts w:eastAsia="Times New Roman"/>
                <w:color w:val="000000"/>
                <w:sz w:val="20"/>
                <w:szCs w:val="20"/>
              </w:rPr>
              <w:t>enzione di parenti e con</w:t>
            </w:r>
            <w:r w:rsidR="00A57C2C" w:rsidRPr="00A57C2C">
              <w:rPr>
                <w:rFonts w:eastAsia="Times New Roman"/>
                <w:color w:val="000000"/>
                <w:sz w:val="20"/>
                <w:szCs w:val="20"/>
              </w:rPr>
              <w:t>os</w:t>
            </w:r>
            <w:r w:rsidRPr="00BD76D3">
              <w:rPr>
                <w:rFonts w:eastAsia="Times New Roman"/>
                <w:color w:val="000000"/>
                <w:sz w:val="20"/>
                <w:szCs w:val="20"/>
              </w:rPr>
              <w:t xml:space="preserve">centi del defunto esclude pratiche corruttive nel servizio pratico di gestione cimiteriale. Per quanto riguarda la gestione delle concessioni cimiteriali dovrà essere adottato un apposito regolamento e le tariffe sono aggiornate annualmente. </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2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34 - Organizzazione eventi</w:t>
            </w:r>
          </w:p>
        </w:tc>
        <w:tc>
          <w:tcPr>
            <w:tcW w:w="0" w:type="auto"/>
            <w:tcBorders>
              <w:top w:val="nil"/>
              <w:left w:val="nil"/>
              <w:bottom w:val="nil"/>
              <w:right w:val="nil"/>
            </w:tcBorders>
            <w:shd w:val="clear" w:color="auto" w:fill="auto"/>
            <w:vAlign w:val="center"/>
            <w:hideMark/>
          </w:tcPr>
          <w:p w:rsidR="00ED6D9F" w:rsidRPr="00A57C2C" w:rsidRDefault="00ED6D9F" w:rsidP="00A57C2C">
            <w:pPr>
              <w:jc w:val="both"/>
              <w:rPr>
                <w:rFonts w:eastAsia="Times New Roman"/>
                <w:color w:val="000000"/>
                <w:sz w:val="20"/>
                <w:szCs w:val="20"/>
              </w:rPr>
            </w:pPr>
            <w:r w:rsidRPr="00BD76D3">
              <w:rPr>
                <w:rFonts w:eastAsia="Times New Roman"/>
                <w:color w:val="000000"/>
                <w:sz w:val="20"/>
                <w:szCs w:val="20"/>
              </w:rPr>
              <w:t xml:space="preserve">Si consiglia ai responsabili dei servizi di procedere alla realizzazione di eventi mediante la pubblicazione preventiva di un bando di </w:t>
            </w:r>
            <w:proofErr w:type="spellStart"/>
            <w:r w:rsidRPr="00BD76D3">
              <w:rPr>
                <w:rFonts w:eastAsia="Times New Roman"/>
                <w:color w:val="000000"/>
                <w:sz w:val="20"/>
                <w:szCs w:val="20"/>
              </w:rPr>
              <w:t>co</w:t>
            </w:r>
            <w:proofErr w:type="spellEnd"/>
            <w:r w:rsidR="00A57C2C">
              <w:rPr>
                <w:rFonts w:eastAsia="Times New Roman"/>
                <w:color w:val="000000"/>
                <w:sz w:val="20"/>
                <w:szCs w:val="20"/>
              </w:rPr>
              <w:t xml:space="preserve"> </w:t>
            </w:r>
            <w:r w:rsidRPr="00BD76D3">
              <w:rPr>
                <w:rFonts w:eastAsia="Times New Roman"/>
                <w:color w:val="000000"/>
                <w:sz w:val="20"/>
                <w:szCs w:val="20"/>
              </w:rPr>
              <w:t>-progettazione con enti del terzo settore o associazioni del territorio senza scopo di lucro. Anche se il codice dei contratti non si applica a questa fattispecie sembra utile, se non necessario, adottare ogni possibile strumento di evidenza pubblica.</w:t>
            </w:r>
          </w:p>
          <w:p w:rsidR="00A57C2C" w:rsidRPr="00BD76D3" w:rsidRDefault="00A57C2C"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9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35 - Rilascio di patrocini</w:t>
            </w:r>
          </w:p>
        </w:tc>
        <w:tc>
          <w:tcPr>
            <w:tcW w:w="0" w:type="auto"/>
            <w:tcBorders>
              <w:top w:val="nil"/>
              <w:left w:val="nil"/>
              <w:bottom w:val="nil"/>
              <w:right w:val="nil"/>
            </w:tcBorders>
            <w:shd w:val="clear" w:color="auto" w:fill="auto"/>
            <w:vAlign w:val="center"/>
            <w:hideMark/>
          </w:tcPr>
          <w:p w:rsidR="00ED6D9F" w:rsidRPr="00A57C2C" w:rsidRDefault="00ED6D9F" w:rsidP="00A57C2C">
            <w:pPr>
              <w:jc w:val="both"/>
              <w:rPr>
                <w:rFonts w:eastAsia="Times New Roman"/>
                <w:color w:val="000000"/>
                <w:sz w:val="20"/>
                <w:szCs w:val="20"/>
              </w:rPr>
            </w:pPr>
            <w:r w:rsidRPr="00BD76D3">
              <w:rPr>
                <w:rFonts w:eastAsia="Times New Roman"/>
                <w:color w:val="000000"/>
                <w:sz w:val="20"/>
                <w:szCs w:val="20"/>
              </w:rPr>
              <w:t>Per i patrocini gratuiti si ritiene inutile ogni misura anticorruttiva. Per i patrocini onerosi, che prevedono un contributo a supporto dell'iniziativa si seguirà la disciplina del regolamento adottato dal Consiglio comunale con Delibera n. 45 del 2018.</w:t>
            </w:r>
          </w:p>
          <w:p w:rsidR="00A57C2C" w:rsidRPr="00BD76D3" w:rsidRDefault="00A57C2C"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6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36 - Gare ad evidenza pubblica di vendita di beni</w:t>
            </w:r>
          </w:p>
        </w:tc>
        <w:tc>
          <w:tcPr>
            <w:tcW w:w="0" w:type="auto"/>
            <w:tcBorders>
              <w:top w:val="nil"/>
              <w:left w:val="nil"/>
              <w:bottom w:val="nil"/>
              <w:right w:val="nil"/>
            </w:tcBorders>
            <w:shd w:val="clear" w:color="auto" w:fill="auto"/>
            <w:vAlign w:val="center"/>
            <w:hideMark/>
          </w:tcPr>
          <w:p w:rsidR="00ED6D9F" w:rsidRPr="00A57C2C" w:rsidRDefault="00ED6D9F" w:rsidP="00A57C2C">
            <w:pPr>
              <w:jc w:val="both"/>
              <w:rPr>
                <w:rFonts w:eastAsia="Times New Roman"/>
                <w:color w:val="000000"/>
                <w:sz w:val="20"/>
                <w:szCs w:val="20"/>
              </w:rPr>
            </w:pPr>
            <w:r w:rsidRPr="00BD76D3">
              <w:rPr>
                <w:rFonts w:eastAsia="Times New Roman"/>
                <w:color w:val="000000"/>
                <w:sz w:val="20"/>
                <w:szCs w:val="20"/>
              </w:rPr>
              <w:t>Vanno previste vendite di beni mobili ed immobili solo se previste in appositi bandi con tutte le regole necessarie o con regolamenti che comunque prevedano un coinvolgimento di diversi soggetti.</w:t>
            </w:r>
          </w:p>
          <w:p w:rsidR="00A57C2C" w:rsidRPr="00BD76D3" w:rsidRDefault="00A57C2C"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3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37 - Funzionamento degli organi collegiali</w:t>
            </w:r>
          </w:p>
        </w:tc>
        <w:tc>
          <w:tcPr>
            <w:tcW w:w="0" w:type="auto"/>
            <w:tcBorders>
              <w:top w:val="nil"/>
              <w:left w:val="nil"/>
              <w:bottom w:val="nil"/>
              <w:right w:val="nil"/>
            </w:tcBorders>
            <w:shd w:val="clear" w:color="auto" w:fill="auto"/>
            <w:vAlign w:val="center"/>
            <w:hideMark/>
          </w:tcPr>
          <w:p w:rsidR="00ED6D9F" w:rsidRPr="00A57C2C" w:rsidRDefault="00ED6D9F" w:rsidP="00A57C2C">
            <w:pPr>
              <w:jc w:val="both"/>
              <w:rPr>
                <w:rFonts w:eastAsia="Times New Roman"/>
                <w:color w:val="000000"/>
                <w:sz w:val="20"/>
                <w:szCs w:val="20"/>
              </w:rPr>
            </w:pPr>
            <w:r w:rsidRPr="00BD76D3">
              <w:rPr>
                <w:rFonts w:eastAsia="Times New Roman"/>
                <w:color w:val="000000"/>
                <w:sz w:val="20"/>
                <w:szCs w:val="20"/>
              </w:rPr>
              <w:t>Non si ritiene necessario adottare misure particolari</w:t>
            </w:r>
          </w:p>
          <w:p w:rsidR="00A57C2C" w:rsidRPr="00BD76D3" w:rsidRDefault="00A57C2C"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6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38 - Formazione di determinazioni, ordinanze, decreti ed altri atti amministrativi</w:t>
            </w:r>
          </w:p>
        </w:tc>
        <w:tc>
          <w:tcPr>
            <w:tcW w:w="0" w:type="auto"/>
            <w:tcBorders>
              <w:top w:val="nil"/>
              <w:left w:val="nil"/>
              <w:bottom w:val="nil"/>
              <w:right w:val="nil"/>
            </w:tcBorders>
            <w:shd w:val="clear" w:color="auto" w:fill="auto"/>
            <w:vAlign w:val="center"/>
            <w:hideMark/>
          </w:tcPr>
          <w:p w:rsidR="00ED6D9F" w:rsidRPr="00A57C2C" w:rsidRDefault="00ED6D9F" w:rsidP="00A57C2C">
            <w:pPr>
              <w:jc w:val="both"/>
              <w:rPr>
                <w:rFonts w:eastAsia="Times New Roman"/>
                <w:color w:val="000000"/>
                <w:sz w:val="20"/>
                <w:szCs w:val="20"/>
              </w:rPr>
            </w:pPr>
            <w:r w:rsidRPr="00BD76D3">
              <w:rPr>
                <w:rFonts w:eastAsia="Times New Roman"/>
                <w:color w:val="000000"/>
                <w:sz w:val="20"/>
                <w:szCs w:val="20"/>
              </w:rPr>
              <w:t>Non si ritiene necessario adottare misure particolari</w:t>
            </w:r>
          </w:p>
          <w:p w:rsidR="00A57C2C" w:rsidRPr="00BD76D3" w:rsidRDefault="00A57C2C"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8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39 - Designazione dei rappresentanti dell'ente presso enti, società, fondazioni</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Vanno distinte designazioni che prevedono un compenso dalle designazioni che invece prevedano un compenso. Maggiore è il comp</w:t>
            </w:r>
            <w:r w:rsidR="00A57C2C">
              <w:rPr>
                <w:rFonts w:eastAsia="Times New Roman"/>
                <w:color w:val="000000"/>
                <w:sz w:val="20"/>
                <w:szCs w:val="20"/>
              </w:rPr>
              <w:t>en</w:t>
            </w:r>
            <w:r w:rsidRPr="00BD76D3">
              <w:rPr>
                <w:rFonts w:eastAsia="Times New Roman"/>
                <w:color w:val="000000"/>
                <w:sz w:val="20"/>
                <w:szCs w:val="20"/>
              </w:rPr>
              <w:t>so, maggiori devono essere le misure di prevenzione della corruzione. Si tenga però presente che il PTPCT è rivolto quasi esclusivamente a comportamenti e processi di competenza della struttura amministrativa e gestionale e non al comportamento di organismi politici. In quest'ottica va predisposto un bando per ogni designazione (o un regolamento) che nell'istruire l'elenco su cui l'organo politico dovrà effettuare la sua scelta, metta tutti i potenziali aspiranti sul medesimo piano.</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9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40 - Gestione dei procedimenti di segnalazione e reclamo</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Questo comune si è dotato di un protocollo elettronico con cui  vengono profilati i flussi documentali, le segnalazioni, anche quelle anonime o con </w:t>
            </w:r>
            <w:proofErr w:type="spellStart"/>
            <w:r w:rsidRPr="00BD76D3">
              <w:rPr>
                <w:rFonts w:eastAsia="Times New Roman"/>
                <w:color w:val="000000"/>
                <w:sz w:val="20"/>
                <w:szCs w:val="20"/>
              </w:rPr>
              <w:t>secretazione</w:t>
            </w:r>
            <w:proofErr w:type="spellEnd"/>
            <w:r w:rsidRPr="00BD76D3">
              <w:rPr>
                <w:rFonts w:eastAsia="Times New Roman"/>
                <w:color w:val="000000"/>
                <w:sz w:val="20"/>
                <w:szCs w:val="20"/>
              </w:rPr>
              <w:t xml:space="preserve"> del mittente,  sono sempre rintracciabili rendendo evidente eventuali omissioni o fenomeni corruttivi.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6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41 - Gestione della leva</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La leva militare al momento è sospesa, anche se in realtà le liste devono ancora essere compilate. Non esistono fattispecie teoriche di corruzione in questo campo.</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8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42 - Gestione dell'elettorato</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La maggioranza dei prodotti dell'ufficio elettorale è totalmente vincolata e non può prevedere episodi corruttivi, che invece si possono concretizzare, anche in modo "pericoloso" nei procedimenti di </w:t>
            </w:r>
            <w:proofErr w:type="spellStart"/>
            <w:r w:rsidRPr="00BD76D3">
              <w:rPr>
                <w:rFonts w:eastAsia="Times New Roman"/>
                <w:color w:val="000000"/>
                <w:sz w:val="20"/>
                <w:szCs w:val="20"/>
              </w:rPr>
              <w:t>predisposizone</w:t>
            </w:r>
            <w:proofErr w:type="spellEnd"/>
            <w:r w:rsidRPr="00BD76D3">
              <w:rPr>
                <w:rFonts w:eastAsia="Times New Roman"/>
                <w:color w:val="000000"/>
                <w:sz w:val="20"/>
                <w:szCs w:val="20"/>
              </w:rPr>
              <w:t xml:space="preserve"> delle liste elettorali (autentiche di firma, certif</w:t>
            </w:r>
            <w:r w:rsidR="00A57C2C">
              <w:rPr>
                <w:rFonts w:eastAsia="Times New Roman"/>
                <w:color w:val="000000"/>
                <w:sz w:val="20"/>
                <w:szCs w:val="20"/>
              </w:rPr>
              <w:t>i</w:t>
            </w:r>
            <w:r w:rsidRPr="00BD76D3">
              <w:rPr>
                <w:rFonts w:eastAsia="Times New Roman"/>
                <w:color w:val="000000"/>
                <w:sz w:val="20"/>
                <w:szCs w:val="20"/>
              </w:rPr>
              <w:t>cazioni ecc.). In questi casi i dipendenti dell'ufficio elettorale, sia quelli a ciò destinati in via permanente che quelli in via straordinaria, dovranno essere controllati dai propri responsabili al fine di eseguire le loro prestazioni solo nell'ambito dell'ufficio elettorale e solo durante l'orario di ufficio con la presenza di altri dipendenti.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2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43 - Gestione degli alloggi pubblici</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Le graduatorie per l'assegnazione degli alloggi popolari dovranno essere redatte esclusivamente con riferimento al regolamento ed al bando predisposti secondo i modelli messi a disposizione dalla regione. Quanto alla composizione della commissione per l'assegnazione ci si rivolgerà prioritariamente alle prestazioni di esperti di comuni e agenzie autonome.</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9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44 - Gestione del diritto allo studio</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L'assegnazione dei libri di testo, gratuita o semigratuita, è assolutamente vincolata e non può essere oggetto di corruzione. Eventuali accordi con le istituzioni scolastiche dovranno essere basati su procedimenti ad evidenza pubblica, premiando il merito o i soggetti svantaggiati.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3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45 - Vigilanza sulla circolazione e la sosta</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Questo processo può essere assimilato a quello sulle sanzioni del CDS.</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8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46 - Gestione del reticolato idrico minore</w:t>
            </w:r>
          </w:p>
        </w:tc>
        <w:tc>
          <w:tcPr>
            <w:tcW w:w="0" w:type="auto"/>
            <w:tcBorders>
              <w:top w:val="nil"/>
              <w:left w:val="nil"/>
              <w:bottom w:val="nil"/>
              <w:right w:val="nil"/>
            </w:tcBorders>
            <w:shd w:val="clear" w:color="auto" w:fill="auto"/>
            <w:vAlign w:val="bottom"/>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Mentre l'approv</w:t>
            </w:r>
            <w:r w:rsidR="00A57C2C">
              <w:rPr>
                <w:rFonts w:eastAsia="Times New Roman"/>
                <w:color w:val="000000"/>
                <w:sz w:val="20"/>
                <w:szCs w:val="20"/>
              </w:rPr>
              <w:t>v</w:t>
            </w:r>
            <w:r w:rsidRPr="00BD76D3">
              <w:rPr>
                <w:rFonts w:eastAsia="Times New Roman"/>
                <w:color w:val="000000"/>
                <w:sz w:val="20"/>
                <w:szCs w:val="20"/>
              </w:rPr>
              <w:t>igionamento idrico per usi domestici non risulta particolarmente problematico, ci possono essere dei profili di criticità nel campo dell'appro</w:t>
            </w:r>
            <w:r w:rsidR="00A57C2C">
              <w:rPr>
                <w:rFonts w:eastAsia="Times New Roman"/>
                <w:color w:val="000000"/>
                <w:sz w:val="20"/>
                <w:szCs w:val="20"/>
              </w:rPr>
              <w:t>v</w:t>
            </w:r>
            <w:r w:rsidRPr="00BD76D3">
              <w:rPr>
                <w:rFonts w:eastAsia="Times New Roman"/>
                <w:color w:val="000000"/>
                <w:sz w:val="20"/>
                <w:szCs w:val="20"/>
              </w:rPr>
              <w:t>vigionamento idrico per usi agricoli ed industriali e per la gestione dei pozzi privati. La f</w:t>
            </w:r>
            <w:r w:rsidR="00A57C2C">
              <w:rPr>
                <w:rFonts w:eastAsia="Times New Roman"/>
                <w:color w:val="000000"/>
                <w:sz w:val="20"/>
                <w:szCs w:val="20"/>
              </w:rPr>
              <w:t>a</w:t>
            </w:r>
            <w:r w:rsidRPr="00BD76D3">
              <w:rPr>
                <w:rFonts w:eastAsia="Times New Roman"/>
                <w:color w:val="000000"/>
                <w:sz w:val="20"/>
                <w:szCs w:val="20"/>
              </w:rPr>
              <w:t>rraginosità delle norme nazionali e regionali e l'oggettiva difficoltà dei controlli consigliano massima attenzione sui procedimenti di autorizza</w:t>
            </w:r>
            <w:r w:rsidR="00A57C2C">
              <w:rPr>
                <w:rFonts w:eastAsia="Times New Roman"/>
                <w:color w:val="000000"/>
                <w:sz w:val="20"/>
                <w:szCs w:val="20"/>
              </w:rPr>
              <w:t>z</w:t>
            </w:r>
            <w:r w:rsidRPr="00BD76D3">
              <w:rPr>
                <w:rFonts w:eastAsia="Times New Roman"/>
                <w:color w:val="000000"/>
                <w:sz w:val="20"/>
                <w:szCs w:val="20"/>
              </w:rPr>
              <w:t>ione dei prelievi e degli scarichi. Sarebbe utile la predisposizione di un regolamento comunale che partendo dalla normativa nazionale e regionale indichi le funzioni e le responsabilità dei vari uffici.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12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47 - Affidamenti in house</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Nel caso di affidamenti di gestioni di questo tipo, si provveda sempre sulla base di procedimenti ad evidenza pubblica e si sposti l'individuazione delle caratteristiche potenziali degli affidatari, in termini di economicità e funzionalità, dalla fase decisionale a quella di programmazione. In questo modo i responsabili dei servizi avranno poco margine per affidamenti discrezionali.</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2100"/>
        </w:trPr>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47- Controlli sull'uso del territorio</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Il controllo del territori può essere paragonato alle verifiche degli abusi edilizi di cui alla scheda 17 e dunque due sono le direttive per la riduzione del rischio. La prima fa riferimento agli agenti e tecnici che accertano, sul territorio, gli abusi e le violazioni alla normativa ambientale. Detti funzionari dovranno sempre operare almeno in coppia al fine di testimoniare reciprocamente l'integrità dei propri comportamenti. La seconda misura è inerente al processo sanzionatorio che deve essere progressivamente sempre più informatizzato e rendere automatico ogni passaggio, specie per quelle sanzioni che vengono annullate, revocate o per le quali si decide di non procedere con il ripristino ambientale.</w:t>
            </w:r>
          </w:p>
        </w:tc>
        <w:tc>
          <w:tcPr>
            <w:tcW w:w="0" w:type="auto"/>
            <w:tcBorders>
              <w:top w:val="nil"/>
              <w:left w:val="nil"/>
              <w:bottom w:val="nil"/>
              <w:right w:val="nil"/>
            </w:tcBorders>
            <w:shd w:val="clear" w:color="auto" w:fill="auto"/>
            <w:noWrap/>
            <w:vAlign w:val="bottom"/>
            <w:hideMark/>
          </w:tcPr>
          <w:p w:rsidR="00ED6D9F" w:rsidRPr="00BD76D3" w:rsidRDefault="00ED6D9F" w:rsidP="00A57C2C">
            <w:pPr>
              <w:jc w:val="both"/>
              <w:rPr>
                <w:rFonts w:eastAsia="Times New Roman"/>
                <w:color w:val="000000"/>
                <w:sz w:val="20"/>
                <w:szCs w:val="20"/>
              </w:rPr>
            </w:pPr>
          </w:p>
        </w:tc>
      </w:tr>
      <w:tr w:rsidR="00ED6D9F" w:rsidRPr="00A57C2C" w:rsidTr="0063751B">
        <w:trPr>
          <w:trHeight w:val="2100"/>
        </w:trPr>
        <w:tc>
          <w:tcPr>
            <w:tcW w:w="0" w:type="auto"/>
            <w:tcBorders>
              <w:top w:val="nil"/>
              <w:left w:val="nil"/>
              <w:bottom w:val="nil"/>
              <w:right w:val="nil"/>
            </w:tcBorders>
            <w:shd w:val="clear" w:color="auto" w:fill="auto"/>
            <w:vAlign w:val="bottom"/>
            <w:hideMark/>
          </w:tcPr>
          <w:p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bottom"/>
            <w:hideMark/>
          </w:tcPr>
          <w:p w:rsidR="00ED6D9F" w:rsidRPr="00BD76D3" w:rsidRDefault="00ED6D9F" w:rsidP="00A57C2C">
            <w:pPr>
              <w:jc w:val="both"/>
              <w:rPr>
                <w:rFonts w:eastAsia="Times New Roman"/>
                <w:b/>
                <w:bCs/>
                <w:color w:val="000000"/>
                <w:sz w:val="20"/>
                <w:szCs w:val="20"/>
              </w:rPr>
            </w:pPr>
            <w:r w:rsidRPr="00BD76D3">
              <w:rPr>
                <w:rFonts w:eastAsia="Times New Roman"/>
                <w:b/>
                <w:bCs/>
                <w:color w:val="000000"/>
                <w:sz w:val="20"/>
                <w:szCs w:val="20"/>
              </w:rPr>
              <w:t xml:space="preserve">49 - Gestione delle pratiche relative al sima </w:t>
            </w:r>
          </w:p>
        </w:tc>
        <w:tc>
          <w:tcPr>
            <w:tcW w:w="0" w:type="auto"/>
            <w:tcBorders>
              <w:top w:val="nil"/>
              <w:left w:val="nil"/>
              <w:bottom w:val="nil"/>
              <w:right w:val="nil"/>
            </w:tcBorders>
            <w:shd w:val="clear" w:color="auto" w:fill="auto"/>
            <w:vAlign w:val="center"/>
            <w:hideMark/>
          </w:tcPr>
          <w:p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La gestione delle pratiche relative al sisma è particolarmente delicata, perché incide in maniera diretta sulla sfera giuridica e patrimoniale dei beneficiari di contributi pubblici. Tulle le procedure sono compiutamente disciplinate sia dal D. L. 189/2016 e successive modificazioni, sia dalle numerose ordinanze di protezione civile, emanate dal dipartimento nazionale di protezione civile o dal Commissario per la ricostruzione. I procedimenti sono sottoposti a puntuale controllo e rendicontazione da parte dell'Ufficio speciale per la ricostruzione. Tuttavia sono necessarie particolari cautele da parte di tutti gli uffici coinvolti nella gestio</w:t>
            </w:r>
            <w:r w:rsidR="00A57C2C">
              <w:rPr>
                <w:rFonts w:eastAsia="Times New Roman"/>
                <w:color w:val="000000"/>
                <w:sz w:val="20"/>
                <w:szCs w:val="20"/>
              </w:rPr>
              <w:t>n</w:t>
            </w:r>
            <w:r w:rsidRPr="00BD76D3">
              <w:rPr>
                <w:rFonts w:eastAsia="Times New Roman"/>
                <w:color w:val="000000"/>
                <w:sz w:val="20"/>
                <w:szCs w:val="20"/>
              </w:rPr>
              <w:t>e delle relative pratiche.</w:t>
            </w:r>
          </w:p>
        </w:tc>
        <w:tc>
          <w:tcPr>
            <w:tcW w:w="0" w:type="auto"/>
            <w:tcBorders>
              <w:top w:val="nil"/>
              <w:left w:val="nil"/>
              <w:bottom w:val="nil"/>
              <w:right w:val="nil"/>
            </w:tcBorders>
            <w:shd w:val="clear" w:color="auto" w:fill="auto"/>
            <w:vAlign w:val="bottom"/>
            <w:hideMark/>
          </w:tcPr>
          <w:p w:rsidR="00ED6D9F" w:rsidRPr="00BD76D3" w:rsidRDefault="00ED6D9F" w:rsidP="00A57C2C">
            <w:pPr>
              <w:jc w:val="both"/>
              <w:rPr>
                <w:rFonts w:eastAsia="Times New Roman"/>
                <w:color w:val="000000"/>
                <w:sz w:val="20"/>
                <w:szCs w:val="20"/>
              </w:rPr>
            </w:pPr>
          </w:p>
        </w:tc>
      </w:tr>
    </w:tbl>
    <w:p w:rsidR="00133E84" w:rsidRPr="00A57C2C" w:rsidRDefault="00133E84" w:rsidP="00A57C2C">
      <w:pPr>
        <w:jc w:val="both"/>
        <w:rPr>
          <w:sz w:val="20"/>
          <w:szCs w:val="20"/>
        </w:rPr>
      </w:pPr>
    </w:p>
    <w:sectPr w:rsidR="00133E84" w:rsidRPr="00A57C2C" w:rsidSect="0063751B">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4C4" w:rsidRDefault="000D44C4" w:rsidP="00BD76D3">
      <w:r>
        <w:separator/>
      </w:r>
    </w:p>
  </w:endnote>
  <w:endnote w:type="continuationSeparator" w:id="0">
    <w:p w:rsidR="000D44C4" w:rsidRDefault="000D44C4" w:rsidP="00BD76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4C4" w:rsidRDefault="000D44C4" w:rsidP="00BD76D3">
      <w:r>
        <w:separator/>
      </w:r>
    </w:p>
  </w:footnote>
  <w:footnote w:type="continuationSeparator" w:id="0">
    <w:p w:rsidR="000D44C4" w:rsidRDefault="000D44C4" w:rsidP="00BD76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D3" w:rsidRDefault="00BD76D3" w:rsidP="00BD76D3">
    <w:pPr>
      <w:pStyle w:val="Intestazione"/>
      <w:jc w:val="center"/>
      <w:rPr>
        <w:b/>
        <w:sz w:val="32"/>
        <w:szCs w:val="32"/>
      </w:rPr>
    </w:pPr>
    <w:r>
      <w:rPr>
        <w:b/>
        <w:noProof/>
        <w:sz w:val="32"/>
        <w:szCs w:val="32"/>
      </w:rPr>
      <w:drawing>
        <wp:inline distT="0" distB="0" distL="0" distR="0">
          <wp:extent cx="496689" cy="752559"/>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99412" cy="756684"/>
                  </a:xfrm>
                  <a:prstGeom prst="rect">
                    <a:avLst/>
                  </a:prstGeom>
                  <a:noFill/>
                  <a:ln w="9525">
                    <a:noFill/>
                    <a:miter lim="800000"/>
                    <a:headEnd/>
                    <a:tailEnd/>
                  </a:ln>
                </pic:spPr>
              </pic:pic>
            </a:graphicData>
          </a:graphic>
        </wp:inline>
      </w:drawing>
    </w:r>
  </w:p>
  <w:p w:rsidR="00BD76D3" w:rsidRDefault="00BD76D3" w:rsidP="00BD76D3">
    <w:pPr>
      <w:pStyle w:val="Intestazione"/>
      <w:jc w:val="center"/>
      <w:rPr>
        <w:b/>
        <w:sz w:val="32"/>
        <w:szCs w:val="32"/>
      </w:rPr>
    </w:pPr>
  </w:p>
  <w:p w:rsidR="00BD76D3" w:rsidRPr="00BD76D3" w:rsidRDefault="00BD76D3" w:rsidP="00BD76D3">
    <w:pPr>
      <w:pStyle w:val="Intestazione"/>
      <w:jc w:val="center"/>
      <w:rPr>
        <w:b/>
        <w:sz w:val="32"/>
        <w:szCs w:val="32"/>
      </w:rPr>
    </w:pPr>
    <w:r w:rsidRPr="00BD76D3">
      <w:rPr>
        <w:b/>
        <w:sz w:val="32"/>
        <w:szCs w:val="32"/>
      </w:rPr>
      <w:t>COMUNE di SCHEGGINO</w:t>
    </w:r>
  </w:p>
  <w:p w:rsidR="00BD76D3" w:rsidRDefault="00BD76D3" w:rsidP="00BD76D3">
    <w:pPr>
      <w:pStyle w:val="Intestazione"/>
      <w:jc w:val="center"/>
      <w:rPr>
        <w:b/>
        <w:sz w:val="28"/>
        <w:szCs w:val="28"/>
      </w:rPr>
    </w:pPr>
  </w:p>
  <w:p w:rsidR="00BD76D3" w:rsidRDefault="00BD76D3" w:rsidP="00BD76D3">
    <w:pPr>
      <w:pStyle w:val="Intestazione"/>
      <w:jc w:val="center"/>
      <w:rPr>
        <w:b/>
        <w:sz w:val="28"/>
        <w:szCs w:val="28"/>
      </w:rPr>
    </w:pPr>
    <w:r w:rsidRPr="00BD76D3">
      <w:rPr>
        <w:b/>
        <w:sz w:val="28"/>
        <w:szCs w:val="28"/>
      </w:rPr>
      <w:t>Provincia di Perugia</w:t>
    </w:r>
  </w:p>
  <w:p w:rsidR="00BD76D3" w:rsidRPr="00BD76D3" w:rsidRDefault="00BD76D3" w:rsidP="00BD76D3">
    <w:pPr>
      <w:pStyle w:val="Intestazione"/>
      <w:jc w:val="cent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51B41"/>
    <w:multiLevelType w:val="hybridMultilevel"/>
    <w:tmpl w:val="40486A30"/>
    <w:lvl w:ilvl="0" w:tplc="0410000F">
      <w:start w:val="1"/>
      <w:numFmt w:val="decimal"/>
      <w:lvlText w:val="%1."/>
      <w:lvlJc w:val="left"/>
      <w:pPr>
        <w:ind w:left="720" w:hanging="360"/>
      </w:pPr>
      <w:rPr>
        <w:rFonts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659F4113"/>
    <w:multiLevelType w:val="hybridMultilevel"/>
    <w:tmpl w:val="535EA51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hyphenationZone w:val="283"/>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133E84"/>
    <w:rsid w:val="000D44C4"/>
    <w:rsid w:val="00133E84"/>
    <w:rsid w:val="0063751B"/>
    <w:rsid w:val="006F3340"/>
    <w:rsid w:val="00A57C2C"/>
    <w:rsid w:val="00BD76D3"/>
    <w:rsid w:val="00C16EED"/>
    <w:rsid w:val="00ED6D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3E84"/>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semiHidden/>
    <w:unhideWhenUsed/>
    <w:qFormat/>
    <w:rsid w:val="00133E84"/>
    <w:pPr>
      <w:widowControl w:val="0"/>
      <w:autoSpaceDE w:val="0"/>
      <w:autoSpaceDN w:val="0"/>
    </w:pPr>
  </w:style>
  <w:style w:type="character" w:customStyle="1" w:styleId="CorpodeltestoCarattere">
    <w:name w:val="Corpo del testo Carattere"/>
    <w:basedOn w:val="Carpredefinitoparagrafo"/>
    <w:link w:val="Corpodeltesto"/>
    <w:uiPriority w:val="1"/>
    <w:semiHidden/>
    <w:rsid w:val="00133E84"/>
    <w:rPr>
      <w:rFonts w:ascii="Times New Roman" w:eastAsiaTheme="minorEastAsia" w:hAnsi="Times New Roman" w:cs="Times New Roman"/>
      <w:sz w:val="24"/>
      <w:szCs w:val="24"/>
      <w:lang w:eastAsia="it-IT"/>
    </w:rPr>
  </w:style>
  <w:style w:type="paragraph" w:styleId="Corpodeltesto2">
    <w:name w:val="Body Text 2"/>
    <w:basedOn w:val="Normale"/>
    <w:link w:val="Corpodeltesto2Carattere"/>
    <w:uiPriority w:val="99"/>
    <w:semiHidden/>
    <w:unhideWhenUsed/>
    <w:rsid w:val="00133E84"/>
    <w:pPr>
      <w:spacing w:after="120" w:line="480" w:lineRule="auto"/>
    </w:pPr>
  </w:style>
  <w:style w:type="character" w:customStyle="1" w:styleId="Corpodeltesto2Carattere">
    <w:name w:val="Corpo del testo 2 Carattere"/>
    <w:basedOn w:val="Carpredefinitoparagrafo"/>
    <w:link w:val="Corpodeltesto2"/>
    <w:uiPriority w:val="99"/>
    <w:semiHidden/>
    <w:rsid w:val="00133E84"/>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133E84"/>
    <w:pPr>
      <w:widowControl w:val="0"/>
      <w:autoSpaceDE w:val="0"/>
      <w:autoSpaceDN w:val="0"/>
      <w:spacing w:line="269" w:lineRule="exact"/>
      <w:ind w:left="734" w:hanging="360"/>
    </w:pPr>
    <w:rPr>
      <w:sz w:val="22"/>
      <w:szCs w:val="22"/>
    </w:rPr>
  </w:style>
  <w:style w:type="paragraph" w:customStyle="1" w:styleId="rtf1Normale">
    <w:name w:val="rtf1 [Normale]"/>
    <w:uiPriority w:val="99"/>
    <w:rsid w:val="00133E8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N w:val="0"/>
      <w:adjustRightInd w:val="0"/>
      <w:spacing w:after="0" w:line="240" w:lineRule="auto"/>
    </w:pPr>
    <w:rPr>
      <w:rFonts w:ascii="Arial" w:eastAsia="Times New Roman" w:hAnsi="Times New Roman" w:cs="Arial"/>
      <w:kern w:val="2"/>
      <w:sz w:val="24"/>
      <w:szCs w:val="24"/>
      <w:lang w:eastAsia="it-IT" w:bidi="hi-IN"/>
    </w:rPr>
  </w:style>
  <w:style w:type="character" w:customStyle="1" w:styleId="rtf1Strong">
    <w:name w:val="rtf1 Strong"/>
    <w:basedOn w:val="Carpredefinitoparagrafo"/>
    <w:uiPriority w:val="22"/>
    <w:qFormat/>
    <w:rsid w:val="00133E84"/>
    <w:rPr>
      <w:rFonts w:ascii="Times New Roman" w:hAnsi="Times New Roman" w:cs="Times New Roman" w:hint="default"/>
      <w:b/>
      <w:bCs/>
    </w:rPr>
  </w:style>
  <w:style w:type="character" w:styleId="Collegamentoipertestuale">
    <w:name w:val="Hyperlink"/>
    <w:basedOn w:val="Carpredefinitoparagrafo"/>
    <w:uiPriority w:val="99"/>
    <w:semiHidden/>
    <w:unhideWhenUsed/>
    <w:rsid w:val="00BD76D3"/>
    <w:rPr>
      <w:color w:val="0000FF"/>
      <w:u w:val="single"/>
    </w:rPr>
  </w:style>
  <w:style w:type="paragraph" w:styleId="Intestazione">
    <w:name w:val="header"/>
    <w:basedOn w:val="Normale"/>
    <w:link w:val="IntestazioneCarattere"/>
    <w:uiPriority w:val="99"/>
    <w:semiHidden/>
    <w:unhideWhenUsed/>
    <w:rsid w:val="00BD76D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D76D3"/>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semiHidden/>
    <w:unhideWhenUsed/>
    <w:rsid w:val="00BD76D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D76D3"/>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BD76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76D3"/>
    <w:rPr>
      <w:rFonts w:ascii="Tahoma" w:eastAsiaTheme="minorEastAsi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100182619">
      <w:bodyDiv w:val="1"/>
      <w:marLeft w:val="0"/>
      <w:marRight w:val="0"/>
      <w:marTop w:val="0"/>
      <w:marBottom w:val="0"/>
      <w:divBdr>
        <w:top w:val="none" w:sz="0" w:space="0" w:color="auto"/>
        <w:left w:val="none" w:sz="0" w:space="0" w:color="auto"/>
        <w:bottom w:val="none" w:sz="0" w:space="0" w:color="auto"/>
        <w:right w:val="none" w:sz="0" w:space="0" w:color="auto"/>
      </w:divBdr>
    </w:div>
    <w:div w:id="1934321451">
      <w:bodyDiv w:val="1"/>
      <w:marLeft w:val="0"/>
      <w:marRight w:val="0"/>
      <w:marTop w:val="0"/>
      <w:marBottom w:val="0"/>
      <w:divBdr>
        <w:top w:val="none" w:sz="0" w:space="0" w:color="auto"/>
        <w:left w:val="none" w:sz="0" w:space="0" w:color="auto"/>
        <w:bottom w:val="none" w:sz="0" w:space="0" w:color="auto"/>
        <w:right w:val="none" w:sz="0" w:space="0" w:color="auto"/>
      </w:divBdr>
    </w:div>
    <w:div w:id="20881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3519</Words>
  <Characters>20062</Characters>
  <Application>Microsoft Office Word</Application>
  <DocSecurity>0</DocSecurity>
  <Lines>167</Lines>
  <Paragraphs>47</Paragraphs>
  <ScaleCrop>false</ScaleCrop>
  <Company/>
  <LinksUpToDate>false</LinksUpToDate>
  <CharactersWithSpaces>23534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2</cp:revision>
  <dcterms:created xsi:type="dcterms:W3CDTF">2020-02-27T12:30:00Z</dcterms:created>
  <dcterms:modified xsi:type="dcterms:W3CDTF">2020-02-27T12:30:00Z</dcterms:modified>
</cp:coreProperties>
</file>