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2C" w:rsidRDefault="00432DA7" w:rsidP="009D7257">
      <w:pPr>
        <w:widowControl w:val="0"/>
        <w:jc w:val="center"/>
        <w:rPr>
          <w:rFonts w:ascii="Arial" w:hAnsi="Arial" w:cs="Arial"/>
          <w:i/>
          <w:iCs/>
          <w:sz w:val="32"/>
          <w:szCs w:val="20"/>
        </w:rPr>
      </w:pPr>
      <w:r>
        <w:rPr>
          <w:b/>
          <w:noProof/>
          <w:sz w:val="44"/>
          <w:szCs w:val="44"/>
        </w:rPr>
        <w:drawing>
          <wp:anchor distT="0" distB="0" distL="114300" distR="114300" simplePos="0" relativeHeight="251659264" behindDoc="0" locked="0" layoutInCell="1" allowOverlap="1" wp14:anchorId="724AA57F" wp14:editId="34BBE09D">
            <wp:simplePos x="0" y="0"/>
            <wp:positionH relativeFrom="margin">
              <wp:posOffset>2800350</wp:posOffset>
            </wp:positionH>
            <wp:positionV relativeFrom="paragraph">
              <wp:posOffset>-3458</wp:posOffset>
            </wp:positionV>
            <wp:extent cx="521638" cy="795130"/>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638" cy="795130"/>
                    </a:xfrm>
                    <a:prstGeom prst="rect">
                      <a:avLst/>
                    </a:prstGeom>
                    <a:noFill/>
                  </pic:spPr>
                </pic:pic>
              </a:graphicData>
            </a:graphic>
          </wp:anchor>
        </w:drawing>
      </w:r>
    </w:p>
    <w:p w:rsidR="00D7442C" w:rsidRDefault="00D7442C" w:rsidP="009D7257">
      <w:pPr>
        <w:widowControl w:val="0"/>
        <w:jc w:val="center"/>
        <w:rPr>
          <w:rFonts w:ascii="Arial" w:hAnsi="Arial" w:cs="Arial"/>
          <w:i/>
          <w:iCs/>
          <w:sz w:val="32"/>
          <w:szCs w:val="20"/>
        </w:rPr>
      </w:pPr>
    </w:p>
    <w:p w:rsidR="00D7442C" w:rsidRDefault="00D7442C" w:rsidP="009D7257">
      <w:pPr>
        <w:widowControl w:val="0"/>
        <w:jc w:val="center"/>
        <w:rPr>
          <w:rFonts w:ascii="Arial" w:hAnsi="Arial" w:cs="Arial"/>
          <w:i/>
          <w:iCs/>
          <w:sz w:val="32"/>
          <w:szCs w:val="20"/>
        </w:rPr>
      </w:pPr>
    </w:p>
    <w:p w:rsidR="00432DA7" w:rsidRDefault="00432DA7" w:rsidP="009D7257">
      <w:pPr>
        <w:widowControl w:val="0"/>
        <w:jc w:val="center"/>
        <w:rPr>
          <w:rFonts w:ascii="Arial" w:hAnsi="Arial" w:cs="Arial"/>
          <w:i/>
          <w:iCs/>
          <w:sz w:val="32"/>
          <w:szCs w:val="20"/>
        </w:rPr>
      </w:pPr>
    </w:p>
    <w:p w:rsidR="009D7257" w:rsidRPr="009D7257" w:rsidRDefault="00E30437" w:rsidP="009D7257">
      <w:pPr>
        <w:widowControl w:val="0"/>
        <w:jc w:val="center"/>
        <w:rPr>
          <w:rFonts w:ascii="Arial" w:hAnsi="Arial" w:cs="Arial"/>
          <w:i/>
          <w:sz w:val="32"/>
          <w:szCs w:val="20"/>
        </w:rPr>
      </w:pPr>
      <w:r w:rsidRPr="009D7257">
        <w:rPr>
          <w:rFonts w:ascii="Arial" w:hAnsi="Arial" w:cs="Arial"/>
          <w:i/>
          <w:iCs/>
          <w:sz w:val="32"/>
          <w:szCs w:val="20"/>
        </w:rPr>
        <w:t xml:space="preserve">COMUNE DI </w:t>
      </w:r>
      <w:r>
        <w:rPr>
          <w:rFonts w:ascii="Arial" w:hAnsi="Arial" w:cs="Arial"/>
          <w:i/>
          <w:iCs/>
          <w:sz w:val="32"/>
          <w:szCs w:val="20"/>
        </w:rPr>
        <w:t>SANT’ANATOLIA DI NARCO</w:t>
      </w:r>
    </w:p>
    <w:p w:rsidR="00D7442C" w:rsidRDefault="009D7257" w:rsidP="00D7442C">
      <w:pPr>
        <w:widowControl w:val="0"/>
        <w:spacing w:before="360" w:after="240"/>
        <w:jc w:val="center"/>
        <w:rPr>
          <w:rFonts w:ascii="Arial" w:hAnsi="Arial" w:cs="Arial"/>
          <w:i/>
          <w:iCs/>
          <w:sz w:val="28"/>
          <w:szCs w:val="20"/>
        </w:rPr>
      </w:pPr>
      <w:r w:rsidRPr="009D7257">
        <w:rPr>
          <w:rFonts w:ascii="Arial" w:hAnsi="Arial" w:cs="Arial"/>
          <w:i/>
          <w:iCs/>
          <w:sz w:val="28"/>
          <w:szCs w:val="20"/>
        </w:rPr>
        <w:t xml:space="preserve">Provincia di </w:t>
      </w:r>
      <w:r w:rsidR="00D7442C">
        <w:rPr>
          <w:rFonts w:ascii="Arial" w:hAnsi="Arial" w:cs="Arial"/>
          <w:i/>
          <w:iCs/>
          <w:sz w:val="28"/>
          <w:szCs w:val="20"/>
        </w:rPr>
        <w:t>Perugia</w:t>
      </w:r>
      <w:bookmarkStart w:id="0" w:name="_GoBack"/>
      <w:bookmarkEnd w:id="0"/>
    </w:p>
    <w:p w:rsidR="00D7442C" w:rsidRDefault="00D7442C" w:rsidP="00D7442C">
      <w:pPr>
        <w:widowControl w:val="0"/>
        <w:spacing w:before="360" w:after="240"/>
        <w:jc w:val="center"/>
        <w:rPr>
          <w:rFonts w:ascii="Arial" w:hAnsi="Arial" w:cs="Arial"/>
          <w:i/>
          <w:iCs/>
          <w:sz w:val="28"/>
          <w:szCs w:val="20"/>
        </w:rPr>
      </w:pPr>
    </w:p>
    <w:p w:rsidR="00D7442C" w:rsidRDefault="00D7442C" w:rsidP="00D7442C">
      <w:pPr>
        <w:widowControl w:val="0"/>
        <w:spacing w:before="360" w:after="240"/>
        <w:jc w:val="center"/>
        <w:rPr>
          <w:rFonts w:ascii="Arial" w:hAnsi="Arial" w:cs="Arial"/>
          <w:i/>
          <w:iCs/>
          <w:sz w:val="28"/>
          <w:szCs w:val="20"/>
        </w:rPr>
      </w:pPr>
    </w:p>
    <w:p w:rsidR="001333AD" w:rsidRDefault="001333AD" w:rsidP="00D7442C">
      <w:pPr>
        <w:widowControl w:val="0"/>
        <w:spacing w:before="360" w:after="240"/>
        <w:jc w:val="center"/>
        <w:rPr>
          <w:rFonts w:ascii="Arial" w:hAnsi="Arial" w:cs="Arial"/>
          <w:i/>
          <w:iCs/>
          <w:sz w:val="28"/>
          <w:szCs w:val="20"/>
        </w:rPr>
      </w:pPr>
    </w:p>
    <w:p w:rsidR="00D7442C" w:rsidRDefault="00D7442C" w:rsidP="00D7442C">
      <w:pPr>
        <w:widowControl w:val="0"/>
        <w:spacing w:before="360" w:after="240"/>
        <w:jc w:val="center"/>
        <w:rPr>
          <w:rFonts w:ascii="Arial" w:hAnsi="Arial" w:cs="Arial"/>
          <w:i/>
          <w:iCs/>
          <w:sz w:val="28"/>
          <w:szCs w:val="20"/>
        </w:rPr>
      </w:pPr>
    </w:p>
    <w:p w:rsidR="00D7442C" w:rsidRDefault="00414F14" w:rsidP="00C97108">
      <w:pPr>
        <w:widowControl w:val="0"/>
        <w:jc w:val="center"/>
        <w:rPr>
          <w:rFonts w:ascii="Arial" w:hAnsi="Arial" w:cs="Arial"/>
          <w:b/>
          <w:bCs/>
          <w:sz w:val="36"/>
          <w:szCs w:val="36"/>
        </w:rPr>
      </w:pPr>
      <w:r w:rsidRPr="009D7257">
        <w:rPr>
          <w:rFonts w:ascii="Arial" w:hAnsi="Arial" w:cs="Arial"/>
          <w:b/>
          <w:bCs/>
          <w:sz w:val="36"/>
          <w:szCs w:val="36"/>
        </w:rPr>
        <w:t>R</w:t>
      </w:r>
      <w:r w:rsidR="009D7257" w:rsidRPr="009D7257">
        <w:rPr>
          <w:rFonts w:ascii="Arial" w:hAnsi="Arial" w:cs="Arial"/>
          <w:b/>
          <w:bCs/>
          <w:sz w:val="36"/>
          <w:szCs w:val="36"/>
        </w:rPr>
        <w:t xml:space="preserve">egolamento per l’applicazione </w:t>
      </w:r>
      <w:r w:rsidR="009D7257" w:rsidRPr="009D7257">
        <w:rPr>
          <w:rFonts w:ascii="Arial" w:hAnsi="Arial" w:cs="Arial"/>
          <w:b/>
          <w:bCs/>
          <w:sz w:val="36"/>
          <w:szCs w:val="36"/>
        </w:rPr>
        <w:br/>
        <w:t>della nuova IMU – Imposta</w:t>
      </w:r>
      <w:r w:rsidR="009D7257" w:rsidRPr="009D7257">
        <w:rPr>
          <w:rFonts w:ascii="Arial" w:hAnsi="Arial" w:cs="Arial"/>
          <w:b/>
          <w:bCs/>
          <w:sz w:val="36"/>
          <w:szCs w:val="36"/>
        </w:rPr>
        <w:br/>
        <w:t>Municipale Propria</w:t>
      </w:r>
    </w:p>
    <w:p w:rsidR="00D7442C" w:rsidRDefault="00D7442C" w:rsidP="00D7442C">
      <w:pPr>
        <w:widowControl w:val="0"/>
        <w:spacing w:before="360" w:after="240"/>
        <w:jc w:val="center"/>
        <w:rPr>
          <w:rFonts w:ascii="Arial" w:hAnsi="Arial" w:cs="Arial"/>
          <w:b/>
          <w:bCs/>
          <w:sz w:val="36"/>
          <w:szCs w:val="36"/>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D7442C" w:rsidRDefault="00D7442C" w:rsidP="00D7442C">
      <w:pPr>
        <w:widowControl w:val="0"/>
        <w:spacing w:before="360" w:after="240"/>
        <w:jc w:val="center"/>
        <w:rPr>
          <w:rFonts w:ascii="Arial" w:hAnsi="Arial" w:cs="Arial"/>
          <w:sz w:val="20"/>
          <w:szCs w:val="20"/>
        </w:rPr>
      </w:pPr>
    </w:p>
    <w:p w:rsidR="00414F14" w:rsidRDefault="00414F14" w:rsidP="00D7442C">
      <w:pPr>
        <w:widowControl w:val="0"/>
        <w:spacing w:before="360" w:after="240"/>
        <w:jc w:val="center"/>
        <w:rPr>
          <w:rFonts w:ascii="Arial" w:hAnsi="Arial" w:cs="Arial"/>
          <w:sz w:val="20"/>
          <w:szCs w:val="20"/>
        </w:rPr>
      </w:pPr>
      <w:r w:rsidRPr="009D7257">
        <w:rPr>
          <w:rFonts w:ascii="Arial" w:hAnsi="Arial" w:cs="Arial"/>
          <w:sz w:val="20"/>
          <w:szCs w:val="20"/>
        </w:rPr>
        <w:t xml:space="preserve">Approvato con Delibera del Consiglio Comunale n. </w:t>
      </w:r>
      <w:r w:rsidR="00D7442C">
        <w:rPr>
          <w:rFonts w:ascii="Arial" w:hAnsi="Arial" w:cs="Arial"/>
          <w:sz w:val="20"/>
          <w:szCs w:val="20"/>
        </w:rPr>
        <w:t>..........</w:t>
      </w:r>
      <w:r w:rsidR="009D7257">
        <w:rPr>
          <w:rFonts w:ascii="Arial" w:hAnsi="Arial" w:cs="Arial"/>
          <w:sz w:val="20"/>
          <w:szCs w:val="20"/>
        </w:rPr>
        <w:t>.</w:t>
      </w:r>
      <w:r w:rsidRPr="009D7257">
        <w:rPr>
          <w:rFonts w:ascii="Arial" w:hAnsi="Arial" w:cs="Arial"/>
          <w:sz w:val="20"/>
          <w:szCs w:val="20"/>
        </w:rPr>
        <w:t xml:space="preserve"> del </w:t>
      </w:r>
      <w:r w:rsidR="009D7257">
        <w:rPr>
          <w:rFonts w:ascii="Arial" w:hAnsi="Arial" w:cs="Arial"/>
          <w:sz w:val="20"/>
          <w:szCs w:val="20"/>
        </w:rPr>
        <w:t>....../....../............</w:t>
      </w:r>
    </w:p>
    <w:p w:rsidR="0010576C" w:rsidRDefault="0010576C">
      <w:pPr>
        <w:rPr>
          <w:rFonts w:ascii="Arial" w:hAnsi="Arial" w:cs="Arial"/>
          <w:sz w:val="20"/>
          <w:szCs w:val="20"/>
        </w:rPr>
      </w:pPr>
      <w:r>
        <w:rPr>
          <w:rFonts w:ascii="Arial" w:hAnsi="Arial" w:cs="Arial"/>
          <w:sz w:val="20"/>
          <w:szCs w:val="20"/>
        </w:rPr>
        <w:br w:type="page"/>
      </w:r>
    </w:p>
    <w:p w:rsidR="0010576C" w:rsidRDefault="0010576C" w:rsidP="00C97108">
      <w:pPr>
        <w:pStyle w:val="Titolo1"/>
        <w:spacing w:before="240" w:after="240"/>
        <w:jc w:val="center"/>
        <w:rPr>
          <w:rFonts w:ascii="Arial" w:hAnsi="Arial" w:cs="Arial"/>
          <w:sz w:val="20"/>
          <w:szCs w:val="20"/>
        </w:rPr>
      </w:pPr>
    </w:p>
    <w:p w:rsidR="00C97108" w:rsidRDefault="00C97108" w:rsidP="00C97108">
      <w:pPr>
        <w:pStyle w:val="Titolo1"/>
        <w:spacing w:before="240" w:after="240"/>
        <w:jc w:val="center"/>
        <w:rPr>
          <w:rFonts w:ascii="Arial" w:hAnsi="Arial" w:cs="Arial"/>
          <w:sz w:val="20"/>
          <w:szCs w:val="20"/>
        </w:rPr>
      </w:pPr>
      <w:r>
        <w:rPr>
          <w:rFonts w:ascii="Arial" w:hAnsi="Arial" w:cs="Arial"/>
          <w:sz w:val="20"/>
          <w:szCs w:val="20"/>
        </w:rPr>
        <w:t>IMU – IMPOSTA MUNICIPALE UNICA</w:t>
      </w:r>
    </w:p>
    <w:p w:rsidR="00C97108" w:rsidRDefault="00C97108" w:rsidP="00B73EC9">
      <w:pPr>
        <w:pStyle w:val="Titolo1"/>
        <w:spacing w:before="240" w:after="240"/>
        <w:rPr>
          <w:rFonts w:ascii="Arial" w:hAnsi="Arial" w:cs="Arial"/>
          <w:sz w:val="20"/>
          <w:szCs w:val="20"/>
        </w:rPr>
      </w:pPr>
    </w:p>
    <w:p w:rsidR="00414F14" w:rsidRPr="009D7257" w:rsidRDefault="00414F14" w:rsidP="00BB28A6">
      <w:pPr>
        <w:pStyle w:val="Titolo1"/>
        <w:spacing w:before="240" w:after="240"/>
        <w:jc w:val="center"/>
        <w:rPr>
          <w:rFonts w:ascii="Arial" w:hAnsi="Arial" w:cs="Arial"/>
          <w:sz w:val="20"/>
          <w:szCs w:val="20"/>
        </w:rPr>
      </w:pPr>
      <w:r w:rsidRPr="009D7257">
        <w:rPr>
          <w:rFonts w:ascii="Arial" w:hAnsi="Arial" w:cs="Arial"/>
          <w:sz w:val="20"/>
          <w:szCs w:val="20"/>
        </w:rPr>
        <w:t xml:space="preserve">Art. 1 </w:t>
      </w:r>
      <w:bookmarkStart w:id="1" w:name="_Toc8712139"/>
      <w:r w:rsidRPr="009D7257">
        <w:rPr>
          <w:rFonts w:ascii="Arial" w:hAnsi="Arial" w:cs="Arial"/>
          <w:sz w:val="20"/>
          <w:szCs w:val="20"/>
        </w:rPr>
        <w:t>- Oggetto</w:t>
      </w:r>
      <w:bookmarkEnd w:id="1"/>
      <w:r w:rsidRPr="009D7257">
        <w:rPr>
          <w:rFonts w:ascii="Arial" w:hAnsi="Arial" w:cs="Arial"/>
          <w:sz w:val="20"/>
          <w:szCs w:val="20"/>
        </w:rPr>
        <w:t xml:space="preserve"> del regolamento ed ambito di applicazione</w:t>
      </w:r>
    </w:p>
    <w:p w:rsidR="00414F14" w:rsidRPr="009D7257" w:rsidRDefault="00414F14" w:rsidP="009D7257">
      <w:pPr>
        <w:numPr>
          <w:ilvl w:val="0"/>
          <w:numId w:val="1"/>
        </w:numPr>
        <w:spacing w:before="120" w:after="120"/>
        <w:jc w:val="both"/>
        <w:rPr>
          <w:rFonts w:ascii="Arial" w:hAnsi="Arial" w:cs="Arial"/>
          <w:sz w:val="20"/>
          <w:szCs w:val="20"/>
        </w:rPr>
      </w:pPr>
      <w:r w:rsidRPr="009D7257">
        <w:rPr>
          <w:rFonts w:ascii="Arial" w:hAnsi="Arial" w:cs="Arial"/>
          <w:sz w:val="20"/>
          <w:szCs w:val="20"/>
        </w:rPr>
        <w:t xml:space="preserve">Il presente Regolamento, adottato nell'ambito della potestà regolamentare prevista dall’art. 52 del Decreto Legislativo del 15 dicembre 1997, n. 446, disciplina l’applicazione nel </w:t>
      </w:r>
      <w:r w:rsidR="0099105C" w:rsidRPr="009D7257">
        <w:rPr>
          <w:rFonts w:ascii="Arial" w:hAnsi="Arial" w:cs="Arial"/>
          <w:sz w:val="20"/>
          <w:szCs w:val="20"/>
        </w:rPr>
        <w:t>C</w:t>
      </w:r>
      <w:r w:rsidRPr="009D7257">
        <w:rPr>
          <w:rFonts w:ascii="Arial" w:hAnsi="Arial" w:cs="Arial"/>
          <w:sz w:val="20"/>
          <w:szCs w:val="20"/>
        </w:rPr>
        <w:t xml:space="preserve">omune di </w:t>
      </w:r>
      <w:r w:rsidR="00F2094F">
        <w:rPr>
          <w:rFonts w:ascii="Arial" w:hAnsi="Arial" w:cs="Arial"/>
          <w:sz w:val="20"/>
          <w:szCs w:val="20"/>
        </w:rPr>
        <w:t>Sant’Anatolia di Narco</w:t>
      </w:r>
      <w:r w:rsidRPr="009D7257">
        <w:rPr>
          <w:rFonts w:ascii="Arial" w:hAnsi="Arial" w:cs="Arial"/>
          <w:sz w:val="20"/>
          <w:szCs w:val="20"/>
        </w:rPr>
        <w:t xml:space="preserve"> della nuova IMU - Imposta municipale propria, in vigore dal 1 gennaio 2020 a seguito dell’abolizione dell’Imposta unica comunale (IUC) di cui all’art. 1, comma 639, della legge 27 dicembre 2013, n. 147.</w:t>
      </w:r>
    </w:p>
    <w:p w:rsidR="00414F14" w:rsidRDefault="00414F14" w:rsidP="009D7257">
      <w:pPr>
        <w:numPr>
          <w:ilvl w:val="0"/>
          <w:numId w:val="1"/>
        </w:numPr>
        <w:spacing w:before="120" w:after="120"/>
        <w:jc w:val="both"/>
        <w:rPr>
          <w:rFonts w:ascii="Arial" w:hAnsi="Arial" w:cs="Arial"/>
          <w:sz w:val="20"/>
          <w:szCs w:val="20"/>
        </w:rPr>
      </w:pPr>
      <w:r w:rsidRPr="009D7257">
        <w:rPr>
          <w:rFonts w:ascii="Arial" w:hAnsi="Arial" w:cs="Arial"/>
          <w:sz w:val="20"/>
          <w:szCs w:val="20"/>
        </w:rPr>
        <w:t>La nuova imposta locale sostituisce le precedenti form</w:t>
      </w:r>
      <w:r w:rsidR="00BF7B21" w:rsidRPr="009D7257">
        <w:rPr>
          <w:rFonts w:ascii="Arial" w:hAnsi="Arial" w:cs="Arial"/>
          <w:sz w:val="20"/>
          <w:szCs w:val="20"/>
        </w:rPr>
        <w:t>e</w:t>
      </w:r>
      <w:r w:rsidRPr="009D7257">
        <w:rPr>
          <w:rFonts w:ascii="Arial" w:hAnsi="Arial" w:cs="Arial"/>
          <w:sz w:val="20"/>
          <w:szCs w:val="20"/>
        </w:rPr>
        <w:t xml:space="preserve"> di prelievo IMU e TASI ed è disciplinata dall’art. 1, commi 739 e seguenti della Legge 27 dicembre 2019, n. 160, nonché dal comma 1 dell’art. 8 e dal comma 9 dell’art. 9 del Decreto Legislativo 14 marzo 2011, n. 23 e dalle altre disposizioni richiamate nelle norme suddette.</w:t>
      </w:r>
    </w:p>
    <w:p w:rsidR="005612B8" w:rsidRPr="009D7257" w:rsidRDefault="005612B8" w:rsidP="009D7257">
      <w:pPr>
        <w:numPr>
          <w:ilvl w:val="0"/>
          <w:numId w:val="1"/>
        </w:numPr>
        <w:spacing w:before="120" w:after="120"/>
        <w:jc w:val="both"/>
        <w:rPr>
          <w:rFonts w:ascii="Arial" w:hAnsi="Arial" w:cs="Arial"/>
          <w:sz w:val="20"/>
          <w:szCs w:val="20"/>
        </w:rPr>
      </w:pPr>
      <w:r>
        <w:rPr>
          <w:rFonts w:ascii="Arial" w:hAnsi="Arial" w:cs="Arial"/>
          <w:sz w:val="20"/>
          <w:szCs w:val="20"/>
        </w:rPr>
        <w:t xml:space="preserve">Presupposto dell’imposta è il possesso di immobili. </w:t>
      </w:r>
    </w:p>
    <w:p w:rsidR="00414F14" w:rsidRDefault="00414F14" w:rsidP="009D7257">
      <w:pPr>
        <w:numPr>
          <w:ilvl w:val="0"/>
          <w:numId w:val="1"/>
        </w:numPr>
        <w:spacing w:before="120" w:after="120"/>
        <w:jc w:val="both"/>
        <w:rPr>
          <w:rFonts w:ascii="Arial" w:hAnsi="Arial" w:cs="Arial"/>
          <w:sz w:val="20"/>
          <w:szCs w:val="20"/>
        </w:rPr>
      </w:pPr>
      <w:r w:rsidRPr="009D7257">
        <w:rPr>
          <w:rFonts w:ascii="Arial" w:hAnsi="Arial" w:cs="Arial"/>
          <w:sz w:val="20"/>
          <w:szCs w:val="20"/>
        </w:rPr>
        <w:t>Per quanto non previsto dal presente regolamento si applicano le disposizioni normative vigenti nonché le norme regolamentari in materia di entrate tributarie dell’ente.</w:t>
      </w:r>
    </w:p>
    <w:p w:rsidR="001C3F90" w:rsidRPr="009D7257" w:rsidRDefault="001C3F90" w:rsidP="00E278CE">
      <w:pPr>
        <w:spacing w:before="120" w:after="120"/>
        <w:ind w:left="1440"/>
        <w:jc w:val="both"/>
        <w:rPr>
          <w:rFonts w:ascii="Arial" w:hAnsi="Arial" w:cs="Arial"/>
          <w:sz w:val="20"/>
          <w:szCs w:val="20"/>
        </w:rPr>
      </w:pPr>
    </w:p>
    <w:p w:rsidR="00414F14" w:rsidRPr="009D7257" w:rsidRDefault="00414F14" w:rsidP="00BB28A6">
      <w:pPr>
        <w:keepNext/>
        <w:autoSpaceDE w:val="0"/>
        <w:autoSpaceDN w:val="0"/>
        <w:adjustRightInd w:val="0"/>
        <w:spacing w:before="240" w:after="240"/>
        <w:jc w:val="center"/>
        <w:outlineLvl w:val="0"/>
        <w:rPr>
          <w:rFonts w:ascii="Arial" w:hAnsi="Arial" w:cs="Arial"/>
          <w:b/>
          <w:bCs/>
          <w:i/>
          <w:iCs/>
          <w:sz w:val="20"/>
          <w:szCs w:val="20"/>
        </w:rPr>
      </w:pPr>
      <w:r w:rsidRPr="009D7257">
        <w:rPr>
          <w:rFonts w:ascii="Arial" w:hAnsi="Arial" w:cs="Arial"/>
          <w:b/>
          <w:bCs/>
          <w:sz w:val="20"/>
          <w:szCs w:val="20"/>
        </w:rPr>
        <w:t>Art. 2 - Unità abitative assimilate all’abitazione principale</w:t>
      </w:r>
    </w:p>
    <w:p w:rsidR="00414F14" w:rsidRPr="009D7257" w:rsidRDefault="00414F14" w:rsidP="009D7257">
      <w:pPr>
        <w:numPr>
          <w:ilvl w:val="0"/>
          <w:numId w:val="2"/>
        </w:numPr>
        <w:tabs>
          <w:tab w:val="clear" w:pos="720"/>
          <w:tab w:val="num" w:pos="360"/>
        </w:tabs>
        <w:spacing w:before="120" w:after="120"/>
        <w:ind w:left="360"/>
        <w:jc w:val="both"/>
        <w:rPr>
          <w:rFonts w:ascii="Arial" w:hAnsi="Arial" w:cs="Arial"/>
          <w:sz w:val="20"/>
          <w:szCs w:val="20"/>
        </w:rPr>
      </w:pPr>
      <w:r w:rsidRPr="009D7257">
        <w:rPr>
          <w:rFonts w:ascii="Arial" w:hAnsi="Arial" w:cs="Arial"/>
          <w:sz w:val="20"/>
          <w:szCs w:val="20"/>
        </w:rPr>
        <w:t xml:space="preserve">A norma dell’art. 1, comma 741, lett. c), n. 6) della Legge 27 dicembre 2019, n. 160, sono considerate abitazioni principali l'unità immobiliare posseduta da anziani o disabili che acquisiscono la residenza in istituti di ricovero o sanitari a seguito di ricovero permanente, a condizione che la stessa non risulti locata. </w:t>
      </w:r>
    </w:p>
    <w:p w:rsidR="00D62F9A" w:rsidRDefault="00414F14" w:rsidP="00D62F9A">
      <w:pPr>
        <w:numPr>
          <w:ilvl w:val="0"/>
          <w:numId w:val="2"/>
        </w:numPr>
        <w:tabs>
          <w:tab w:val="clear" w:pos="720"/>
          <w:tab w:val="num" w:pos="360"/>
        </w:tabs>
        <w:spacing w:before="120" w:after="120"/>
        <w:ind w:left="360"/>
        <w:jc w:val="both"/>
        <w:rPr>
          <w:rFonts w:ascii="Arial" w:hAnsi="Arial" w:cs="Arial"/>
          <w:sz w:val="20"/>
          <w:szCs w:val="20"/>
        </w:rPr>
      </w:pPr>
      <w:r w:rsidRPr="009D7257">
        <w:rPr>
          <w:rFonts w:ascii="Arial" w:hAnsi="Arial" w:cs="Arial"/>
          <w:sz w:val="20"/>
          <w:szCs w:val="20"/>
        </w:rPr>
        <w:t>In caso di più unità immobiliari, la predetta agevolazione può essere applicata ad una sola unità immobilia</w:t>
      </w:r>
      <w:r w:rsidR="00F6562A">
        <w:rPr>
          <w:rFonts w:ascii="Arial" w:hAnsi="Arial" w:cs="Arial"/>
          <w:sz w:val="20"/>
          <w:szCs w:val="20"/>
        </w:rPr>
        <w:t>re</w:t>
      </w:r>
      <w:r w:rsidR="0013153B">
        <w:rPr>
          <w:rFonts w:ascii="Arial" w:hAnsi="Arial" w:cs="Arial"/>
          <w:sz w:val="20"/>
          <w:szCs w:val="20"/>
        </w:rPr>
        <w:t>.</w:t>
      </w:r>
    </w:p>
    <w:p w:rsidR="0013153B" w:rsidRPr="0013153B" w:rsidRDefault="0013153B" w:rsidP="0013153B">
      <w:pPr>
        <w:spacing w:before="120" w:after="120"/>
        <w:jc w:val="both"/>
        <w:rPr>
          <w:rFonts w:ascii="Arial" w:hAnsi="Arial" w:cs="Arial"/>
          <w:sz w:val="20"/>
          <w:szCs w:val="20"/>
        </w:rPr>
      </w:pPr>
      <w:r>
        <w:rPr>
          <w:rFonts w:ascii="Arial" w:hAnsi="Arial" w:cs="Arial"/>
          <w:sz w:val="20"/>
          <w:szCs w:val="20"/>
        </w:rPr>
        <w:t xml:space="preserve">3.   </w:t>
      </w:r>
      <w:r w:rsidRPr="0013153B">
        <w:rPr>
          <w:rFonts w:ascii="Arial" w:hAnsi="Arial" w:cs="Arial"/>
          <w:sz w:val="20"/>
          <w:szCs w:val="20"/>
        </w:rPr>
        <w:t xml:space="preserve">Per quanto riguarda l’abitazione assegnata dal giudice della separazione si precisa che la soggettività passiva rimane in capo all’assegnatario non solo con riferimento alle quote di possesso dell’ex coniuge, ma anche con riferimento alle eventuali quote dell’abitazione possedute da </w:t>
      </w:r>
      <w:r>
        <w:rPr>
          <w:rFonts w:ascii="Arial" w:hAnsi="Arial" w:cs="Arial"/>
          <w:sz w:val="20"/>
          <w:szCs w:val="20"/>
        </w:rPr>
        <w:t>parenti entro il secondo grado.</w:t>
      </w:r>
    </w:p>
    <w:p w:rsidR="0013153B" w:rsidRDefault="0013153B" w:rsidP="0013153B">
      <w:pPr>
        <w:spacing w:before="120" w:after="120"/>
        <w:jc w:val="both"/>
        <w:rPr>
          <w:rFonts w:ascii="Arial" w:hAnsi="Arial" w:cs="Arial"/>
          <w:sz w:val="20"/>
          <w:szCs w:val="20"/>
        </w:rPr>
      </w:pPr>
      <w:r>
        <w:rPr>
          <w:rFonts w:ascii="Arial" w:hAnsi="Arial" w:cs="Arial"/>
          <w:sz w:val="20"/>
          <w:szCs w:val="20"/>
        </w:rPr>
        <w:t xml:space="preserve">4.   </w:t>
      </w:r>
      <w:r w:rsidRPr="0013153B">
        <w:rPr>
          <w:rFonts w:ascii="Arial" w:hAnsi="Arial" w:cs="Arial"/>
          <w:sz w:val="20"/>
          <w:szCs w:val="20"/>
        </w:rPr>
        <w:t>Viene considerata assimilazione relativa all’abitazione utilizzata per motivi di lavoro in altro Comune, purché la residenza sia spostata per obbligo di legge o contrattuale.</w:t>
      </w:r>
    </w:p>
    <w:p w:rsidR="00EC728C" w:rsidRPr="0013153B" w:rsidRDefault="00EC728C" w:rsidP="0013153B">
      <w:pPr>
        <w:spacing w:before="120" w:after="120"/>
        <w:jc w:val="both"/>
        <w:rPr>
          <w:rFonts w:ascii="Arial" w:hAnsi="Arial" w:cs="Arial"/>
          <w:sz w:val="20"/>
          <w:szCs w:val="20"/>
        </w:rPr>
      </w:pPr>
      <w:r>
        <w:rPr>
          <w:rFonts w:ascii="Arial" w:hAnsi="Arial" w:cs="Arial"/>
          <w:sz w:val="20"/>
          <w:szCs w:val="20"/>
        </w:rPr>
        <w:t xml:space="preserve">5. Non è più prevista l’assimilazione ad abitazione principale dell’alloggio posseduto dal cittadino italiano residente all’estero pensionato nel rispettivo paese di residenza. </w:t>
      </w:r>
    </w:p>
    <w:p w:rsidR="00F6562A" w:rsidRPr="008C77CE" w:rsidRDefault="00F6562A" w:rsidP="00F6562A">
      <w:pPr>
        <w:spacing w:before="120" w:after="120"/>
        <w:jc w:val="both"/>
        <w:rPr>
          <w:rFonts w:ascii="Arial" w:hAnsi="Arial" w:cs="Arial"/>
          <w:sz w:val="20"/>
          <w:szCs w:val="20"/>
        </w:rPr>
      </w:pPr>
    </w:p>
    <w:p w:rsidR="00D62F9A" w:rsidRDefault="00D62F9A" w:rsidP="00BB28A6">
      <w:pPr>
        <w:spacing w:before="120" w:after="120"/>
        <w:jc w:val="center"/>
        <w:rPr>
          <w:rFonts w:ascii="Arial" w:hAnsi="Arial" w:cs="Arial"/>
          <w:b/>
          <w:sz w:val="20"/>
          <w:szCs w:val="20"/>
        </w:rPr>
      </w:pPr>
      <w:r w:rsidRPr="00BB28A6">
        <w:rPr>
          <w:rFonts w:ascii="Arial" w:hAnsi="Arial" w:cs="Arial"/>
          <w:b/>
          <w:sz w:val="20"/>
          <w:szCs w:val="20"/>
        </w:rPr>
        <w:t>Art. 3 –</w:t>
      </w:r>
      <w:r w:rsidR="00232325" w:rsidRPr="00BB28A6">
        <w:rPr>
          <w:rFonts w:ascii="Arial" w:hAnsi="Arial" w:cs="Arial"/>
          <w:b/>
          <w:sz w:val="20"/>
          <w:szCs w:val="20"/>
        </w:rPr>
        <w:t xml:space="preserve"> Aliquote</w:t>
      </w:r>
      <w:r w:rsidR="00BD6DA7" w:rsidRPr="00BB28A6">
        <w:rPr>
          <w:rFonts w:ascii="Arial" w:hAnsi="Arial" w:cs="Arial"/>
          <w:b/>
          <w:sz w:val="20"/>
          <w:szCs w:val="20"/>
        </w:rPr>
        <w:t xml:space="preserve"> e detrazioni</w:t>
      </w:r>
    </w:p>
    <w:p w:rsidR="00BD6DA7" w:rsidRDefault="00D62F9A" w:rsidP="007F04B5">
      <w:pPr>
        <w:jc w:val="both"/>
        <w:rPr>
          <w:rFonts w:ascii="Arial" w:hAnsi="Arial" w:cs="Arial"/>
          <w:sz w:val="20"/>
          <w:szCs w:val="20"/>
        </w:rPr>
      </w:pPr>
      <w:r>
        <w:rPr>
          <w:rFonts w:ascii="Arial" w:hAnsi="Arial" w:cs="Arial"/>
          <w:sz w:val="20"/>
          <w:szCs w:val="20"/>
        </w:rPr>
        <w:t xml:space="preserve">1.  </w:t>
      </w:r>
      <w:r w:rsidRPr="00D62F9A">
        <w:rPr>
          <w:rFonts w:ascii="Arial" w:hAnsi="Arial" w:cs="Arial"/>
          <w:sz w:val="20"/>
          <w:szCs w:val="20"/>
        </w:rPr>
        <w:t>L’aliquota è determinata con le modalità previste dalla normativa vigente, tenuto conto inoltre</w:t>
      </w:r>
      <w:r>
        <w:rPr>
          <w:rFonts w:ascii="Arial" w:hAnsi="Arial" w:cs="Arial"/>
          <w:sz w:val="20"/>
          <w:szCs w:val="20"/>
        </w:rPr>
        <w:t xml:space="preserve"> </w:t>
      </w:r>
      <w:r w:rsidRPr="00D62F9A">
        <w:rPr>
          <w:rFonts w:ascii="Arial" w:hAnsi="Arial" w:cs="Arial"/>
          <w:sz w:val="20"/>
          <w:szCs w:val="20"/>
        </w:rPr>
        <w:t>dal regolamento generale delle entrate, avendo riguardo alle necessità di bilancio ed ai criteri di</w:t>
      </w:r>
      <w:r>
        <w:rPr>
          <w:rFonts w:ascii="Arial" w:hAnsi="Arial" w:cs="Arial"/>
          <w:sz w:val="20"/>
          <w:szCs w:val="20"/>
        </w:rPr>
        <w:t xml:space="preserve"> </w:t>
      </w:r>
      <w:r w:rsidRPr="00D62F9A">
        <w:rPr>
          <w:rFonts w:ascii="Arial" w:hAnsi="Arial" w:cs="Arial"/>
          <w:sz w:val="20"/>
          <w:szCs w:val="20"/>
        </w:rPr>
        <w:t>equità fiscale</w:t>
      </w:r>
      <w:r>
        <w:rPr>
          <w:rFonts w:ascii="Arial" w:hAnsi="Arial" w:cs="Arial"/>
          <w:sz w:val="20"/>
          <w:szCs w:val="20"/>
        </w:rPr>
        <w:t>.</w:t>
      </w:r>
    </w:p>
    <w:p w:rsidR="00BD6DA7" w:rsidRDefault="00BD6DA7" w:rsidP="007F04B5">
      <w:pPr>
        <w:jc w:val="both"/>
        <w:rPr>
          <w:rFonts w:ascii="Arial" w:hAnsi="Arial" w:cs="Arial"/>
          <w:sz w:val="20"/>
          <w:szCs w:val="20"/>
        </w:rPr>
      </w:pPr>
    </w:p>
    <w:p w:rsidR="00C77089" w:rsidRDefault="00BD6DA7" w:rsidP="007F04B5">
      <w:pPr>
        <w:pStyle w:val="Corpotesto"/>
        <w:spacing w:before="120" w:after="120"/>
        <w:rPr>
          <w:sz w:val="20"/>
          <w:szCs w:val="20"/>
        </w:rPr>
      </w:pPr>
      <w:r>
        <w:rPr>
          <w:sz w:val="20"/>
          <w:szCs w:val="20"/>
        </w:rPr>
        <w:t>2</w:t>
      </w:r>
      <w:r w:rsidRPr="00BB28A6">
        <w:rPr>
          <w:sz w:val="20"/>
          <w:szCs w:val="20"/>
        </w:rPr>
        <w:t xml:space="preserve">. </w:t>
      </w:r>
      <w:r w:rsidR="004D20F7" w:rsidRPr="00BB28A6">
        <w:rPr>
          <w:sz w:val="20"/>
          <w:szCs w:val="20"/>
        </w:rPr>
        <w:t xml:space="preserve">   </w:t>
      </w:r>
      <w:r w:rsidR="00C77089" w:rsidRPr="00BB28A6">
        <w:rPr>
          <w:sz w:val="20"/>
          <w:szCs w:val="20"/>
        </w:rPr>
        <w:t>Per le abitazioni locate a canone concordato, il Comune determina, di concerto con la normativa nazionale</w:t>
      </w:r>
      <w:r w:rsidR="003F0758" w:rsidRPr="00BB28A6">
        <w:rPr>
          <w:sz w:val="20"/>
          <w:szCs w:val="20"/>
        </w:rPr>
        <w:t xml:space="preserve"> di cui alla legge 9 dicembre 1998, n. 431</w:t>
      </w:r>
      <w:r w:rsidR="00C77089" w:rsidRPr="00BB28A6">
        <w:rPr>
          <w:sz w:val="20"/>
          <w:szCs w:val="20"/>
        </w:rPr>
        <w:t>, una detrazione al soggetto passivo titolare di proprietà pari al 25 per cento dell’</w:t>
      </w:r>
      <w:r w:rsidR="003F0758" w:rsidRPr="00BB28A6">
        <w:rPr>
          <w:sz w:val="20"/>
          <w:szCs w:val="20"/>
        </w:rPr>
        <w:t>imposta dovuta, agevolazione spettante in modo che il valore complessivo del beneficio accordato non sia inferiore all’assegnazione disposta a decorrere dal 2016 ai sensi dell’articolo 1, commi 53 e 54 della legge 28 dicembre 2015, n.208.</w:t>
      </w:r>
    </w:p>
    <w:p w:rsidR="0082247E" w:rsidRDefault="0082247E" w:rsidP="0082247E">
      <w:pPr>
        <w:pStyle w:val="Corpotesto"/>
        <w:rPr>
          <w:sz w:val="20"/>
          <w:szCs w:val="20"/>
        </w:rPr>
      </w:pPr>
    </w:p>
    <w:p w:rsidR="00F45C27" w:rsidRDefault="00F6562A" w:rsidP="00F6562A">
      <w:pPr>
        <w:pStyle w:val="Corpotesto"/>
        <w:rPr>
          <w:sz w:val="20"/>
          <w:szCs w:val="20"/>
        </w:rPr>
      </w:pPr>
      <w:r>
        <w:rPr>
          <w:sz w:val="20"/>
          <w:szCs w:val="20"/>
        </w:rPr>
        <w:t xml:space="preserve">3.    </w:t>
      </w:r>
      <w:r w:rsidR="0082247E" w:rsidRPr="0082247E">
        <w:rPr>
          <w:sz w:val="20"/>
          <w:szCs w:val="20"/>
        </w:rPr>
        <w:t>Per i fabbricati costruiti dall’impresa costruttrice e da questa destinati alla vendita,</w:t>
      </w:r>
      <w:r w:rsidR="00BB6CF9">
        <w:rPr>
          <w:sz w:val="20"/>
          <w:szCs w:val="20"/>
        </w:rPr>
        <w:t xml:space="preserve"> </w:t>
      </w:r>
      <w:r w:rsidR="0082247E" w:rsidRPr="0082247E">
        <w:rPr>
          <w:sz w:val="20"/>
          <w:szCs w:val="20"/>
        </w:rPr>
        <w:t>fintanto che permanga tale destinazione e non siano in ogni caso locati, l’aliquota è ridotta</w:t>
      </w:r>
      <w:r w:rsidR="00BB6CF9">
        <w:rPr>
          <w:sz w:val="20"/>
          <w:szCs w:val="20"/>
        </w:rPr>
        <w:t xml:space="preserve"> </w:t>
      </w:r>
      <w:r w:rsidR="0082247E" w:rsidRPr="0082247E">
        <w:rPr>
          <w:sz w:val="20"/>
          <w:szCs w:val="20"/>
        </w:rPr>
        <w:t xml:space="preserve">all’1 per mille e i </w:t>
      </w:r>
      <w:r w:rsidR="00BB6CF9">
        <w:rPr>
          <w:sz w:val="20"/>
          <w:szCs w:val="20"/>
        </w:rPr>
        <w:t>C</w:t>
      </w:r>
      <w:r w:rsidR="0082247E" w:rsidRPr="0082247E">
        <w:rPr>
          <w:sz w:val="20"/>
          <w:szCs w:val="20"/>
        </w:rPr>
        <w:t>omuni possono modificarla in aumento sino allo 2,5 per mille o, in</w:t>
      </w:r>
      <w:r w:rsidR="00BB6CF9">
        <w:rPr>
          <w:sz w:val="20"/>
          <w:szCs w:val="20"/>
        </w:rPr>
        <w:t xml:space="preserve"> </w:t>
      </w:r>
      <w:r w:rsidR="0082247E" w:rsidRPr="0082247E">
        <w:rPr>
          <w:sz w:val="20"/>
          <w:szCs w:val="20"/>
        </w:rPr>
        <w:t>diminuzione, fino all’azzeramento. Nel caso di locazione temporanea del fabbricato</w:t>
      </w:r>
      <w:r w:rsidR="00BB6CF9">
        <w:rPr>
          <w:sz w:val="20"/>
          <w:szCs w:val="20"/>
        </w:rPr>
        <w:t xml:space="preserve"> </w:t>
      </w:r>
      <w:r w:rsidR="0082247E" w:rsidRPr="0082247E">
        <w:rPr>
          <w:sz w:val="20"/>
          <w:szCs w:val="20"/>
        </w:rPr>
        <w:t>destinato alla vendita, lo stesso è soggetto all'imposta con aliquota ordinaria per il periodo</w:t>
      </w:r>
      <w:r w:rsidR="00BB6CF9">
        <w:rPr>
          <w:sz w:val="20"/>
          <w:szCs w:val="20"/>
        </w:rPr>
        <w:t xml:space="preserve"> </w:t>
      </w:r>
      <w:r w:rsidR="0082247E" w:rsidRPr="0082247E">
        <w:rPr>
          <w:sz w:val="20"/>
          <w:szCs w:val="20"/>
        </w:rPr>
        <w:t>in cui lo stesso risulta locato. Ai fini dell’applicazione dei benefici di cui al presente comma,</w:t>
      </w:r>
      <w:r w:rsidR="00BB6CF9">
        <w:rPr>
          <w:sz w:val="20"/>
          <w:szCs w:val="20"/>
        </w:rPr>
        <w:t xml:space="preserve"> </w:t>
      </w:r>
      <w:r w:rsidR="0082247E" w:rsidRPr="0082247E">
        <w:rPr>
          <w:sz w:val="20"/>
          <w:szCs w:val="20"/>
        </w:rPr>
        <w:t>il soggetto passivo presenta, a pena di decadenza entro il termine ordinario per la</w:t>
      </w:r>
      <w:r w:rsidR="00BB6CF9">
        <w:rPr>
          <w:sz w:val="20"/>
          <w:szCs w:val="20"/>
        </w:rPr>
        <w:t xml:space="preserve"> </w:t>
      </w:r>
      <w:r w:rsidR="0082247E" w:rsidRPr="0082247E">
        <w:rPr>
          <w:sz w:val="20"/>
          <w:szCs w:val="20"/>
        </w:rPr>
        <w:t>presentazione delle dichiarazi</w:t>
      </w:r>
      <w:r w:rsidR="00E871B3">
        <w:rPr>
          <w:sz w:val="20"/>
          <w:szCs w:val="20"/>
        </w:rPr>
        <w:t>oni di variazione relative all’I</w:t>
      </w:r>
      <w:r w:rsidR="0082247E" w:rsidRPr="0082247E">
        <w:rPr>
          <w:sz w:val="20"/>
          <w:szCs w:val="20"/>
        </w:rPr>
        <w:t xml:space="preserve">mposta </w:t>
      </w:r>
      <w:r w:rsidR="00E871B3">
        <w:rPr>
          <w:sz w:val="20"/>
          <w:szCs w:val="20"/>
        </w:rPr>
        <w:t>M</w:t>
      </w:r>
      <w:r w:rsidR="0082247E" w:rsidRPr="0082247E">
        <w:rPr>
          <w:sz w:val="20"/>
          <w:szCs w:val="20"/>
        </w:rPr>
        <w:t>unicipale sugli</w:t>
      </w:r>
      <w:r w:rsidR="00BB6CF9">
        <w:rPr>
          <w:sz w:val="20"/>
          <w:szCs w:val="20"/>
        </w:rPr>
        <w:t xml:space="preserve"> </w:t>
      </w:r>
      <w:r w:rsidR="00E871B3">
        <w:rPr>
          <w:sz w:val="20"/>
          <w:szCs w:val="20"/>
        </w:rPr>
        <w:t>I</w:t>
      </w:r>
      <w:r w:rsidR="0082247E" w:rsidRPr="0082247E">
        <w:rPr>
          <w:sz w:val="20"/>
          <w:szCs w:val="20"/>
        </w:rPr>
        <w:t>mmobili, apposita dichiarazione, utilizzando il modello ministeriale predisposto per la</w:t>
      </w:r>
      <w:r w:rsidR="00BB6CF9">
        <w:rPr>
          <w:sz w:val="20"/>
          <w:szCs w:val="20"/>
        </w:rPr>
        <w:t xml:space="preserve"> </w:t>
      </w:r>
      <w:r w:rsidR="0082247E" w:rsidRPr="0082247E">
        <w:rPr>
          <w:sz w:val="20"/>
          <w:szCs w:val="20"/>
        </w:rPr>
        <w:t xml:space="preserve">presentazione delle suddette dichiarazioni, con la quale </w:t>
      </w:r>
      <w:r w:rsidR="0082247E" w:rsidRPr="0082247E">
        <w:rPr>
          <w:sz w:val="20"/>
          <w:szCs w:val="20"/>
        </w:rPr>
        <w:lastRenderedPageBreak/>
        <w:t>attesta il possesso dei requisiti e</w:t>
      </w:r>
      <w:r w:rsidR="00BB6CF9">
        <w:rPr>
          <w:sz w:val="20"/>
          <w:szCs w:val="20"/>
        </w:rPr>
        <w:t xml:space="preserve"> </w:t>
      </w:r>
      <w:r w:rsidR="0082247E" w:rsidRPr="0082247E">
        <w:rPr>
          <w:sz w:val="20"/>
          <w:szCs w:val="20"/>
        </w:rPr>
        <w:t>indica gli identificativi catastali degli immobili ai quali il beneficio si applica. Con decreto</w:t>
      </w:r>
      <w:r w:rsidR="00BB6CF9">
        <w:rPr>
          <w:sz w:val="20"/>
          <w:szCs w:val="20"/>
        </w:rPr>
        <w:t xml:space="preserve"> </w:t>
      </w:r>
      <w:r w:rsidR="0082247E" w:rsidRPr="0082247E">
        <w:rPr>
          <w:sz w:val="20"/>
          <w:szCs w:val="20"/>
        </w:rPr>
        <w:t>del Ministero dell’</w:t>
      </w:r>
      <w:r w:rsidR="00E871B3">
        <w:rPr>
          <w:sz w:val="20"/>
          <w:szCs w:val="20"/>
        </w:rPr>
        <w:t>E</w:t>
      </w:r>
      <w:r w:rsidR="0082247E" w:rsidRPr="0082247E">
        <w:rPr>
          <w:sz w:val="20"/>
          <w:szCs w:val="20"/>
        </w:rPr>
        <w:t xml:space="preserve">conomia e delle </w:t>
      </w:r>
      <w:r w:rsidR="00E871B3">
        <w:rPr>
          <w:sz w:val="20"/>
          <w:szCs w:val="20"/>
        </w:rPr>
        <w:t>F</w:t>
      </w:r>
      <w:r w:rsidR="0082247E" w:rsidRPr="0082247E">
        <w:rPr>
          <w:sz w:val="20"/>
          <w:szCs w:val="20"/>
        </w:rPr>
        <w:t>inanze sono apportate al predetto modello le modifiche</w:t>
      </w:r>
      <w:r w:rsidR="00BB6CF9">
        <w:rPr>
          <w:sz w:val="20"/>
          <w:szCs w:val="20"/>
        </w:rPr>
        <w:t xml:space="preserve"> </w:t>
      </w:r>
      <w:r w:rsidR="00515C5C">
        <w:rPr>
          <w:sz w:val="20"/>
          <w:szCs w:val="20"/>
        </w:rPr>
        <w:t>e</w:t>
      </w:r>
      <w:r w:rsidR="00723F7D">
        <w:rPr>
          <w:sz w:val="20"/>
          <w:szCs w:val="20"/>
        </w:rPr>
        <w:t>ventualmente necessarie per l’ap</w:t>
      </w:r>
      <w:r w:rsidR="0082247E" w:rsidRPr="0082247E">
        <w:rPr>
          <w:sz w:val="20"/>
          <w:szCs w:val="20"/>
        </w:rPr>
        <w:t>plicazione del presente comma.</w:t>
      </w:r>
    </w:p>
    <w:p w:rsidR="00F6562A" w:rsidRDefault="00F6562A" w:rsidP="00F6562A">
      <w:pPr>
        <w:pStyle w:val="Corpotesto"/>
        <w:rPr>
          <w:sz w:val="20"/>
          <w:szCs w:val="20"/>
        </w:rPr>
      </w:pPr>
    </w:p>
    <w:p w:rsidR="00F6562A" w:rsidRDefault="00F6562A" w:rsidP="00F6562A">
      <w:pPr>
        <w:pStyle w:val="Corpotesto"/>
        <w:rPr>
          <w:sz w:val="20"/>
          <w:szCs w:val="20"/>
        </w:rPr>
      </w:pPr>
    </w:p>
    <w:p w:rsidR="00414F14" w:rsidRPr="009D7257" w:rsidRDefault="00414F14" w:rsidP="0069103C">
      <w:pPr>
        <w:keepNext/>
        <w:autoSpaceDE w:val="0"/>
        <w:autoSpaceDN w:val="0"/>
        <w:adjustRightInd w:val="0"/>
        <w:spacing w:before="240" w:after="240"/>
        <w:jc w:val="center"/>
        <w:outlineLvl w:val="0"/>
        <w:rPr>
          <w:rFonts w:ascii="Arial" w:hAnsi="Arial" w:cs="Arial"/>
          <w:b/>
          <w:bCs/>
          <w:sz w:val="20"/>
          <w:szCs w:val="20"/>
        </w:rPr>
      </w:pPr>
      <w:r w:rsidRPr="009D7257">
        <w:rPr>
          <w:rFonts w:ascii="Arial" w:hAnsi="Arial" w:cs="Arial"/>
          <w:b/>
          <w:sz w:val="20"/>
          <w:szCs w:val="20"/>
        </w:rPr>
        <w:t>Art. 3 - Immobili inagibili ed inabitabili</w:t>
      </w:r>
    </w:p>
    <w:p w:rsidR="00414F14" w:rsidRPr="009D7257" w:rsidRDefault="003D0A3C" w:rsidP="003D0A3C">
      <w:pPr>
        <w:spacing w:before="120" w:after="120"/>
        <w:jc w:val="both"/>
        <w:rPr>
          <w:rFonts w:ascii="Arial" w:hAnsi="Arial" w:cs="Arial"/>
          <w:sz w:val="20"/>
          <w:szCs w:val="20"/>
        </w:rPr>
      </w:pPr>
      <w:r>
        <w:rPr>
          <w:rFonts w:ascii="Arial" w:hAnsi="Arial" w:cs="Arial"/>
          <w:sz w:val="20"/>
          <w:szCs w:val="20"/>
        </w:rPr>
        <w:t xml:space="preserve">1.     </w:t>
      </w:r>
      <w:r w:rsidR="00414F14" w:rsidRPr="009D7257">
        <w:rPr>
          <w:rFonts w:ascii="Arial" w:hAnsi="Arial" w:cs="Arial"/>
          <w:sz w:val="20"/>
          <w:szCs w:val="20"/>
        </w:rPr>
        <w:t>Ai fini dell’applicazione della riduzione di cui all’art. 1, comma 747, lett. b) della Legge 27 dicembre 2019, n. 160, deve sussistere una situazione di fatiscenza sopravvenuta.</w:t>
      </w:r>
    </w:p>
    <w:p w:rsidR="00414F14" w:rsidRPr="009D7257" w:rsidRDefault="003D0A3C" w:rsidP="003D0A3C">
      <w:pPr>
        <w:spacing w:before="120" w:after="120"/>
        <w:jc w:val="both"/>
        <w:rPr>
          <w:rFonts w:ascii="Arial" w:hAnsi="Arial" w:cs="Arial"/>
          <w:sz w:val="20"/>
          <w:szCs w:val="20"/>
        </w:rPr>
      </w:pPr>
      <w:r>
        <w:rPr>
          <w:rFonts w:ascii="Arial" w:hAnsi="Arial" w:cs="Arial"/>
          <w:sz w:val="20"/>
          <w:szCs w:val="20"/>
        </w:rPr>
        <w:t>2.        In</w:t>
      </w:r>
      <w:r w:rsidR="00414F14" w:rsidRPr="009D7257">
        <w:rPr>
          <w:rFonts w:ascii="Arial" w:hAnsi="Arial" w:cs="Arial"/>
          <w:sz w:val="20"/>
          <w:szCs w:val="20"/>
        </w:rPr>
        <w:t xml:space="preserve"> particolare, l'inagibilità od inabitabilità deve consistere in un degrado fisico sopravvenuto (fabbricato diroccato, pericolante, fatiscente) non superabile con interventi di manutenzione ordinaria o straordinaria.</w:t>
      </w:r>
    </w:p>
    <w:p w:rsidR="00414F14" w:rsidRPr="009D7257" w:rsidRDefault="003D0A3C" w:rsidP="003D0A3C">
      <w:pPr>
        <w:spacing w:before="120" w:after="120"/>
        <w:jc w:val="both"/>
        <w:rPr>
          <w:rFonts w:ascii="Arial" w:hAnsi="Arial" w:cs="Arial"/>
          <w:sz w:val="20"/>
          <w:szCs w:val="20"/>
        </w:rPr>
      </w:pPr>
      <w:r>
        <w:rPr>
          <w:rFonts w:ascii="Arial" w:hAnsi="Arial" w:cs="Arial"/>
          <w:sz w:val="20"/>
          <w:szCs w:val="20"/>
        </w:rPr>
        <w:t xml:space="preserve">3.      </w:t>
      </w:r>
      <w:r w:rsidR="00414F14" w:rsidRPr="009D7257">
        <w:rPr>
          <w:rFonts w:ascii="Arial" w:hAnsi="Arial" w:cs="Arial"/>
          <w:sz w:val="20"/>
          <w:szCs w:val="20"/>
        </w:rPr>
        <w:t>I fabbricati devono possedere le caratteristiche di seguito indicate: immobili che necessitino di interventi di restauro e risanamento conservativo e/o di ristrutturazione edilizia, ai sensi dell'art. 31, comma 1, lett. c) e d), della legge 5 agosto 1978, n. 457 ed ai sensi delle disposizioni contenute nel vigente strumento edilizio vigente e che, nel contempo, risultino diroccati, pericolanti e fatiscenti.</w:t>
      </w:r>
    </w:p>
    <w:p w:rsidR="00414F14" w:rsidRPr="009D7257" w:rsidRDefault="003D0A3C" w:rsidP="003D0A3C">
      <w:pPr>
        <w:spacing w:before="120" w:after="120"/>
        <w:jc w:val="both"/>
        <w:rPr>
          <w:rFonts w:ascii="Arial" w:hAnsi="Arial" w:cs="Arial"/>
          <w:sz w:val="20"/>
          <w:szCs w:val="20"/>
        </w:rPr>
      </w:pPr>
      <w:r>
        <w:rPr>
          <w:rFonts w:ascii="Arial" w:hAnsi="Arial" w:cs="Arial"/>
          <w:sz w:val="20"/>
          <w:szCs w:val="20"/>
        </w:rPr>
        <w:t xml:space="preserve">4.       </w:t>
      </w:r>
      <w:r w:rsidR="00414F14" w:rsidRPr="009D7257">
        <w:rPr>
          <w:rFonts w:ascii="Arial" w:hAnsi="Arial" w:cs="Arial"/>
          <w:sz w:val="20"/>
          <w:szCs w:val="20"/>
        </w:rPr>
        <w:t>A titolo esemplificativo, si considerano inagibili o inabitabili e di fatto non utilizzati i fabbricati aventi le seguenti caratteristiche:</w:t>
      </w:r>
    </w:p>
    <w:p w:rsidR="00414F14" w:rsidRPr="009D7257" w:rsidRDefault="00414F14" w:rsidP="00B73EC9">
      <w:pPr>
        <w:numPr>
          <w:ilvl w:val="0"/>
          <w:numId w:val="6"/>
        </w:numPr>
        <w:tabs>
          <w:tab w:val="clear" w:pos="1440"/>
        </w:tabs>
        <w:spacing w:before="120" w:after="120"/>
        <w:ind w:left="757"/>
        <w:jc w:val="both"/>
        <w:rPr>
          <w:rFonts w:ascii="Arial" w:hAnsi="Arial" w:cs="Arial"/>
          <w:sz w:val="20"/>
          <w:szCs w:val="20"/>
        </w:rPr>
      </w:pPr>
      <w:r w:rsidRPr="009D7257">
        <w:rPr>
          <w:rFonts w:ascii="Arial" w:hAnsi="Arial" w:cs="Arial"/>
          <w:sz w:val="20"/>
          <w:szCs w:val="20"/>
        </w:rPr>
        <w:t>strutture orizzontali (solai e tetto di copertura) con gravi lesioni che possano costituire pericolo a cose o persone, con rischi di crollo;</w:t>
      </w:r>
    </w:p>
    <w:p w:rsidR="00414F14" w:rsidRPr="009D7257" w:rsidRDefault="00414F14" w:rsidP="00B73EC9">
      <w:pPr>
        <w:numPr>
          <w:ilvl w:val="0"/>
          <w:numId w:val="6"/>
        </w:numPr>
        <w:tabs>
          <w:tab w:val="clear" w:pos="1440"/>
        </w:tabs>
        <w:spacing w:before="120" w:after="120"/>
        <w:ind w:left="757"/>
        <w:jc w:val="both"/>
        <w:rPr>
          <w:rFonts w:ascii="Arial" w:hAnsi="Arial" w:cs="Arial"/>
          <w:sz w:val="20"/>
          <w:szCs w:val="20"/>
        </w:rPr>
      </w:pPr>
      <w:r w:rsidRPr="009D7257">
        <w:rPr>
          <w:rFonts w:ascii="Arial" w:hAnsi="Arial" w:cs="Arial"/>
          <w:sz w:val="20"/>
          <w:szCs w:val="20"/>
        </w:rPr>
        <w:t>strutture verticali (muri perimetrali o di confine) con gravi lesioni che possano costituire pericolo e possano far presagire danni a cose o persone, con rischi di crollo parziale o totale;</w:t>
      </w:r>
    </w:p>
    <w:p w:rsidR="00414F14" w:rsidRPr="009D7257" w:rsidRDefault="00414F14" w:rsidP="00B73EC9">
      <w:pPr>
        <w:numPr>
          <w:ilvl w:val="0"/>
          <w:numId w:val="6"/>
        </w:numPr>
        <w:tabs>
          <w:tab w:val="clear" w:pos="1440"/>
        </w:tabs>
        <w:spacing w:before="120" w:after="120"/>
        <w:ind w:left="757"/>
        <w:jc w:val="both"/>
        <w:rPr>
          <w:rFonts w:ascii="Arial" w:hAnsi="Arial" w:cs="Arial"/>
          <w:sz w:val="20"/>
          <w:szCs w:val="20"/>
        </w:rPr>
      </w:pPr>
      <w:r w:rsidRPr="009D7257">
        <w:rPr>
          <w:rFonts w:ascii="Arial" w:hAnsi="Arial" w:cs="Arial"/>
          <w:sz w:val="20"/>
          <w:szCs w:val="20"/>
        </w:rPr>
        <w:t>edifici per i quali è stata emessa ordinanza sindacale di demolizione o ripristino atta ad evitare danni a cose o persone;</w:t>
      </w:r>
    </w:p>
    <w:p w:rsidR="00414F14" w:rsidRPr="009D7257" w:rsidRDefault="00414F14" w:rsidP="00B73EC9">
      <w:pPr>
        <w:numPr>
          <w:ilvl w:val="0"/>
          <w:numId w:val="6"/>
        </w:numPr>
        <w:tabs>
          <w:tab w:val="clear" w:pos="1440"/>
        </w:tabs>
        <w:spacing w:before="120" w:after="120"/>
        <w:ind w:left="757"/>
        <w:jc w:val="both"/>
        <w:rPr>
          <w:rFonts w:ascii="Arial" w:hAnsi="Arial" w:cs="Arial"/>
          <w:sz w:val="20"/>
          <w:szCs w:val="20"/>
        </w:rPr>
      </w:pPr>
      <w:r w:rsidRPr="009D7257">
        <w:rPr>
          <w:rFonts w:ascii="Arial" w:hAnsi="Arial" w:cs="Arial"/>
          <w:sz w:val="20"/>
          <w:szCs w:val="20"/>
        </w:rPr>
        <w:t>edifici che per le loro caratteristiche intrinseche ed estrinseche di fatiscenza non siano compatibili all'uso per il quale erano destinati, quali la vetustà della costruzione accompagnata dalla mancanza delle parti ornamentali e di finitura del fabbricato (mancanza di infissi, di allaccio alle opere di urbanizzazione primaria, etc.);</w:t>
      </w:r>
    </w:p>
    <w:p w:rsidR="00414F14" w:rsidRPr="009D7257" w:rsidRDefault="005709D0" w:rsidP="005709D0">
      <w:pPr>
        <w:spacing w:before="120" w:after="120"/>
        <w:jc w:val="both"/>
        <w:rPr>
          <w:rFonts w:ascii="Arial" w:hAnsi="Arial" w:cs="Arial"/>
          <w:sz w:val="20"/>
          <w:szCs w:val="20"/>
        </w:rPr>
      </w:pPr>
      <w:r>
        <w:rPr>
          <w:rFonts w:ascii="Arial" w:hAnsi="Arial" w:cs="Arial"/>
          <w:sz w:val="20"/>
          <w:szCs w:val="20"/>
        </w:rPr>
        <w:t xml:space="preserve">5.     </w:t>
      </w:r>
      <w:r w:rsidR="00414F14" w:rsidRPr="009D7257">
        <w:rPr>
          <w:rFonts w:ascii="Arial" w:hAnsi="Arial" w:cs="Arial"/>
          <w:sz w:val="20"/>
          <w:szCs w:val="20"/>
        </w:rPr>
        <w:t>Non costituisce, per sé solo, motivo di inagibilità o inabitabilità il rifacimento e/o il mancato allacciamento degli impianti (gas, luce, acqua, ecc.). Non possono essere considerate inagibili o inabitabili le unità immobiliari carenti delle normali operazioni di riparazione, rinnovamento e sostituzione delle finiture o di quelle necessarie ad integrare e/o mantenere in efficienza gli impianti tecnologici esistenti quali, a titolo di esempio, gli interventi di:</w:t>
      </w:r>
    </w:p>
    <w:p w:rsidR="00414F14" w:rsidRPr="009D7257" w:rsidRDefault="00414F14" w:rsidP="00B73EC9">
      <w:pPr>
        <w:numPr>
          <w:ilvl w:val="0"/>
          <w:numId w:val="8"/>
        </w:numPr>
        <w:tabs>
          <w:tab w:val="clear" w:pos="720"/>
        </w:tabs>
        <w:spacing w:before="120" w:after="120"/>
        <w:ind w:left="757"/>
        <w:jc w:val="both"/>
        <w:rPr>
          <w:rFonts w:ascii="Arial" w:hAnsi="Arial" w:cs="Arial"/>
          <w:sz w:val="20"/>
          <w:szCs w:val="20"/>
        </w:rPr>
      </w:pPr>
      <w:r w:rsidRPr="009D7257">
        <w:rPr>
          <w:rFonts w:ascii="Arial" w:hAnsi="Arial" w:cs="Arial"/>
          <w:sz w:val="20"/>
          <w:szCs w:val="20"/>
        </w:rPr>
        <w:t>tinteggiatura, dipintura e rifacimento intonaci interni ed esterni;</w:t>
      </w:r>
    </w:p>
    <w:p w:rsidR="00414F14" w:rsidRPr="009D7257" w:rsidRDefault="00414F14" w:rsidP="00B73EC9">
      <w:pPr>
        <w:numPr>
          <w:ilvl w:val="0"/>
          <w:numId w:val="8"/>
        </w:numPr>
        <w:tabs>
          <w:tab w:val="clear" w:pos="720"/>
        </w:tabs>
        <w:spacing w:before="120" w:after="120"/>
        <w:ind w:left="757"/>
        <w:jc w:val="both"/>
        <w:rPr>
          <w:rFonts w:ascii="Arial" w:hAnsi="Arial" w:cs="Arial"/>
          <w:sz w:val="20"/>
          <w:szCs w:val="20"/>
        </w:rPr>
      </w:pPr>
      <w:r w:rsidRPr="009D7257">
        <w:rPr>
          <w:rFonts w:ascii="Arial" w:hAnsi="Arial" w:cs="Arial"/>
          <w:sz w:val="20"/>
          <w:szCs w:val="20"/>
        </w:rPr>
        <w:t>pulitura, riparazione di manti di copertura e/o delle pavimentazioni;</w:t>
      </w:r>
    </w:p>
    <w:p w:rsidR="00414F14" w:rsidRPr="009D7257" w:rsidRDefault="00414F14" w:rsidP="00B73EC9">
      <w:pPr>
        <w:numPr>
          <w:ilvl w:val="0"/>
          <w:numId w:val="8"/>
        </w:numPr>
        <w:tabs>
          <w:tab w:val="clear" w:pos="720"/>
        </w:tabs>
        <w:spacing w:before="120" w:after="120"/>
        <w:ind w:left="757"/>
        <w:jc w:val="both"/>
        <w:rPr>
          <w:rFonts w:ascii="Arial" w:hAnsi="Arial" w:cs="Arial"/>
          <w:sz w:val="20"/>
          <w:szCs w:val="20"/>
        </w:rPr>
      </w:pPr>
      <w:r w:rsidRPr="009D7257">
        <w:rPr>
          <w:rFonts w:ascii="Arial" w:hAnsi="Arial" w:cs="Arial"/>
          <w:sz w:val="20"/>
          <w:szCs w:val="20"/>
        </w:rPr>
        <w:t>riparazione ed ammodernamento di impianti tecnici;</w:t>
      </w:r>
    </w:p>
    <w:p w:rsidR="00414F14" w:rsidRPr="009D7257" w:rsidRDefault="00414F14" w:rsidP="00B73EC9">
      <w:pPr>
        <w:numPr>
          <w:ilvl w:val="0"/>
          <w:numId w:val="8"/>
        </w:numPr>
        <w:tabs>
          <w:tab w:val="clear" w:pos="720"/>
        </w:tabs>
        <w:spacing w:before="120" w:after="120"/>
        <w:ind w:left="757"/>
        <w:jc w:val="both"/>
        <w:rPr>
          <w:rFonts w:ascii="Arial" w:hAnsi="Arial" w:cs="Arial"/>
          <w:sz w:val="20"/>
          <w:szCs w:val="20"/>
        </w:rPr>
      </w:pPr>
      <w:r w:rsidRPr="009D7257">
        <w:rPr>
          <w:rFonts w:ascii="Arial" w:hAnsi="Arial" w:cs="Arial"/>
          <w:sz w:val="20"/>
          <w:szCs w:val="20"/>
        </w:rPr>
        <w:t>riparazione e/o sostituzione di parti del tetto, anche con l’inserimento di materiali isolanti;</w:t>
      </w:r>
    </w:p>
    <w:p w:rsidR="00414F14" w:rsidRDefault="00414F14" w:rsidP="00B73EC9">
      <w:pPr>
        <w:numPr>
          <w:ilvl w:val="0"/>
          <w:numId w:val="8"/>
        </w:numPr>
        <w:tabs>
          <w:tab w:val="clear" w:pos="720"/>
        </w:tabs>
        <w:spacing w:before="120" w:after="120"/>
        <w:ind w:left="757"/>
        <w:jc w:val="both"/>
        <w:rPr>
          <w:rFonts w:ascii="Arial" w:hAnsi="Arial" w:cs="Arial"/>
          <w:sz w:val="20"/>
          <w:szCs w:val="20"/>
        </w:rPr>
      </w:pPr>
      <w:r w:rsidRPr="009D7257">
        <w:rPr>
          <w:rFonts w:ascii="Arial" w:hAnsi="Arial" w:cs="Arial"/>
          <w:sz w:val="20"/>
          <w:szCs w:val="20"/>
        </w:rPr>
        <w:t>rimozione di lastre di fibrocemento contenenti amianto.</w:t>
      </w:r>
    </w:p>
    <w:p w:rsidR="002675D7" w:rsidRPr="005709D0" w:rsidRDefault="005709D0" w:rsidP="005709D0">
      <w:pPr>
        <w:spacing w:before="120" w:after="120"/>
        <w:jc w:val="both"/>
        <w:rPr>
          <w:rFonts w:ascii="Arial" w:hAnsi="Arial" w:cs="Arial"/>
          <w:sz w:val="20"/>
          <w:szCs w:val="20"/>
        </w:rPr>
      </w:pPr>
      <w:r w:rsidRPr="00BE0DDF">
        <w:rPr>
          <w:rFonts w:ascii="Arial" w:hAnsi="Arial" w:cs="Arial"/>
          <w:sz w:val="20"/>
          <w:szCs w:val="20"/>
        </w:rPr>
        <w:t xml:space="preserve">6. </w:t>
      </w:r>
      <w:r w:rsidR="0093431B" w:rsidRPr="00BE0DDF">
        <w:rPr>
          <w:rFonts w:ascii="Arial" w:hAnsi="Arial" w:cs="Arial"/>
          <w:sz w:val="20"/>
          <w:szCs w:val="20"/>
        </w:rPr>
        <w:t xml:space="preserve">    </w:t>
      </w:r>
      <w:r w:rsidR="002675D7" w:rsidRPr="00BE0DDF">
        <w:rPr>
          <w:rFonts w:ascii="Arial" w:hAnsi="Arial" w:cs="Arial"/>
          <w:sz w:val="20"/>
          <w:szCs w:val="20"/>
        </w:rPr>
        <w:t>La base imponibile è ridotta del 50 per cento. La riduzione d’imposta decorre dalla data di sopravvenuta inagibilità o inabitabilità, che deve essere dichiarata dal proprietario entro 60 giorni. L’ufficio tecnico comunale accerterà e verificherà quanto dichiarato entro i 60 giorni successivi al deposito della dichiarazione al protocollo comunale, confermando le cond</w:t>
      </w:r>
      <w:r w:rsidR="00AE41A5" w:rsidRPr="00BE0DDF">
        <w:rPr>
          <w:rFonts w:ascii="Arial" w:hAnsi="Arial" w:cs="Arial"/>
          <w:sz w:val="20"/>
          <w:szCs w:val="20"/>
        </w:rPr>
        <w:t xml:space="preserve">izioni di fatiscenza dichiarate </w:t>
      </w:r>
      <w:r w:rsidR="002675D7" w:rsidRPr="00BE0DDF">
        <w:rPr>
          <w:rFonts w:ascii="Arial" w:hAnsi="Arial" w:cs="Arial"/>
          <w:sz w:val="20"/>
          <w:szCs w:val="20"/>
        </w:rPr>
        <w:t>o rigettando motivatamente la richiesta.</w:t>
      </w:r>
    </w:p>
    <w:p w:rsidR="005C3C0C" w:rsidRPr="0094158B" w:rsidRDefault="0094158B" w:rsidP="005C3C0C">
      <w:pPr>
        <w:pStyle w:val="Paragrafoelenco"/>
        <w:spacing w:before="120" w:after="120"/>
        <w:ind w:left="360"/>
        <w:jc w:val="both"/>
        <w:rPr>
          <w:rFonts w:ascii="Arial" w:hAnsi="Arial" w:cs="Arial"/>
          <w:sz w:val="20"/>
          <w:szCs w:val="20"/>
        </w:rPr>
      </w:pPr>
      <w:r>
        <w:rPr>
          <w:rFonts w:ascii="Arial" w:hAnsi="Arial" w:cs="Arial"/>
          <w:sz w:val="20"/>
          <w:szCs w:val="20"/>
        </w:rPr>
        <w:t xml:space="preserve">                                                        </w:t>
      </w:r>
    </w:p>
    <w:p w:rsidR="0094158B" w:rsidRPr="0094158B" w:rsidRDefault="0094158B" w:rsidP="0094158B">
      <w:pPr>
        <w:pStyle w:val="Paragrafoelenco"/>
        <w:spacing w:before="120" w:after="120"/>
        <w:ind w:left="360"/>
        <w:jc w:val="both"/>
        <w:rPr>
          <w:rFonts w:ascii="Arial" w:hAnsi="Arial" w:cs="Arial"/>
          <w:sz w:val="20"/>
          <w:szCs w:val="20"/>
        </w:rPr>
      </w:pPr>
    </w:p>
    <w:p w:rsidR="00414F14" w:rsidRPr="009D7257" w:rsidRDefault="00414F14" w:rsidP="0090157E">
      <w:pPr>
        <w:pStyle w:val="Titolo2"/>
        <w:autoSpaceDE w:val="0"/>
        <w:autoSpaceDN w:val="0"/>
        <w:adjustRightInd w:val="0"/>
        <w:spacing w:before="240" w:after="240"/>
        <w:jc w:val="center"/>
        <w:rPr>
          <w:i/>
          <w:iCs/>
          <w:sz w:val="20"/>
          <w:szCs w:val="20"/>
        </w:rPr>
      </w:pPr>
      <w:r w:rsidRPr="009D7257">
        <w:rPr>
          <w:sz w:val="20"/>
          <w:szCs w:val="20"/>
        </w:rPr>
        <w:t>Art. 4 – Versamenti</w:t>
      </w:r>
    </w:p>
    <w:p w:rsidR="00204A3E" w:rsidRDefault="00414F14" w:rsidP="00723F7D">
      <w:pPr>
        <w:numPr>
          <w:ilvl w:val="0"/>
          <w:numId w:val="12"/>
        </w:numPr>
        <w:tabs>
          <w:tab w:val="clear" w:pos="2340"/>
          <w:tab w:val="num" w:pos="360"/>
        </w:tabs>
        <w:spacing w:before="120" w:after="120"/>
        <w:ind w:left="360"/>
        <w:jc w:val="both"/>
        <w:rPr>
          <w:rFonts w:ascii="Arial" w:hAnsi="Arial" w:cs="Arial"/>
          <w:sz w:val="20"/>
          <w:szCs w:val="20"/>
        </w:rPr>
      </w:pPr>
      <w:r w:rsidRPr="00204A3E">
        <w:rPr>
          <w:rFonts w:ascii="Arial" w:hAnsi="Arial" w:cs="Arial"/>
          <w:sz w:val="20"/>
          <w:szCs w:val="20"/>
        </w:rPr>
        <w:t xml:space="preserve">Il versamento non è dovuto qualora l’importo dell’imposta sia uguale o inferiore </w:t>
      </w:r>
      <w:r w:rsidRPr="0090157E">
        <w:rPr>
          <w:rFonts w:ascii="Arial" w:hAnsi="Arial" w:cs="Arial"/>
          <w:sz w:val="20"/>
          <w:szCs w:val="20"/>
        </w:rPr>
        <w:t xml:space="preserve">a </w:t>
      </w:r>
      <w:r w:rsidR="00204A3E" w:rsidRPr="0090157E">
        <w:rPr>
          <w:rFonts w:ascii="Arial" w:hAnsi="Arial" w:cs="Arial"/>
          <w:sz w:val="20"/>
          <w:szCs w:val="20"/>
        </w:rPr>
        <w:t>12</w:t>
      </w:r>
      <w:r w:rsidRPr="0090157E">
        <w:rPr>
          <w:rFonts w:ascii="Arial" w:hAnsi="Arial" w:cs="Arial"/>
          <w:sz w:val="20"/>
          <w:szCs w:val="20"/>
        </w:rPr>
        <w:t xml:space="preserve"> euro</w:t>
      </w:r>
      <w:r w:rsidRPr="00204A3E">
        <w:rPr>
          <w:rFonts w:ascii="Arial" w:hAnsi="Arial" w:cs="Arial"/>
          <w:sz w:val="20"/>
          <w:szCs w:val="20"/>
        </w:rPr>
        <w:t xml:space="preserve">. Tale importo si intende riferito all’imposta complessivamente dovuta per l’anno d’imposta e non alle singole rate di acconto e di saldo. </w:t>
      </w:r>
    </w:p>
    <w:p w:rsidR="003F3DD5" w:rsidRPr="00C63A5E" w:rsidRDefault="003F3DD5" w:rsidP="00723F7D">
      <w:pPr>
        <w:numPr>
          <w:ilvl w:val="0"/>
          <w:numId w:val="12"/>
        </w:numPr>
        <w:tabs>
          <w:tab w:val="clear" w:pos="2340"/>
          <w:tab w:val="num" w:pos="360"/>
        </w:tabs>
        <w:spacing w:before="120" w:after="120"/>
        <w:ind w:left="360"/>
        <w:jc w:val="both"/>
        <w:rPr>
          <w:rFonts w:ascii="Arial" w:hAnsi="Arial" w:cs="Arial"/>
          <w:sz w:val="20"/>
          <w:szCs w:val="20"/>
        </w:rPr>
      </w:pPr>
      <w:r w:rsidRPr="00C63A5E">
        <w:rPr>
          <w:rFonts w:ascii="Arial" w:hAnsi="Arial" w:cs="Arial"/>
          <w:sz w:val="20"/>
          <w:szCs w:val="20"/>
        </w:rPr>
        <w:t xml:space="preserve">Si considerano regolarmente eseguiti i versamenti effettuati a nome del proprietario defunto, fino al 31 dicembre dell’anno di decesso, </w:t>
      </w:r>
      <w:r w:rsidR="009A6482" w:rsidRPr="00C63A5E">
        <w:rPr>
          <w:rFonts w:ascii="Arial" w:hAnsi="Arial" w:cs="Arial"/>
          <w:sz w:val="20"/>
          <w:szCs w:val="20"/>
        </w:rPr>
        <w:t>purché</w:t>
      </w:r>
      <w:r w:rsidRPr="00C63A5E">
        <w:rPr>
          <w:rFonts w:ascii="Arial" w:hAnsi="Arial" w:cs="Arial"/>
          <w:sz w:val="20"/>
          <w:szCs w:val="20"/>
        </w:rPr>
        <w:t xml:space="preserve"> l’imposta sia stata regolarmente calcolata. Gli eredi rispondono in </w:t>
      </w:r>
      <w:r w:rsidRPr="00C63A5E">
        <w:rPr>
          <w:rFonts w:ascii="Arial" w:hAnsi="Arial" w:cs="Arial"/>
          <w:sz w:val="20"/>
          <w:szCs w:val="20"/>
        </w:rPr>
        <w:lastRenderedPageBreak/>
        <w:t>solido delle obbligazioni tributarie il cui presupposto si è verificato anteriormente alla morte del dante causa.</w:t>
      </w:r>
    </w:p>
    <w:p w:rsidR="00414F14" w:rsidRPr="00204A3E" w:rsidRDefault="00414F14" w:rsidP="00723F7D">
      <w:pPr>
        <w:numPr>
          <w:ilvl w:val="0"/>
          <w:numId w:val="12"/>
        </w:numPr>
        <w:tabs>
          <w:tab w:val="clear" w:pos="2340"/>
          <w:tab w:val="num" w:pos="360"/>
        </w:tabs>
        <w:spacing w:before="120" w:after="120"/>
        <w:ind w:left="360"/>
        <w:jc w:val="both"/>
        <w:rPr>
          <w:rFonts w:ascii="Arial" w:hAnsi="Arial" w:cs="Arial"/>
          <w:sz w:val="20"/>
          <w:szCs w:val="20"/>
        </w:rPr>
      </w:pPr>
      <w:r w:rsidRPr="00204A3E">
        <w:rPr>
          <w:rFonts w:ascii="Arial" w:hAnsi="Arial" w:cs="Arial"/>
          <w:sz w:val="20"/>
          <w:szCs w:val="20"/>
        </w:rPr>
        <w:t>I versamenti dell’imposta si considerano regolarmente eseguiti anche se effettuati da un contitolare per conto degli altri, a condizione che ne sia data comunicazione all’ente impositore.</w:t>
      </w:r>
    </w:p>
    <w:p w:rsidR="00414F14" w:rsidRPr="009D7257" w:rsidRDefault="00414F14" w:rsidP="009D7257">
      <w:pPr>
        <w:numPr>
          <w:ilvl w:val="0"/>
          <w:numId w:val="12"/>
        </w:numPr>
        <w:tabs>
          <w:tab w:val="clear" w:pos="2340"/>
          <w:tab w:val="num" w:pos="360"/>
        </w:tabs>
        <w:spacing w:before="120" w:after="120"/>
        <w:ind w:left="360"/>
        <w:jc w:val="both"/>
        <w:rPr>
          <w:rFonts w:ascii="Arial" w:hAnsi="Arial" w:cs="Arial"/>
          <w:sz w:val="20"/>
          <w:szCs w:val="20"/>
        </w:rPr>
      </w:pPr>
      <w:r w:rsidRPr="009D7257">
        <w:rPr>
          <w:rFonts w:ascii="Arial" w:hAnsi="Arial" w:cs="Arial"/>
          <w:sz w:val="20"/>
          <w:szCs w:val="20"/>
        </w:rPr>
        <w:t xml:space="preserve">Con deliberazione della Giunta Comunale, i termini ordinari di versamento dell'imposta possono essere sospesi e differiti per i soggetti passivi che hanno l’obbligo di versamento del tributo, per la sola quota dovuta in favore del Comune di </w:t>
      </w:r>
      <w:r w:rsidR="00D014FA">
        <w:rPr>
          <w:rFonts w:ascii="Arial" w:hAnsi="Arial" w:cs="Arial"/>
          <w:sz w:val="20"/>
          <w:szCs w:val="20"/>
        </w:rPr>
        <w:t>Sant’Anatolia di Narco</w:t>
      </w:r>
      <w:r w:rsidRPr="009D7257">
        <w:rPr>
          <w:rFonts w:ascii="Arial" w:hAnsi="Arial" w:cs="Arial"/>
          <w:sz w:val="20"/>
          <w:szCs w:val="20"/>
        </w:rPr>
        <w:t>, quando si verificano:</w:t>
      </w:r>
    </w:p>
    <w:p w:rsidR="00414F14" w:rsidRPr="009D7257" w:rsidRDefault="00414F14" w:rsidP="00B40839">
      <w:pPr>
        <w:numPr>
          <w:ilvl w:val="1"/>
          <w:numId w:val="15"/>
        </w:numPr>
        <w:spacing w:before="120" w:after="120"/>
        <w:ind w:left="757"/>
        <w:jc w:val="both"/>
        <w:rPr>
          <w:rFonts w:ascii="Arial" w:hAnsi="Arial" w:cs="Arial"/>
          <w:sz w:val="20"/>
          <w:szCs w:val="20"/>
        </w:rPr>
      </w:pPr>
      <w:r w:rsidRPr="009D7257">
        <w:rPr>
          <w:rFonts w:ascii="Arial" w:hAnsi="Arial" w:cs="Arial"/>
          <w:sz w:val="20"/>
          <w:szCs w:val="20"/>
        </w:rPr>
        <w:t>gravi calamità naturali;</w:t>
      </w:r>
    </w:p>
    <w:p w:rsidR="00130BDE" w:rsidRDefault="00130BDE" w:rsidP="005D2EE7">
      <w:pPr>
        <w:pStyle w:val="Rientrocorpodeltesto"/>
        <w:ind w:left="0"/>
        <w:rPr>
          <w:sz w:val="20"/>
          <w:szCs w:val="20"/>
        </w:rPr>
      </w:pPr>
      <w:r>
        <w:rPr>
          <w:sz w:val="20"/>
          <w:szCs w:val="20"/>
        </w:rPr>
        <w:t>5.    Le scadenze per il pagamento dell’Imposta Municipale Unica</w:t>
      </w:r>
      <w:r w:rsidR="005D2EE7">
        <w:rPr>
          <w:sz w:val="20"/>
          <w:szCs w:val="20"/>
        </w:rPr>
        <w:t xml:space="preserve"> sono il </w:t>
      </w:r>
      <w:r>
        <w:rPr>
          <w:sz w:val="20"/>
          <w:szCs w:val="20"/>
        </w:rPr>
        <w:t>16 giugno per il versamento dell’acconto</w:t>
      </w:r>
      <w:r w:rsidR="005D2EE7">
        <w:rPr>
          <w:sz w:val="20"/>
          <w:szCs w:val="20"/>
        </w:rPr>
        <w:t xml:space="preserve"> e il </w:t>
      </w:r>
      <w:r>
        <w:rPr>
          <w:sz w:val="20"/>
          <w:szCs w:val="20"/>
        </w:rPr>
        <w:t>16 dicembre per il versamento del saldo.</w:t>
      </w:r>
      <w:r w:rsidR="005D2EE7">
        <w:rPr>
          <w:sz w:val="20"/>
          <w:szCs w:val="20"/>
        </w:rPr>
        <w:t xml:space="preserve"> Il contribuente può decidere di pagare tutta l’imposta con un unico versamento entro il 16 giugno dell’anno di riferimento. </w:t>
      </w:r>
    </w:p>
    <w:p w:rsidR="00807301" w:rsidRDefault="00807301" w:rsidP="005D2EE7">
      <w:pPr>
        <w:pStyle w:val="Rientrocorpodeltesto"/>
        <w:ind w:left="0"/>
        <w:rPr>
          <w:sz w:val="20"/>
          <w:szCs w:val="20"/>
        </w:rPr>
      </w:pPr>
    </w:p>
    <w:p w:rsidR="00807301" w:rsidRPr="00130BDE" w:rsidRDefault="00807301" w:rsidP="005D2EE7">
      <w:pPr>
        <w:pStyle w:val="Rientrocorpodeltesto"/>
        <w:ind w:left="0"/>
        <w:rPr>
          <w:sz w:val="20"/>
          <w:szCs w:val="20"/>
        </w:rPr>
      </w:pPr>
      <w:r w:rsidRPr="00672E44">
        <w:rPr>
          <w:sz w:val="20"/>
          <w:szCs w:val="20"/>
        </w:rPr>
        <w:t>6. Il versamento della prima rata è pari all’imposta dovuta per il primo semestre applicando l’aliquota e la detrazione dei dodici mesi dell’anno precedente. In sede di prima applicazione dell’imposta, la prima rata da corrispondere è pari alla metà di quanto versato a titolo di IMU per l’anno 2019.</w:t>
      </w:r>
      <w:r>
        <w:rPr>
          <w:sz w:val="20"/>
          <w:szCs w:val="20"/>
        </w:rPr>
        <w:t xml:space="preserve"> </w:t>
      </w:r>
    </w:p>
    <w:p w:rsidR="005D620D" w:rsidRDefault="005D620D" w:rsidP="005D620D">
      <w:pPr>
        <w:keepNext/>
        <w:autoSpaceDE w:val="0"/>
        <w:autoSpaceDN w:val="0"/>
        <w:adjustRightInd w:val="0"/>
        <w:spacing w:before="240" w:after="240"/>
        <w:jc w:val="center"/>
        <w:outlineLvl w:val="0"/>
        <w:rPr>
          <w:rFonts w:ascii="Arial" w:hAnsi="Arial" w:cs="Arial"/>
          <w:b/>
          <w:bCs/>
          <w:sz w:val="20"/>
          <w:szCs w:val="20"/>
        </w:rPr>
      </w:pPr>
    </w:p>
    <w:p w:rsidR="00414F14" w:rsidRPr="009D7257" w:rsidRDefault="00414F14" w:rsidP="005D620D">
      <w:pPr>
        <w:keepNext/>
        <w:autoSpaceDE w:val="0"/>
        <w:autoSpaceDN w:val="0"/>
        <w:adjustRightInd w:val="0"/>
        <w:spacing w:before="240" w:after="240"/>
        <w:jc w:val="center"/>
        <w:outlineLvl w:val="0"/>
        <w:rPr>
          <w:rFonts w:ascii="Arial" w:hAnsi="Arial" w:cs="Arial"/>
          <w:b/>
          <w:bCs/>
          <w:i/>
          <w:iCs/>
          <w:sz w:val="20"/>
          <w:szCs w:val="20"/>
        </w:rPr>
      </w:pPr>
      <w:r w:rsidRPr="009D7257">
        <w:rPr>
          <w:rFonts w:ascii="Arial" w:hAnsi="Arial" w:cs="Arial"/>
          <w:b/>
          <w:bCs/>
          <w:sz w:val="20"/>
          <w:szCs w:val="20"/>
        </w:rPr>
        <w:t>Art. 5 – Rimborsi</w:t>
      </w:r>
    </w:p>
    <w:p w:rsidR="00414F14" w:rsidRPr="005D620D" w:rsidRDefault="00414F14" w:rsidP="009D7257">
      <w:pPr>
        <w:numPr>
          <w:ilvl w:val="0"/>
          <w:numId w:val="13"/>
        </w:numPr>
        <w:tabs>
          <w:tab w:val="clear" w:pos="720"/>
          <w:tab w:val="num" w:pos="360"/>
        </w:tabs>
        <w:spacing w:before="120" w:after="120"/>
        <w:ind w:left="360"/>
        <w:jc w:val="both"/>
        <w:rPr>
          <w:rFonts w:ascii="Arial" w:hAnsi="Arial" w:cs="Arial"/>
          <w:sz w:val="20"/>
          <w:szCs w:val="20"/>
        </w:rPr>
      </w:pPr>
      <w:r w:rsidRPr="005D620D">
        <w:rPr>
          <w:rFonts w:ascii="Arial" w:hAnsi="Arial" w:cs="Arial"/>
          <w:sz w:val="20"/>
          <w:szCs w:val="20"/>
        </w:rPr>
        <w:t>Non si procede al rimborso di somme inferiori ad euro</w:t>
      </w:r>
      <w:r w:rsidR="00304AD4" w:rsidRPr="005D620D">
        <w:rPr>
          <w:rFonts w:ascii="Arial" w:hAnsi="Arial" w:cs="Arial"/>
          <w:sz w:val="20"/>
          <w:szCs w:val="20"/>
        </w:rPr>
        <w:t xml:space="preserve"> 12,00.</w:t>
      </w:r>
    </w:p>
    <w:p w:rsidR="00414F14" w:rsidRPr="009D7257" w:rsidRDefault="00414F14" w:rsidP="009D7257">
      <w:pPr>
        <w:numPr>
          <w:ilvl w:val="0"/>
          <w:numId w:val="13"/>
        </w:numPr>
        <w:tabs>
          <w:tab w:val="clear" w:pos="720"/>
          <w:tab w:val="num" w:pos="360"/>
        </w:tabs>
        <w:spacing w:before="120" w:after="120"/>
        <w:ind w:left="360"/>
        <w:jc w:val="both"/>
        <w:rPr>
          <w:rFonts w:ascii="Arial" w:hAnsi="Arial" w:cs="Arial"/>
          <w:sz w:val="20"/>
          <w:szCs w:val="20"/>
        </w:rPr>
      </w:pPr>
      <w:r w:rsidRPr="009D7257">
        <w:rPr>
          <w:rFonts w:ascii="Arial" w:hAnsi="Arial" w:cs="Arial"/>
          <w:sz w:val="20"/>
          <w:szCs w:val="20"/>
        </w:rPr>
        <w:t>Non spetta alcun rimborso nel caso vi sia stata utilizzazione edificatoria, anche abusiva, dell'area interessata, a prescindere dagli eventuali provvedimenti amministrativi adottati in merito all'abuso.</w:t>
      </w:r>
    </w:p>
    <w:p w:rsidR="00414F14" w:rsidRPr="009D7257" w:rsidRDefault="00414F14" w:rsidP="009D7257">
      <w:pPr>
        <w:numPr>
          <w:ilvl w:val="0"/>
          <w:numId w:val="13"/>
        </w:numPr>
        <w:tabs>
          <w:tab w:val="clear" w:pos="720"/>
          <w:tab w:val="num" w:pos="360"/>
        </w:tabs>
        <w:spacing w:before="120" w:after="120"/>
        <w:ind w:left="360"/>
        <w:jc w:val="both"/>
        <w:rPr>
          <w:rFonts w:ascii="Arial" w:hAnsi="Arial" w:cs="Arial"/>
          <w:sz w:val="20"/>
          <w:szCs w:val="20"/>
        </w:rPr>
      </w:pPr>
      <w:r w:rsidRPr="009D7257">
        <w:rPr>
          <w:rFonts w:ascii="Arial" w:hAnsi="Arial" w:cs="Arial"/>
          <w:sz w:val="20"/>
          <w:szCs w:val="20"/>
        </w:rPr>
        <w:t>Il rimborso spetta per il periodo d'imposta decorrente dall'ultimo acquisto a titolo oneroso per atto tra vivi dell'area, e comunque per un periodo non eccedente 5 anni antecedenti l'adozione del nuovo strumento urbanistico generale o sua variante.</w:t>
      </w:r>
    </w:p>
    <w:p w:rsidR="00414F14" w:rsidRPr="009D7257" w:rsidRDefault="00414F14" w:rsidP="009D7257">
      <w:pPr>
        <w:numPr>
          <w:ilvl w:val="0"/>
          <w:numId w:val="13"/>
        </w:numPr>
        <w:tabs>
          <w:tab w:val="clear" w:pos="720"/>
          <w:tab w:val="num" w:pos="360"/>
        </w:tabs>
        <w:spacing w:before="120" w:after="120"/>
        <w:ind w:left="360"/>
        <w:jc w:val="both"/>
        <w:rPr>
          <w:rFonts w:ascii="Arial" w:hAnsi="Arial" w:cs="Arial"/>
          <w:sz w:val="20"/>
          <w:szCs w:val="20"/>
        </w:rPr>
      </w:pPr>
      <w:r w:rsidRPr="009D7257">
        <w:rPr>
          <w:rFonts w:ascii="Arial" w:hAnsi="Arial" w:cs="Arial"/>
          <w:sz w:val="20"/>
          <w:szCs w:val="20"/>
        </w:rPr>
        <w:t>L'istanza di rimborso dovrà essere presentata nel rispetto del termine previsto dalla legge vigente, decorrente dalla definitiva approvazione del nuovo strumento urbanistico generale o sua variante. Sulle somme dovute a rimborso spettano gli interessi di legge.</w:t>
      </w:r>
    </w:p>
    <w:p w:rsidR="008D2CAC" w:rsidRDefault="008D2CAC" w:rsidP="00B73EC9">
      <w:pPr>
        <w:pStyle w:val="Titolo2"/>
        <w:autoSpaceDE w:val="0"/>
        <w:autoSpaceDN w:val="0"/>
        <w:adjustRightInd w:val="0"/>
        <w:spacing w:before="240" w:after="240"/>
        <w:jc w:val="left"/>
        <w:rPr>
          <w:sz w:val="20"/>
          <w:szCs w:val="20"/>
        </w:rPr>
      </w:pPr>
    </w:p>
    <w:p w:rsidR="00414F14" w:rsidRPr="009D7257" w:rsidRDefault="00414F14" w:rsidP="008D2CAC">
      <w:pPr>
        <w:pStyle w:val="Titolo2"/>
        <w:autoSpaceDE w:val="0"/>
        <w:autoSpaceDN w:val="0"/>
        <w:adjustRightInd w:val="0"/>
        <w:spacing w:before="240" w:after="240"/>
        <w:jc w:val="center"/>
        <w:rPr>
          <w:i/>
          <w:iCs/>
          <w:sz w:val="20"/>
          <w:szCs w:val="20"/>
        </w:rPr>
      </w:pPr>
      <w:r w:rsidRPr="00E94FB2">
        <w:rPr>
          <w:sz w:val="20"/>
          <w:szCs w:val="20"/>
        </w:rPr>
        <w:t>Art. 6 – Valori di riferimento delle aree fabbricabili</w:t>
      </w:r>
    </w:p>
    <w:p w:rsidR="00CA7A55" w:rsidRPr="00E94FB2" w:rsidRDefault="00CA7A55" w:rsidP="009D7257">
      <w:pPr>
        <w:numPr>
          <w:ilvl w:val="0"/>
          <w:numId w:val="11"/>
        </w:numPr>
        <w:tabs>
          <w:tab w:val="clear" w:pos="2340"/>
          <w:tab w:val="num" w:pos="360"/>
        </w:tabs>
        <w:spacing w:before="120" w:after="120"/>
        <w:ind w:left="360"/>
        <w:jc w:val="both"/>
        <w:rPr>
          <w:rFonts w:ascii="Arial" w:hAnsi="Arial" w:cs="Arial"/>
          <w:sz w:val="20"/>
          <w:szCs w:val="20"/>
        </w:rPr>
      </w:pPr>
      <w:r w:rsidRPr="00E94FB2">
        <w:rPr>
          <w:rFonts w:ascii="Arial" w:hAnsi="Arial" w:cs="Arial"/>
          <w:sz w:val="20"/>
          <w:szCs w:val="20"/>
        </w:rPr>
        <w:t>La base IMU delle aree edificabili è il valore venale in comune commercio</w:t>
      </w:r>
      <w:r w:rsidR="00653F7A" w:rsidRPr="00E94FB2">
        <w:rPr>
          <w:rFonts w:ascii="Arial" w:hAnsi="Arial" w:cs="Arial"/>
          <w:sz w:val="20"/>
          <w:szCs w:val="20"/>
        </w:rPr>
        <w:t xml:space="preserve"> e quella che ne costituisce pertinenza esclusivamente ai fini urbanistici.</w:t>
      </w:r>
    </w:p>
    <w:p w:rsidR="00414F14" w:rsidRPr="009D7257" w:rsidRDefault="00414F14" w:rsidP="009D7257">
      <w:pPr>
        <w:numPr>
          <w:ilvl w:val="0"/>
          <w:numId w:val="11"/>
        </w:numPr>
        <w:tabs>
          <w:tab w:val="clear" w:pos="2340"/>
          <w:tab w:val="num" w:pos="360"/>
        </w:tabs>
        <w:spacing w:before="120" w:after="120"/>
        <w:ind w:left="360"/>
        <w:jc w:val="both"/>
        <w:rPr>
          <w:rFonts w:ascii="Arial" w:hAnsi="Arial" w:cs="Arial"/>
          <w:sz w:val="20"/>
          <w:szCs w:val="20"/>
        </w:rPr>
      </w:pPr>
      <w:r w:rsidRPr="009D7257">
        <w:rPr>
          <w:rFonts w:ascii="Arial" w:hAnsi="Arial" w:cs="Arial"/>
          <w:sz w:val="20"/>
          <w:szCs w:val="20"/>
        </w:rPr>
        <w:t>Al fine di semplificare gli adempimenti a carico dei contribuenti e per orientare l’attività di controllo dell’ufficio, con propria delibera la Giunta Comunale può determinare periodicamente, per zone omogenee, i valori venali in comune commercio delle aree fabbricabili site nel territorio comunale.</w:t>
      </w:r>
    </w:p>
    <w:p w:rsidR="00414F14" w:rsidRPr="009D7257" w:rsidRDefault="00414F14" w:rsidP="009D7257">
      <w:pPr>
        <w:numPr>
          <w:ilvl w:val="0"/>
          <w:numId w:val="11"/>
        </w:numPr>
        <w:tabs>
          <w:tab w:val="clear" w:pos="2340"/>
          <w:tab w:val="num" w:pos="360"/>
        </w:tabs>
        <w:spacing w:before="120" w:after="120"/>
        <w:ind w:left="360"/>
        <w:jc w:val="both"/>
        <w:rPr>
          <w:rFonts w:ascii="Arial" w:hAnsi="Arial" w:cs="Arial"/>
          <w:sz w:val="20"/>
          <w:szCs w:val="20"/>
        </w:rPr>
      </w:pPr>
      <w:r w:rsidRPr="009D7257">
        <w:rPr>
          <w:rFonts w:ascii="Arial" w:hAnsi="Arial" w:cs="Arial"/>
          <w:sz w:val="20"/>
          <w:szCs w:val="20"/>
        </w:rPr>
        <w:t>L’adeguamento da parte dei contribuenti ai valori di cui al comma 2 non limita il potere di accertamento del Comune.</w:t>
      </w:r>
    </w:p>
    <w:p w:rsidR="00414F14" w:rsidRPr="009D7257" w:rsidRDefault="00414F14" w:rsidP="009D7257">
      <w:pPr>
        <w:numPr>
          <w:ilvl w:val="0"/>
          <w:numId w:val="11"/>
        </w:numPr>
        <w:tabs>
          <w:tab w:val="clear" w:pos="2340"/>
          <w:tab w:val="num" w:pos="360"/>
        </w:tabs>
        <w:spacing w:before="120" w:after="120"/>
        <w:ind w:left="360"/>
        <w:jc w:val="both"/>
        <w:rPr>
          <w:rFonts w:ascii="Arial" w:hAnsi="Arial" w:cs="Arial"/>
          <w:sz w:val="20"/>
          <w:szCs w:val="20"/>
        </w:rPr>
      </w:pPr>
      <w:r w:rsidRPr="009D7257">
        <w:rPr>
          <w:rFonts w:ascii="Arial" w:hAnsi="Arial" w:cs="Arial"/>
          <w:sz w:val="20"/>
          <w:szCs w:val="20"/>
        </w:rPr>
        <w:t>Al fine della limitazione del potere di accertamento del comune e di ridurre al massimo l'insorgenza di contenzioso, il Consiglio Comunale, con deliberazione avente natura regolamentare, può determinare periodicamente, per zone omogenee, i valori venali in comune commercio delle aree fabbricabili site nel territorio comunale.</w:t>
      </w:r>
    </w:p>
    <w:p w:rsidR="00414F14" w:rsidRDefault="00414F14" w:rsidP="009D7257">
      <w:pPr>
        <w:numPr>
          <w:ilvl w:val="0"/>
          <w:numId w:val="11"/>
        </w:numPr>
        <w:tabs>
          <w:tab w:val="clear" w:pos="2340"/>
          <w:tab w:val="num" w:pos="360"/>
        </w:tabs>
        <w:spacing w:before="120" w:after="120"/>
        <w:ind w:left="360"/>
        <w:jc w:val="both"/>
        <w:rPr>
          <w:rFonts w:ascii="Arial" w:hAnsi="Arial" w:cs="Arial"/>
          <w:sz w:val="20"/>
          <w:szCs w:val="20"/>
        </w:rPr>
      </w:pPr>
      <w:r w:rsidRPr="009D7257">
        <w:rPr>
          <w:rFonts w:ascii="Arial" w:hAnsi="Arial" w:cs="Arial"/>
          <w:sz w:val="20"/>
          <w:szCs w:val="20"/>
        </w:rPr>
        <w:t>L’ufficio competente non esercita il potere di accertamento qualora l'imposta sia stata versata sulla base di un valore non inferiore a quello predeterminato ai sensi del precedente comma 3.</w:t>
      </w:r>
    </w:p>
    <w:p w:rsidR="00CA7A55" w:rsidRPr="00727805" w:rsidRDefault="00CA7A55" w:rsidP="009D7257">
      <w:pPr>
        <w:numPr>
          <w:ilvl w:val="0"/>
          <w:numId w:val="11"/>
        </w:numPr>
        <w:tabs>
          <w:tab w:val="clear" w:pos="2340"/>
          <w:tab w:val="num" w:pos="360"/>
        </w:tabs>
        <w:spacing w:before="120" w:after="120"/>
        <w:ind w:left="360"/>
        <w:jc w:val="both"/>
        <w:rPr>
          <w:rFonts w:ascii="Arial" w:hAnsi="Arial" w:cs="Arial"/>
          <w:sz w:val="20"/>
          <w:szCs w:val="20"/>
        </w:rPr>
      </w:pPr>
      <w:r w:rsidRPr="00727805">
        <w:rPr>
          <w:rFonts w:ascii="Arial" w:hAnsi="Arial" w:cs="Arial"/>
          <w:sz w:val="20"/>
          <w:szCs w:val="20"/>
        </w:rPr>
        <w:t xml:space="preserve">In ogni caso, se viene dichiarato un valore superiore a quello previsto dal Comune, al contribuente non spetta alcun rimborso per l’eccedenza dell’imposta versata. </w:t>
      </w:r>
    </w:p>
    <w:p w:rsidR="00180921" w:rsidRPr="00727805" w:rsidRDefault="00180921" w:rsidP="009D7257">
      <w:pPr>
        <w:numPr>
          <w:ilvl w:val="0"/>
          <w:numId w:val="11"/>
        </w:numPr>
        <w:tabs>
          <w:tab w:val="clear" w:pos="2340"/>
          <w:tab w:val="num" w:pos="360"/>
        </w:tabs>
        <w:spacing w:before="120" w:after="120"/>
        <w:ind w:left="360"/>
        <w:jc w:val="both"/>
        <w:rPr>
          <w:rFonts w:ascii="Arial" w:hAnsi="Arial" w:cs="Arial"/>
          <w:sz w:val="20"/>
          <w:szCs w:val="20"/>
        </w:rPr>
      </w:pPr>
      <w:r w:rsidRPr="00727805">
        <w:rPr>
          <w:rFonts w:ascii="Arial" w:hAnsi="Arial" w:cs="Arial"/>
          <w:sz w:val="20"/>
          <w:szCs w:val="20"/>
        </w:rPr>
        <w:t xml:space="preserve">Le variazioni di rendita catastale intervenute in corso d’anno, a seguito di interventi edilizi sul fabbricato, producono effetti dalla data di ultimazione dei lavori o, se antecedente, dalla data di utilizzo. </w:t>
      </w:r>
    </w:p>
    <w:p w:rsidR="0049461E" w:rsidRDefault="0049461E" w:rsidP="0049461E">
      <w:pPr>
        <w:pStyle w:val="Titolo2"/>
        <w:autoSpaceDE w:val="0"/>
        <w:autoSpaceDN w:val="0"/>
        <w:adjustRightInd w:val="0"/>
        <w:spacing w:before="240" w:after="240"/>
        <w:jc w:val="center"/>
        <w:rPr>
          <w:sz w:val="20"/>
          <w:szCs w:val="20"/>
        </w:rPr>
      </w:pPr>
    </w:p>
    <w:p w:rsidR="00414F14" w:rsidRPr="009D7257" w:rsidRDefault="00414F14" w:rsidP="0049461E">
      <w:pPr>
        <w:pStyle w:val="Titolo2"/>
        <w:autoSpaceDE w:val="0"/>
        <w:autoSpaceDN w:val="0"/>
        <w:adjustRightInd w:val="0"/>
        <w:spacing w:before="240" w:after="240"/>
        <w:jc w:val="center"/>
        <w:rPr>
          <w:sz w:val="20"/>
          <w:szCs w:val="20"/>
        </w:rPr>
      </w:pPr>
      <w:r w:rsidRPr="009731CD">
        <w:rPr>
          <w:sz w:val="20"/>
          <w:szCs w:val="20"/>
        </w:rPr>
        <w:t>Art. 7 – Esenzioni</w:t>
      </w:r>
    </w:p>
    <w:p w:rsidR="00414F14" w:rsidRPr="009D7257" w:rsidRDefault="00414F14" w:rsidP="009D7257">
      <w:pPr>
        <w:pStyle w:val="Corpotesto"/>
        <w:numPr>
          <w:ilvl w:val="2"/>
          <w:numId w:val="8"/>
        </w:numPr>
        <w:tabs>
          <w:tab w:val="clear" w:pos="2340"/>
          <w:tab w:val="num" w:pos="360"/>
        </w:tabs>
        <w:spacing w:before="120" w:after="120"/>
        <w:ind w:left="360"/>
        <w:rPr>
          <w:sz w:val="20"/>
          <w:szCs w:val="20"/>
        </w:rPr>
      </w:pPr>
      <w:r w:rsidRPr="009D7257">
        <w:rPr>
          <w:sz w:val="20"/>
          <w:szCs w:val="20"/>
        </w:rPr>
        <w:t>Sono esenti dall’imposta gli immobili dati in comodato gratuito al comune o ad altro ente territoriale o ad ente non commerciale, esclusivamente per l'esercizio dei rispettivi scopi istituzionali o statutari.</w:t>
      </w:r>
    </w:p>
    <w:p w:rsidR="00B46249" w:rsidRDefault="00414F14" w:rsidP="00B46249">
      <w:pPr>
        <w:pStyle w:val="Corpotesto"/>
        <w:numPr>
          <w:ilvl w:val="2"/>
          <w:numId w:val="8"/>
        </w:numPr>
        <w:tabs>
          <w:tab w:val="clear" w:pos="2340"/>
          <w:tab w:val="num" w:pos="360"/>
        </w:tabs>
        <w:spacing w:before="120" w:after="120"/>
        <w:ind w:left="360"/>
        <w:rPr>
          <w:sz w:val="20"/>
          <w:szCs w:val="20"/>
        </w:rPr>
      </w:pPr>
      <w:r w:rsidRPr="009D7257">
        <w:rPr>
          <w:sz w:val="20"/>
          <w:szCs w:val="20"/>
        </w:rPr>
        <w:t>L’esenzione di cui al comma precedente è limitata al periodo dell’anno durante il quale sussistono le condizioni prescritte.</w:t>
      </w:r>
    </w:p>
    <w:p w:rsidR="00F45C27" w:rsidRDefault="00124B56" w:rsidP="00F45C27">
      <w:pPr>
        <w:pStyle w:val="Corpotesto"/>
        <w:rPr>
          <w:sz w:val="20"/>
          <w:szCs w:val="20"/>
        </w:rPr>
      </w:pPr>
      <w:r>
        <w:rPr>
          <w:sz w:val="20"/>
          <w:szCs w:val="20"/>
        </w:rPr>
        <w:t>3</w:t>
      </w:r>
      <w:r w:rsidR="00F45C27">
        <w:rPr>
          <w:sz w:val="20"/>
          <w:szCs w:val="20"/>
        </w:rPr>
        <w:t xml:space="preserve">.   Il Comune può, in qualunque tempo, eseguire gli opportuni accertamenti al fine di verificare l’effettiva sussistenza delle condizioni richieste per l’agevolazione. </w:t>
      </w:r>
    </w:p>
    <w:p w:rsidR="00F45C27" w:rsidRPr="00E03B72" w:rsidRDefault="00124B56" w:rsidP="00C36583">
      <w:pPr>
        <w:pStyle w:val="Corpotesto"/>
        <w:spacing w:before="120" w:after="120"/>
        <w:rPr>
          <w:sz w:val="20"/>
          <w:szCs w:val="20"/>
        </w:rPr>
      </w:pPr>
      <w:r>
        <w:rPr>
          <w:sz w:val="20"/>
          <w:szCs w:val="20"/>
        </w:rPr>
        <w:t>4</w:t>
      </w:r>
      <w:r w:rsidR="0093431B">
        <w:rPr>
          <w:sz w:val="20"/>
          <w:szCs w:val="20"/>
        </w:rPr>
        <w:t xml:space="preserve">.   </w:t>
      </w:r>
      <w:r w:rsidR="00E03B72" w:rsidRPr="00E03B72">
        <w:rPr>
          <w:sz w:val="20"/>
          <w:szCs w:val="20"/>
        </w:rPr>
        <w:t>Sono esenti</w:t>
      </w:r>
      <w:r w:rsidR="00FF4069">
        <w:rPr>
          <w:sz w:val="20"/>
          <w:szCs w:val="20"/>
        </w:rPr>
        <w:t xml:space="preserve"> dal pagamento dell’imposta</w:t>
      </w:r>
      <w:r w:rsidR="00E03B72" w:rsidRPr="00E03B72">
        <w:rPr>
          <w:sz w:val="20"/>
          <w:szCs w:val="20"/>
        </w:rPr>
        <w:t xml:space="preserve"> gli immobili dichiarati inagibili da ordinanza sind</w:t>
      </w:r>
      <w:r w:rsidR="00DE68C5">
        <w:rPr>
          <w:sz w:val="20"/>
          <w:szCs w:val="20"/>
        </w:rPr>
        <w:t>acale a causa di eventi sismici.</w:t>
      </w:r>
    </w:p>
    <w:p w:rsidR="0049461E" w:rsidRDefault="0049461E" w:rsidP="00B73EC9">
      <w:pPr>
        <w:pStyle w:val="Titolo2"/>
        <w:autoSpaceDE w:val="0"/>
        <w:autoSpaceDN w:val="0"/>
        <w:adjustRightInd w:val="0"/>
        <w:spacing w:before="240" w:after="240"/>
        <w:jc w:val="left"/>
        <w:rPr>
          <w:sz w:val="20"/>
          <w:szCs w:val="20"/>
        </w:rPr>
      </w:pPr>
    </w:p>
    <w:p w:rsidR="00414F14" w:rsidRPr="009D7257" w:rsidRDefault="00414F14" w:rsidP="0049461E">
      <w:pPr>
        <w:pStyle w:val="Titolo2"/>
        <w:autoSpaceDE w:val="0"/>
        <w:autoSpaceDN w:val="0"/>
        <w:adjustRightInd w:val="0"/>
        <w:spacing w:before="240" w:after="240"/>
        <w:jc w:val="center"/>
        <w:rPr>
          <w:sz w:val="20"/>
          <w:szCs w:val="20"/>
        </w:rPr>
      </w:pPr>
      <w:r w:rsidRPr="009D7257">
        <w:rPr>
          <w:sz w:val="20"/>
          <w:szCs w:val="20"/>
        </w:rPr>
        <w:t>Art. 8 – Gestione del tributo</w:t>
      </w:r>
    </w:p>
    <w:p w:rsidR="00414F14" w:rsidRPr="009D7257" w:rsidRDefault="00414F14" w:rsidP="009D7257">
      <w:pPr>
        <w:pStyle w:val="Corpotesto"/>
        <w:numPr>
          <w:ilvl w:val="1"/>
          <w:numId w:val="6"/>
        </w:numPr>
        <w:tabs>
          <w:tab w:val="clear" w:pos="1440"/>
          <w:tab w:val="num" w:pos="360"/>
        </w:tabs>
        <w:spacing w:before="120" w:after="120"/>
        <w:ind w:left="360"/>
        <w:rPr>
          <w:sz w:val="20"/>
          <w:szCs w:val="20"/>
        </w:rPr>
      </w:pPr>
      <w:r w:rsidRPr="009D7257">
        <w:rPr>
          <w:sz w:val="20"/>
          <w:szCs w:val="20"/>
        </w:rPr>
        <w:t xml:space="preserve">Il Funzionario responsabile dell’imposta è </w:t>
      </w:r>
      <w:r w:rsidR="00EF0197">
        <w:rPr>
          <w:sz w:val="20"/>
          <w:szCs w:val="20"/>
        </w:rPr>
        <w:t xml:space="preserve">stato </w:t>
      </w:r>
      <w:r w:rsidRPr="009D7257">
        <w:rPr>
          <w:sz w:val="20"/>
          <w:szCs w:val="20"/>
        </w:rPr>
        <w:t xml:space="preserve">designato con deliberazione della Giunta Comunale </w:t>
      </w:r>
      <w:r w:rsidR="00EF0197">
        <w:rPr>
          <w:sz w:val="20"/>
          <w:szCs w:val="20"/>
        </w:rPr>
        <w:t>n. 20 del 14.02.2020</w:t>
      </w:r>
      <w:r w:rsidRPr="009D7257">
        <w:rPr>
          <w:sz w:val="20"/>
          <w:szCs w:val="20"/>
        </w:rPr>
        <w:t>.</w:t>
      </w:r>
    </w:p>
    <w:p w:rsidR="00414F14" w:rsidRPr="009D7257" w:rsidRDefault="00414F14" w:rsidP="009D7257">
      <w:pPr>
        <w:pStyle w:val="Corpotesto"/>
        <w:numPr>
          <w:ilvl w:val="1"/>
          <w:numId w:val="6"/>
        </w:numPr>
        <w:tabs>
          <w:tab w:val="clear" w:pos="1440"/>
          <w:tab w:val="num" w:pos="360"/>
        </w:tabs>
        <w:spacing w:before="120" w:after="120"/>
        <w:ind w:left="360"/>
        <w:rPr>
          <w:sz w:val="20"/>
          <w:szCs w:val="20"/>
        </w:rPr>
      </w:pPr>
      <w:r w:rsidRPr="009D7257">
        <w:rPr>
          <w:sz w:val="20"/>
          <w:szCs w:val="20"/>
        </w:rPr>
        <w:t>Nell’esercizio dei poteri attribuiti a norma dell’art. 1, comma 778 della Legge 27 dicembre 2019, n. 160, il Funzionario responsabile dell’imposta gestisce le funzioni ed organizza le attività dell’Ufficio in modo che queste siano orientate al conseguimento delle seguenti finalità:</w:t>
      </w:r>
    </w:p>
    <w:p w:rsidR="00414F14" w:rsidRPr="009D7257" w:rsidRDefault="00414F14" w:rsidP="00B40839">
      <w:pPr>
        <w:pStyle w:val="Corpotesto"/>
        <w:numPr>
          <w:ilvl w:val="2"/>
          <w:numId w:val="6"/>
        </w:numPr>
        <w:tabs>
          <w:tab w:val="clear" w:pos="2340"/>
        </w:tabs>
        <w:spacing w:before="120" w:after="120"/>
        <w:ind w:left="757"/>
        <w:rPr>
          <w:sz w:val="20"/>
          <w:szCs w:val="20"/>
        </w:rPr>
      </w:pPr>
      <w:r w:rsidRPr="009D7257">
        <w:rPr>
          <w:sz w:val="20"/>
          <w:szCs w:val="20"/>
        </w:rPr>
        <w:t>supportare i contribuenti al fine di favorire l'assolvimento spontaneo degli adempimenti tributari ed il corretto versamento delle imposte dovute, facilitando l’accesso da parte dei cittadini, lo sviluppo di azioni di semplificazione delle procedure e di informazione/consulenza ai contribuenti per gli adempimenti;</w:t>
      </w:r>
    </w:p>
    <w:p w:rsidR="00414F14" w:rsidRPr="009D7257" w:rsidRDefault="00414F14" w:rsidP="00B40839">
      <w:pPr>
        <w:pStyle w:val="Corpotesto"/>
        <w:numPr>
          <w:ilvl w:val="2"/>
          <w:numId w:val="6"/>
        </w:numPr>
        <w:tabs>
          <w:tab w:val="clear" w:pos="2340"/>
        </w:tabs>
        <w:spacing w:before="120" w:after="120"/>
        <w:ind w:left="757"/>
        <w:rPr>
          <w:sz w:val="20"/>
          <w:szCs w:val="20"/>
        </w:rPr>
      </w:pPr>
      <w:r w:rsidRPr="009D7257">
        <w:rPr>
          <w:sz w:val="20"/>
          <w:szCs w:val="20"/>
        </w:rPr>
        <w:t xml:space="preserve">promuovere la </w:t>
      </w:r>
      <w:r w:rsidRPr="009D7257">
        <w:rPr>
          <w:i/>
          <w:iCs/>
          <w:sz w:val="20"/>
          <w:szCs w:val="20"/>
        </w:rPr>
        <w:t>compliance</w:t>
      </w:r>
      <w:r w:rsidRPr="009D7257">
        <w:rPr>
          <w:sz w:val="20"/>
          <w:szCs w:val="20"/>
        </w:rPr>
        <w:t xml:space="preserve"> fiscale attraverso il miglioramento del rapporto Ufficio-contribuente, favorendo un rapporto di cooperazione e collaborazione reciproca, incentivando l’assolvimento spontaneo degli obblighi tributari e l’emersione spontanea delle basi imponibili, anche attraverso l’impiego degli strumenti deflativi del contenzioso tributario quali l’interpello, il ravvedimento operoso, l’autotutela, l’accertamento con adesione </w:t>
      </w:r>
      <w:r w:rsidRPr="009D7257">
        <w:rPr>
          <w:i/>
          <w:iCs/>
          <w:sz w:val="20"/>
          <w:szCs w:val="20"/>
        </w:rPr>
        <w:t>[se recepito dall’ente],</w:t>
      </w:r>
      <w:r w:rsidRPr="009D7257">
        <w:rPr>
          <w:sz w:val="20"/>
          <w:szCs w:val="20"/>
        </w:rPr>
        <w:t xml:space="preserve"> la mediazione e la conciliazione tributaria;</w:t>
      </w:r>
    </w:p>
    <w:p w:rsidR="00414F14" w:rsidRPr="009D7257" w:rsidRDefault="00414F14" w:rsidP="00B40839">
      <w:pPr>
        <w:pStyle w:val="Corpotesto"/>
        <w:numPr>
          <w:ilvl w:val="2"/>
          <w:numId w:val="6"/>
        </w:numPr>
        <w:tabs>
          <w:tab w:val="clear" w:pos="2340"/>
        </w:tabs>
        <w:spacing w:before="120" w:after="120"/>
        <w:ind w:left="757"/>
        <w:rPr>
          <w:sz w:val="20"/>
          <w:szCs w:val="20"/>
        </w:rPr>
      </w:pPr>
      <w:r w:rsidRPr="009D7257">
        <w:rPr>
          <w:sz w:val="20"/>
          <w:szCs w:val="20"/>
        </w:rPr>
        <w:t xml:space="preserve">perseguire l’equità nell’esercizio della funzione impositiva attraverso un’assidua attività di contrasto all’evasione </w:t>
      </w:r>
      <w:r w:rsidR="00CC28DA" w:rsidRPr="009D7257">
        <w:rPr>
          <w:sz w:val="20"/>
          <w:szCs w:val="20"/>
        </w:rPr>
        <w:t>e</w:t>
      </w:r>
      <w:r w:rsidRPr="009D7257">
        <w:rPr>
          <w:sz w:val="20"/>
          <w:szCs w:val="20"/>
        </w:rPr>
        <w:t xml:space="preserve"> all’elusione fiscale, consolidando l'azione di recupero sugli omessi versamenti e sviluppando strategie di individuazione delle basi imponibili occultate o dichiarate in modo infedele.</w:t>
      </w:r>
    </w:p>
    <w:p w:rsidR="00414F14" w:rsidRDefault="00414F14" w:rsidP="009D7257">
      <w:pPr>
        <w:pStyle w:val="Corpotesto"/>
        <w:numPr>
          <w:ilvl w:val="1"/>
          <w:numId w:val="6"/>
        </w:numPr>
        <w:tabs>
          <w:tab w:val="clear" w:pos="1440"/>
          <w:tab w:val="num" w:pos="360"/>
        </w:tabs>
        <w:spacing w:before="120" w:after="120"/>
        <w:ind w:left="360"/>
        <w:rPr>
          <w:sz w:val="20"/>
          <w:szCs w:val="20"/>
        </w:rPr>
      </w:pPr>
      <w:r w:rsidRPr="009D7257">
        <w:rPr>
          <w:sz w:val="20"/>
          <w:szCs w:val="20"/>
        </w:rPr>
        <w:t>Ai fini di cui al comma precedente, il Funzionario cura la collaborazione con altre amministrazioni al fine di sviluppare i collegamenti con i sistemi informativi e le banche dati rilevanti per la lotta all'evasione e favorisce lo sviluppo delle potenzialità della struttura organizzativa, proponendo le soluzioni utili ad aumentare l’efficacia e l’efficienza dell’ufficio, anche attraverso i sistemi di incentivazione del personale di cui al Regolamento emanato ai sensi dell’art. 1, comma 1091 della L. 30 dicembre 2018, n. 145.</w:t>
      </w:r>
    </w:p>
    <w:p w:rsidR="00D447FE" w:rsidRDefault="00D447FE" w:rsidP="00D447FE">
      <w:pPr>
        <w:pStyle w:val="Corpotesto"/>
        <w:spacing w:before="120" w:after="120"/>
        <w:rPr>
          <w:sz w:val="20"/>
          <w:szCs w:val="20"/>
        </w:rPr>
      </w:pPr>
    </w:p>
    <w:p w:rsidR="00D447FE" w:rsidRDefault="00D447FE" w:rsidP="00D447FE">
      <w:pPr>
        <w:pStyle w:val="Corpotesto"/>
        <w:spacing w:before="120" w:after="120"/>
        <w:rPr>
          <w:sz w:val="20"/>
          <w:szCs w:val="20"/>
        </w:rPr>
      </w:pPr>
    </w:p>
    <w:p w:rsidR="0068543B" w:rsidRDefault="0068543B" w:rsidP="00CC28DA">
      <w:pPr>
        <w:pStyle w:val="Corpotesto"/>
        <w:spacing w:before="120" w:after="120"/>
        <w:jc w:val="center"/>
        <w:rPr>
          <w:b/>
          <w:sz w:val="20"/>
          <w:szCs w:val="20"/>
        </w:rPr>
      </w:pPr>
      <w:r w:rsidRPr="00B91981">
        <w:rPr>
          <w:b/>
          <w:sz w:val="20"/>
          <w:szCs w:val="20"/>
        </w:rPr>
        <w:t xml:space="preserve">Art. </w:t>
      </w:r>
      <w:r w:rsidR="00CC28DA">
        <w:rPr>
          <w:b/>
          <w:sz w:val="20"/>
          <w:szCs w:val="20"/>
        </w:rPr>
        <w:t>9</w:t>
      </w:r>
      <w:r w:rsidRPr="00B91981">
        <w:rPr>
          <w:b/>
          <w:sz w:val="20"/>
          <w:szCs w:val="20"/>
        </w:rPr>
        <w:t xml:space="preserve"> – Disposizioni finali</w:t>
      </w:r>
    </w:p>
    <w:p w:rsidR="0068543B" w:rsidRPr="0003775A" w:rsidRDefault="0068543B" w:rsidP="0068543B">
      <w:pPr>
        <w:pStyle w:val="Corpotesto"/>
        <w:spacing w:before="120" w:after="120"/>
        <w:rPr>
          <w:sz w:val="20"/>
          <w:szCs w:val="20"/>
        </w:rPr>
      </w:pPr>
      <w:r w:rsidRPr="0003775A">
        <w:rPr>
          <w:sz w:val="20"/>
          <w:szCs w:val="20"/>
        </w:rPr>
        <w:t>1.</w:t>
      </w:r>
      <w:r w:rsidRPr="0003775A">
        <w:rPr>
          <w:sz w:val="20"/>
          <w:szCs w:val="20"/>
        </w:rPr>
        <w:tab/>
        <w:t>Il presente regolamento entra in vigore a decorrere dal 1° gennaio 2020.</w:t>
      </w:r>
    </w:p>
    <w:p w:rsidR="0068543B" w:rsidRPr="00B91981" w:rsidRDefault="0068543B" w:rsidP="0068543B">
      <w:pPr>
        <w:pStyle w:val="Corpotesto"/>
        <w:spacing w:before="120" w:after="120"/>
        <w:rPr>
          <w:sz w:val="20"/>
          <w:szCs w:val="20"/>
        </w:rPr>
      </w:pPr>
      <w:r w:rsidRPr="0003775A">
        <w:rPr>
          <w:sz w:val="20"/>
          <w:szCs w:val="20"/>
        </w:rPr>
        <w:t>2.</w:t>
      </w:r>
      <w:r w:rsidRPr="0003775A">
        <w:rPr>
          <w:sz w:val="20"/>
          <w:szCs w:val="20"/>
        </w:rPr>
        <w:tab/>
        <w:t>Il presente regolamento si adegua automaticamente alle modificazioni della normativa nazionale e comunitaria. I richiami e le citazioni di norme contenuti nel presente regolamento si devono intendere fatti al testo vigente delle norme stesse.</w:t>
      </w:r>
    </w:p>
    <w:p w:rsidR="0068543B" w:rsidRPr="000C0497" w:rsidRDefault="0068543B" w:rsidP="0068543B">
      <w:pPr>
        <w:pStyle w:val="Corpotesto"/>
        <w:spacing w:before="120" w:after="120"/>
        <w:rPr>
          <w:b/>
          <w:sz w:val="20"/>
          <w:szCs w:val="20"/>
        </w:rPr>
      </w:pPr>
    </w:p>
    <w:p w:rsidR="0068543B" w:rsidRDefault="0068543B" w:rsidP="00D447FE">
      <w:pPr>
        <w:pStyle w:val="Corpotesto"/>
        <w:spacing w:before="120" w:after="120"/>
        <w:rPr>
          <w:sz w:val="20"/>
          <w:szCs w:val="20"/>
        </w:rPr>
      </w:pPr>
    </w:p>
    <w:sectPr w:rsidR="0068543B" w:rsidSect="00B73EC9">
      <w:headerReference w:type="default" r:id="rId8"/>
      <w:footerReference w:type="default" r:id="rId9"/>
      <w:footerReference w:type="first" r:id="rId10"/>
      <w:pgSz w:w="11906" w:h="16838"/>
      <w:pgMar w:top="1134" w:right="1134"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48" w:rsidRDefault="00871348" w:rsidP="00B73EC9">
      <w:r>
        <w:separator/>
      </w:r>
    </w:p>
  </w:endnote>
  <w:endnote w:type="continuationSeparator" w:id="0">
    <w:p w:rsidR="00871348" w:rsidRDefault="00871348" w:rsidP="00B7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Antiqua-Bol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48" w:rsidRPr="00B40839" w:rsidRDefault="00871348" w:rsidP="00B40839">
    <w:pPr>
      <w:jc w:val="right"/>
      <w:rPr>
        <w:rFonts w:ascii="Arial" w:hAnsi="Arial" w:cs="Arial"/>
        <w:sz w:val="10"/>
        <w:szCs w:val="10"/>
      </w:rPr>
    </w:pPr>
    <w:r w:rsidRPr="00B40839">
      <w:rPr>
        <w:rFonts w:ascii="Arial" w:hAnsi="Arial" w:cs="Arial"/>
        <w:sz w:val="10"/>
        <w:szCs w:val="10"/>
      </w:rPr>
      <w:t xml:space="preserve">Pag. </w:t>
    </w:r>
    <w:r w:rsidRPr="00B40839">
      <w:rPr>
        <w:rFonts w:ascii="Arial" w:hAnsi="Arial" w:cs="Arial"/>
        <w:sz w:val="10"/>
        <w:szCs w:val="10"/>
      </w:rPr>
      <w:fldChar w:fldCharType="begin"/>
    </w:r>
    <w:r w:rsidRPr="00B40839">
      <w:rPr>
        <w:rFonts w:ascii="Arial" w:hAnsi="Arial" w:cs="Arial"/>
        <w:sz w:val="10"/>
        <w:szCs w:val="10"/>
      </w:rPr>
      <w:instrText xml:space="preserve"> PAGE </w:instrText>
    </w:r>
    <w:r w:rsidRPr="00B40839">
      <w:rPr>
        <w:rFonts w:ascii="Arial" w:hAnsi="Arial" w:cs="Arial"/>
        <w:sz w:val="10"/>
        <w:szCs w:val="10"/>
      </w:rPr>
      <w:fldChar w:fldCharType="separate"/>
    </w:r>
    <w:r w:rsidR="00737D6D">
      <w:rPr>
        <w:rFonts w:ascii="Arial" w:hAnsi="Arial" w:cs="Arial"/>
        <w:noProof/>
        <w:sz w:val="10"/>
        <w:szCs w:val="10"/>
      </w:rPr>
      <w:t>5</w:t>
    </w:r>
    <w:r w:rsidRPr="00B40839">
      <w:rPr>
        <w:rFonts w:ascii="Arial" w:hAnsi="Arial" w:cs="Arial"/>
        <w:sz w:val="10"/>
        <w:szCs w:val="10"/>
      </w:rPr>
      <w:fldChar w:fldCharType="end"/>
    </w:r>
    <w:r w:rsidRPr="00B40839">
      <w:rPr>
        <w:rFonts w:ascii="Arial" w:hAnsi="Arial" w:cs="Arial"/>
        <w:sz w:val="10"/>
        <w:szCs w:val="10"/>
      </w:rPr>
      <w:t xml:space="preserve"> di </w:t>
    </w:r>
    <w:r w:rsidRPr="00B40839">
      <w:rPr>
        <w:rFonts w:ascii="Arial" w:hAnsi="Arial" w:cs="Arial"/>
        <w:bCs/>
        <w:sz w:val="10"/>
        <w:szCs w:val="10"/>
      </w:rPr>
      <w:fldChar w:fldCharType="begin"/>
    </w:r>
    <w:r w:rsidRPr="00B40839">
      <w:rPr>
        <w:rFonts w:ascii="Arial" w:hAnsi="Arial" w:cs="Arial"/>
        <w:bCs/>
        <w:sz w:val="10"/>
        <w:szCs w:val="10"/>
      </w:rPr>
      <w:instrText xml:space="preserve"> NUMPAGES </w:instrText>
    </w:r>
    <w:r w:rsidRPr="00B40839">
      <w:rPr>
        <w:rFonts w:ascii="Arial" w:hAnsi="Arial" w:cs="Arial"/>
        <w:bCs/>
        <w:sz w:val="10"/>
        <w:szCs w:val="10"/>
      </w:rPr>
      <w:fldChar w:fldCharType="separate"/>
    </w:r>
    <w:r w:rsidR="00737D6D">
      <w:rPr>
        <w:rFonts w:ascii="Arial" w:hAnsi="Arial" w:cs="Arial"/>
        <w:bCs/>
        <w:noProof/>
        <w:sz w:val="10"/>
        <w:szCs w:val="10"/>
      </w:rPr>
      <w:t>5</w:t>
    </w:r>
    <w:r w:rsidRPr="00B40839">
      <w:rPr>
        <w:rFonts w:ascii="Arial" w:hAnsi="Arial" w:cs="Arial"/>
        <w:bCs/>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871348" w:rsidRPr="00B73EC9" w:rsidTr="00AE47CA">
      <w:trPr>
        <w:trHeight w:val="142"/>
        <w:jc w:val="center"/>
      </w:trPr>
      <w:tc>
        <w:tcPr>
          <w:tcW w:w="711" w:type="dxa"/>
          <w:vMerge w:val="restart"/>
          <w:vAlign w:val="center"/>
        </w:tcPr>
        <w:p w:rsidR="00871348" w:rsidRPr="00B73EC9" w:rsidRDefault="00871348" w:rsidP="00B73EC9">
          <w:pPr>
            <w:ind w:right="7370"/>
            <w:jc w:val="right"/>
            <w:rPr>
              <w:rFonts w:ascii="Arial" w:hAnsi="Arial" w:cs="Arial"/>
              <w:color w:val="000000"/>
              <w:sz w:val="14"/>
              <w:szCs w:val="14"/>
            </w:rPr>
          </w:pPr>
        </w:p>
      </w:tc>
      <w:tc>
        <w:tcPr>
          <w:tcW w:w="1193" w:type="dxa"/>
          <w:tcBorders>
            <w:top w:val="nil"/>
            <w:left w:val="nil"/>
            <w:bottom w:val="single" w:sz="4" w:space="0" w:color="auto"/>
            <w:right w:val="nil"/>
          </w:tcBorders>
          <w:vAlign w:val="center"/>
        </w:tcPr>
        <w:p w:rsidR="00AE47CA" w:rsidRPr="00B73EC9" w:rsidRDefault="00AE47CA" w:rsidP="00AE47CA">
          <w:pPr>
            <w:jc w:val="center"/>
            <w:rPr>
              <w:rFonts w:ascii="Arial" w:hAnsi="Arial" w:cs="Arial"/>
              <w:color w:val="000000"/>
              <w:sz w:val="10"/>
              <w:szCs w:val="10"/>
              <w:lang w:eastAsia="en-US"/>
            </w:rPr>
          </w:pPr>
          <w:r>
            <w:rPr>
              <w:rFonts w:ascii="Arial" w:hAnsi="Arial" w:cs="Arial"/>
              <w:color w:val="000000"/>
              <w:sz w:val="10"/>
              <w:szCs w:val="10"/>
              <w:lang w:eastAsia="en-US"/>
            </w:rPr>
            <w:t>Comune di Sant’Anatolia di Narco</w:t>
          </w:r>
        </w:p>
      </w:tc>
      <w:tc>
        <w:tcPr>
          <w:tcW w:w="7822" w:type="dxa"/>
          <w:vAlign w:val="center"/>
        </w:tcPr>
        <w:p w:rsidR="00871348" w:rsidRPr="00B73EC9" w:rsidRDefault="00871348" w:rsidP="00B73EC9">
          <w:pPr>
            <w:ind w:right="87"/>
            <w:jc w:val="both"/>
            <w:rPr>
              <w:rFonts w:ascii="Arial" w:hAnsi="Arial" w:cs="Arial"/>
              <w:color w:val="000000"/>
              <w:sz w:val="10"/>
              <w:szCs w:val="10"/>
            </w:rPr>
          </w:pPr>
        </w:p>
      </w:tc>
    </w:tr>
    <w:tr w:rsidR="00871348" w:rsidRPr="00B73EC9" w:rsidTr="00AE47CA">
      <w:trPr>
        <w:trHeight w:val="142"/>
        <w:jc w:val="center"/>
      </w:trPr>
      <w:tc>
        <w:tcPr>
          <w:tcW w:w="711" w:type="dxa"/>
          <w:vMerge/>
          <w:vAlign w:val="center"/>
        </w:tcPr>
        <w:p w:rsidR="00871348" w:rsidRPr="00B73EC9" w:rsidRDefault="00871348" w:rsidP="00B73EC9">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tcPr>
        <w:p w:rsidR="00871348" w:rsidRPr="00B73EC9" w:rsidRDefault="00AE47CA" w:rsidP="00B73EC9">
          <w:pPr>
            <w:jc w:val="center"/>
            <w:rPr>
              <w:rFonts w:ascii="Arial" w:hAnsi="Arial" w:cs="Arial"/>
              <w:color w:val="000000"/>
              <w:sz w:val="10"/>
              <w:szCs w:val="10"/>
            </w:rPr>
          </w:pPr>
          <w:r>
            <w:rPr>
              <w:rFonts w:ascii="Arial" w:hAnsi="Arial" w:cs="Arial"/>
              <w:color w:val="000000"/>
              <w:sz w:val="10"/>
              <w:szCs w:val="10"/>
            </w:rPr>
            <w:t>Provincia di Perugia</w:t>
          </w:r>
        </w:p>
      </w:tc>
      <w:tc>
        <w:tcPr>
          <w:tcW w:w="7822" w:type="dxa"/>
          <w:vAlign w:val="center"/>
          <w:hideMark/>
        </w:tcPr>
        <w:p w:rsidR="00871348" w:rsidRPr="00B73EC9" w:rsidRDefault="00871348" w:rsidP="00B73EC9">
          <w:pPr>
            <w:ind w:right="87"/>
            <w:jc w:val="right"/>
            <w:rPr>
              <w:rFonts w:ascii="Arial" w:hAnsi="Arial" w:cs="Arial"/>
              <w:color w:val="000000"/>
              <w:sz w:val="10"/>
              <w:szCs w:val="10"/>
            </w:rPr>
          </w:pPr>
          <w:r w:rsidRPr="00B73EC9">
            <w:rPr>
              <w:rFonts w:ascii="Arial" w:hAnsi="Arial" w:cs="Arial"/>
              <w:color w:val="000000"/>
              <w:sz w:val="10"/>
              <w:szCs w:val="10"/>
            </w:rPr>
            <w:t xml:space="preserve">Pag. </w:t>
          </w:r>
          <w:r w:rsidRPr="00B73EC9">
            <w:rPr>
              <w:rFonts w:ascii="Arial" w:hAnsi="Arial" w:cs="Arial"/>
              <w:color w:val="000000"/>
              <w:sz w:val="10"/>
              <w:szCs w:val="10"/>
            </w:rPr>
            <w:fldChar w:fldCharType="begin"/>
          </w:r>
          <w:r w:rsidRPr="00B73EC9">
            <w:rPr>
              <w:rFonts w:ascii="Arial" w:hAnsi="Arial" w:cs="Arial"/>
              <w:color w:val="000000"/>
              <w:sz w:val="10"/>
              <w:szCs w:val="10"/>
            </w:rPr>
            <w:instrText xml:space="preserve"> PAGE </w:instrText>
          </w:r>
          <w:r w:rsidRPr="00B73EC9">
            <w:rPr>
              <w:rFonts w:ascii="Arial" w:hAnsi="Arial" w:cs="Arial"/>
              <w:color w:val="000000"/>
              <w:sz w:val="10"/>
              <w:szCs w:val="10"/>
            </w:rPr>
            <w:fldChar w:fldCharType="separate"/>
          </w:r>
          <w:r w:rsidR="00737D6D">
            <w:rPr>
              <w:rFonts w:ascii="Arial" w:hAnsi="Arial" w:cs="Arial"/>
              <w:noProof/>
              <w:color w:val="000000"/>
              <w:sz w:val="10"/>
              <w:szCs w:val="10"/>
            </w:rPr>
            <w:t>1</w:t>
          </w:r>
          <w:r w:rsidRPr="00B73EC9">
            <w:rPr>
              <w:rFonts w:ascii="Arial" w:hAnsi="Arial" w:cs="Arial"/>
              <w:color w:val="000000"/>
              <w:sz w:val="10"/>
              <w:szCs w:val="10"/>
            </w:rPr>
            <w:fldChar w:fldCharType="end"/>
          </w:r>
          <w:r w:rsidRPr="00B73EC9">
            <w:rPr>
              <w:rFonts w:ascii="Arial" w:hAnsi="Arial" w:cs="Arial"/>
              <w:color w:val="000000"/>
              <w:sz w:val="10"/>
              <w:szCs w:val="10"/>
            </w:rPr>
            <w:t xml:space="preserve"> di </w:t>
          </w:r>
          <w:r w:rsidRPr="00B73EC9">
            <w:rPr>
              <w:rFonts w:ascii="Arial" w:hAnsi="Arial" w:cs="Arial"/>
              <w:bCs/>
              <w:color w:val="000000"/>
              <w:sz w:val="10"/>
              <w:szCs w:val="10"/>
            </w:rPr>
            <w:fldChar w:fldCharType="begin"/>
          </w:r>
          <w:r w:rsidRPr="00B73EC9">
            <w:rPr>
              <w:rFonts w:ascii="Arial" w:hAnsi="Arial" w:cs="Arial"/>
              <w:bCs/>
              <w:color w:val="000000"/>
              <w:sz w:val="10"/>
              <w:szCs w:val="10"/>
            </w:rPr>
            <w:instrText xml:space="preserve"> NUMPAGES </w:instrText>
          </w:r>
          <w:r w:rsidRPr="00B73EC9">
            <w:rPr>
              <w:rFonts w:ascii="Arial" w:hAnsi="Arial" w:cs="Arial"/>
              <w:bCs/>
              <w:color w:val="000000"/>
              <w:sz w:val="10"/>
              <w:szCs w:val="10"/>
            </w:rPr>
            <w:fldChar w:fldCharType="separate"/>
          </w:r>
          <w:r w:rsidR="00737D6D">
            <w:rPr>
              <w:rFonts w:ascii="Arial" w:hAnsi="Arial" w:cs="Arial"/>
              <w:bCs/>
              <w:noProof/>
              <w:color w:val="000000"/>
              <w:sz w:val="10"/>
              <w:szCs w:val="10"/>
            </w:rPr>
            <w:t>5</w:t>
          </w:r>
          <w:r w:rsidRPr="00B73EC9">
            <w:rPr>
              <w:rFonts w:ascii="Arial" w:hAnsi="Arial" w:cs="Arial"/>
              <w:bCs/>
              <w:color w:val="000000"/>
              <w:sz w:val="10"/>
              <w:szCs w:val="10"/>
            </w:rPr>
            <w:fldChar w:fldCharType="end"/>
          </w:r>
        </w:p>
      </w:tc>
    </w:tr>
  </w:tbl>
  <w:p w:rsidR="00871348" w:rsidRPr="00B73EC9" w:rsidRDefault="00871348" w:rsidP="00B73EC9">
    <w:pPr>
      <w:tabs>
        <w:tab w:val="center" w:pos="4819"/>
        <w:tab w:val="right" w:pos="9638"/>
      </w:tabs>
      <w:jc w:val="both"/>
      <w:rPr>
        <w:rFonts w:ascii="Arial" w:hAnsi="Arial" w:cs="Arial"/>
        <w:sz w:val="6"/>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48" w:rsidRDefault="00871348" w:rsidP="00B73EC9">
      <w:r>
        <w:separator/>
      </w:r>
    </w:p>
  </w:footnote>
  <w:footnote w:type="continuationSeparator" w:id="0">
    <w:p w:rsidR="00871348" w:rsidRDefault="00871348" w:rsidP="00B7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76C" w:rsidRPr="0010576C" w:rsidRDefault="0010576C">
    <w:pPr>
      <w:pStyle w:val="Intestazione"/>
      <w:rPr>
        <w:sz w:val="16"/>
        <w:szCs w:val="16"/>
      </w:rPr>
    </w:pPr>
    <w:r>
      <w:rPr>
        <w:noProof/>
        <w:sz w:val="16"/>
        <w:szCs w:val="16"/>
      </w:rPr>
      <w:drawing>
        <wp:anchor distT="0" distB="0" distL="114300" distR="114300" simplePos="0" relativeHeight="251658752" behindDoc="0" locked="0" layoutInCell="1" allowOverlap="1" wp14:anchorId="22FAF8D3" wp14:editId="11287EE3">
          <wp:simplePos x="0" y="0"/>
          <wp:positionH relativeFrom="column">
            <wp:posOffset>5970270</wp:posOffset>
          </wp:positionH>
          <wp:positionV relativeFrom="paragraph">
            <wp:posOffset>-66040</wp:posOffset>
          </wp:positionV>
          <wp:extent cx="152400" cy="247650"/>
          <wp:effectExtent l="0" t="0" r="0" b="0"/>
          <wp:wrapThrough wrapText="bothSides">
            <wp:wrapPolygon edited="0">
              <wp:start x="0" y="0"/>
              <wp:lineTo x="0" y="19938"/>
              <wp:lineTo x="18900" y="19938"/>
              <wp:lineTo x="18900"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N.png"/>
                  <pic:cNvPicPr/>
                </pic:nvPicPr>
                <pic:blipFill>
                  <a:blip r:embed="rId1">
                    <a:extLst>
                      <a:ext uri="{28A0092B-C50C-407E-A947-70E740481C1C}">
                        <a14:useLocalDpi xmlns:a14="http://schemas.microsoft.com/office/drawing/2010/main" val="0"/>
                      </a:ext>
                    </a:extLst>
                  </a:blip>
                  <a:stretch>
                    <a:fillRect/>
                  </a:stretch>
                </pic:blipFill>
                <pic:spPr>
                  <a:xfrm>
                    <a:off x="0" y="0"/>
                    <a:ext cx="152400" cy="247650"/>
                  </a:xfrm>
                  <a:prstGeom prst="rect">
                    <a:avLst/>
                  </a:prstGeom>
                </pic:spPr>
              </pic:pic>
            </a:graphicData>
          </a:graphic>
          <wp14:sizeRelH relativeFrom="margin">
            <wp14:pctWidth>0</wp14:pctWidth>
          </wp14:sizeRelH>
          <wp14:sizeRelV relativeFrom="margin">
            <wp14:pctHeight>0</wp14:pctHeight>
          </wp14:sizeRelV>
        </wp:anchor>
      </w:drawing>
    </w:r>
    <w:r w:rsidRPr="0010576C">
      <w:rPr>
        <w:sz w:val="16"/>
        <w:szCs w:val="16"/>
      </w:rPr>
      <w:t xml:space="preserve">Regolamento per l’applicazione della Nuova IMU  </w:t>
    </w:r>
  </w:p>
  <w:p w:rsidR="0010576C" w:rsidRDefault="0010576C">
    <w:pPr>
      <w:pStyle w:val="Intestazione"/>
    </w:pPr>
    <w: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648"/>
    <w:multiLevelType w:val="hybridMultilevel"/>
    <w:tmpl w:val="F3CEC85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ACF5E6B"/>
    <w:multiLevelType w:val="hybridMultilevel"/>
    <w:tmpl w:val="AE22DB6C"/>
    <w:lvl w:ilvl="0" w:tplc="04100019">
      <w:start w:val="1"/>
      <w:numFmt w:val="lowerLetter"/>
      <w:lvlText w:val="%1."/>
      <w:lvlJc w:val="left"/>
      <w:pPr>
        <w:tabs>
          <w:tab w:val="num" w:pos="720"/>
        </w:tabs>
        <w:ind w:left="720" w:hanging="360"/>
      </w:pPr>
    </w:lvl>
    <w:lvl w:ilvl="1" w:tplc="45AC5916">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C524FA0"/>
    <w:multiLevelType w:val="hybridMultilevel"/>
    <w:tmpl w:val="C03A1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A27C8C"/>
    <w:multiLevelType w:val="hybridMultilevel"/>
    <w:tmpl w:val="3A7E449E"/>
    <w:lvl w:ilvl="0" w:tplc="0410000F">
      <w:start w:val="1"/>
      <w:numFmt w:val="decimal"/>
      <w:lvlText w:val="%1."/>
      <w:lvlJc w:val="left"/>
      <w:pPr>
        <w:tabs>
          <w:tab w:val="num" w:pos="720"/>
        </w:tabs>
        <w:ind w:left="720" w:hanging="360"/>
      </w:pPr>
      <w:rPr>
        <w:rFonts w:hint="default"/>
      </w:rPr>
    </w:lvl>
    <w:lvl w:ilvl="1" w:tplc="32DCAEE0">
      <w:numFmt w:val="bullet"/>
      <w:lvlText w:val="-"/>
      <w:lvlJc w:val="left"/>
      <w:pPr>
        <w:tabs>
          <w:tab w:val="num" w:pos="1440"/>
        </w:tabs>
        <w:ind w:left="1440" w:hanging="360"/>
      </w:pPr>
      <w:rPr>
        <w:rFonts w:ascii="Times New Roman" w:eastAsia="Times New Roman" w:hAnsi="Times New Roman" w:cs="Times New Roman" w:hint="default"/>
      </w:rPr>
    </w:lvl>
    <w:lvl w:ilvl="2" w:tplc="0410000F">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1C9511B"/>
    <w:multiLevelType w:val="hybridMultilevel"/>
    <w:tmpl w:val="96A25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206C21"/>
    <w:multiLevelType w:val="hybridMultilevel"/>
    <w:tmpl w:val="FF2ABBAA"/>
    <w:lvl w:ilvl="0" w:tplc="EAA098A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F366BEF"/>
    <w:multiLevelType w:val="hybridMultilevel"/>
    <w:tmpl w:val="9AD68198"/>
    <w:lvl w:ilvl="0" w:tplc="73F6316A">
      <w:start w:val="1"/>
      <w:numFmt w:val="lowerLetter"/>
      <w:lvlText w:val="%1)"/>
      <w:lvlJc w:val="left"/>
      <w:pPr>
        <w:tabs>
          <w:tab w:val="num" w:pos="1440"/>
        </w:tabs>
        <w:ind w:left="1440" w:hanging="360"/>
      </w:pPr>
      <w:rPr>
        <w:rFonts w:hint="default"/>
      </w:rPr>
    </w:lvl>
    <w:lvl w:ilvl="1" w:tplc="47EEDA0E">
      <w:start w:val="1"/>
      <w:numFmt w:val="decimal"/>
      <w:lvlText w:val="%2."/>
      <w:lvlJc w:val="left"/>
      <w:pPr>
        <w:tabs>
          <w:tab w:val="num" w:pos="1440"/>
        </w:tabs>
        <w:ind w:left="1440" w:hanging="360"/>
      </w:pPr>
      <w:rPr>
        <w:rFonts w:hint="default"/>
      </w:rPr>
    </w:lvl>
    <w:lvl w:ilvl="2" w:tplc="D5BC2704">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3102DB3"/>
    <w:multiLevelType w:val="hybridMultilevel"/>
    <w:tmpl w:val="B64AAF5A"/>
    <w:lvl w:ilvl="0" w:tplc="37DAF97A">
      <w:start w:val="1"/>
      <w:numFmt w:val="decimal"/>
      <w:lvlText w:val="%1."/>
      <w:lvlJc w:val="left"/>
      <w:pPr>
        <w:tabs>
          <w:tab w:val="num" w:pos="2340"/>
        </w:tabs>
        <w:ind w:left="2340" w:hanging="360"/>
      </w:pPr>
      <w:rPr>
        <w:rFonts w:hint="default"/>
      </w:rPr>
    </w:lvl>
    <w:lvl w:ilvl="1" w:tplc="BBF433EC">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5983EA2"/>
    <w:multiLevelType w:val="hybridMultilevel"/>
    <w:tmpl w:val="F68A9A0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13F5FAB"/>
    <w:multiLevelType w:val="hybridMultilevel"/>
    <w:tmpl w:val="B5C28838"/>
    <w:lvl w:ilvl="0" w:tplc="37DAF97A">
      <w:start w:val="1"/>
      <w:numFmt w:val="decimal"/>
      <w:lvlText w:val="%1."/>
      <w:lvlJc w:val="left"/>
      <w:pPr>
        <w:tabs>
          <w:tab w:val="num" w:pos="2340"/>
        </w:tabs>
        <w:ind w:left="23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2E2120C"/>
    <w:multiLevelType w:val="hybridMultilevel"/>
    <w:tmpl w:val="63BA32F6"/>
    <w:lvl w:ilvl="0" w:tplc="579A4022">
      <w:start w:val="1"/>
      <w:numFmt w:val="decimal"/>
      <w:lvlText w:val="%1."/>
      <w:lvlJc w:val="left"/>
      <w:pPr>
        <w:tabs>
          <w:tab w:val="num" w:pos="360"/>
        </w:tabs>
        <w:ind w:left="360" w:hanging="360"/>
      </w:pPr>
      <w:rPr>
        <w:rFonts w:ascii="Arial" w:hAnsi="Arial" w:hint="default"/>
        <w:b w:val="0"/>
        <w:i w:val="0"/>
        <w:sz w:val="24"/>
        <w:szCs w:val="24"/>
      </w:rPr>
    </w:lvl>
    <w:lvl w:ilvl="1" w:tplc="9626D086">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562B6EF3"/>
    <w:multiLevelType w:val="hybridMultilevel"/>
    <w:tmpl w:val="550C48DE"/>
    <w:lvl w:ilvl="0" w:tplc="D5BC2704">
      <w:numFmt w:val="bullet"/>
      <w:lvlText w:val="–"/>
      <w:lvlJc w:val="left"/>
      <w:pPr>
        <w:tabs>
          <w:tab w:val="num" w:pos="720"/>
        </w:tabs>
        <w:ind w:left="720" w:hanging="360"/>
      </w:pPr>
      <w:rPr>
        <w:rFonts w:ascii="Times New Roman" w:eastAsia="Times New Roman" w:hAnsi="Times New Roman" w:cs="Times New Roman" w:hint="default"/>
      </w:rPr>
    </w:lvl>
    <w:lvl w:ilvl="1" w:tplc="45AC5916">
      <w:start w:val="1"/>
      <w:numFmt w:val="bullet"/>
      <w:lvlText w:val=""/>
      <w:lvlJc w:val="left"/>
      <w:pPr>
        <w:tabs>
          <w:tab w:val="num" w:pos="1440"/>
        </w:tabs>
        <w:ind w:left="1440" w:hanging="360"/>
      </w:pPr>
      <w:rPr>
        <w:rFonts w:ascii="Symbol" w:hAnsi="Symbol" w:hint="default"/>
      </w:rPr>
    </w:lvl>
    <w:lvl w:ilvl="2" w:tplc="39D073BA">
      <w:start w:val="1"/>
      <w:numFmt w:val="decimal"/>
      <w:lvlText w:val="%3."/>
      <w:lvlJc w:val="left"/>
      <w:pPr>
        <w:tabs>
          <w:tab w:val="num" w:pos="2340"/>
        </w:tabs>
        <w:ind w:left="2340" w:hanging="360"/>
      </w:pPr>
      <w:rPr>
        <w:rFonts w:hint="default"/>
      </w:rPr>
    </w:lvl>
    <w:lvl w:ilvl="3" w:tplc="04100019">
      <w:start w:val="1"/>
      <w:numFmt w:val="lowerLetter"/>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83D58DC"/>
    <w:multiLevelType w:val="hybridMultilevel"/>
    <w:tmpl w:val="D43C82FC"/>
    <w:lvl w:ilvl="0" w:tplc="55725A78">
      <w:start w:val="1"/>
      <w:numFmt w:val="lowerLetter"/>
      <w:lvlText w:val="%1)"/>
      <w:lvlJc w:val="left"/>
      <w:pPr>
        <w:ind w:left="720" w:hanging="360"/>
      </w:pPr>
      <w:rPr>
        <w:rFonts w:cs="Times New Roman"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2636BB"/>
    <w:multiLevelType w:val="hybridMultilevel"/>
    <w:tmpl w:val="A808B94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FE35817"/>
    <w:multiLevelType w:val="hybridMultilevel"/>
    <w:tmpl w:val="404C13EE"/>
    <w:lvl w:ilvl="0" w:tplc="32DCAEE0">
      <w:numFmt w:val="bullet"/>
      <w:lvlText w:val="-"/>
      <w:lvlJc w:val="left"/>
      <w:pPr>
        <w:tabs>
          <w:tab w:val="num" w:pos="720"/>
        </w:tabs>
        <w:ind w:left="720" w:hanging="360"/>
      </w:pPr>
      <w:rPr>
        <w:rFonts w:ascii="Times New Roman" w:eastAsia="Times New Roman" w:hAnsi="Times New Roman" w:cs="Times New Roman" w:hint="default"/>
      </w:rPr>
    </w:lvl>
    <w:lvl w:ilvl="1" w:tplc="32DCAEE0">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465C8D"/>
    <w:multiLevelType w:val="hybridMultilevel"/>
    <w:tmpl w:val="9E083D92"/>
    <w:lvl w:ilvl="0" w:tplc="04100001">
      <w:start w:val="1"/>
      <w:numFmt w:val="bullet"/>
      <w:lvlText w:val=""/>
      <w:lvlJc w:val="left"/>
      <w:pPr>
        <w:tabs>
          <w:tab w:val="num" w:pos="720"/>
        </w:tabs>
        <w:ind w:left="720" w:hanging="360"/>
      </w:pPr>
      <w:rPr>
        <w:rFonts w:ascii="Symbol" w:hAnsi="Symbol" w:hint="default"/>
      </w:rPr>
    </w:lvl>
    <w:lvl w:ilvl="1" w:tplc="45AC5916">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66E455C"/>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70A407CC"/>
    <w:multiLevelType w:val="hybridMultilevel"/>
    <w:tmpl w:val="8586FB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B02F87"/>
    <w:multiLevelType w:val="hybridMultilevel"/>
    <w:tmpl w:val="07BC2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451D62"/>
    <w:multiLevelType w:val="hybridMultilevel"/>
    <w:tmpl w:val="9AD68198"/>
    <w:lvl w:ilvl="0" w:tplc="73F6316A">
      <w:start w:val="1"/>
      <w:numFmt w:val="lowerLetter"/>
      <w:lvlText w:val="%1)"/>
      <w:lvlJc w:val="left"/>
      <w:pPr>
        <w:tabs>
          <w:tab w:val="num" w:pos="1440"/>
        </w:tabs>
        <w:ind w:left="1440" w:hanging="360"/>
      </w:pPr>
      <w:rPr>
        <w:rFonts w:hint="default"/>
      </w:rPr>
    </w:lvl>
    <w:lvl w:ilvl="1" w:tplc="D5BC2704">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DF5703D"/>
    <w:multiLevelType w:val="hybridMultilevel"/>
    <w:tmpl w:val="37A2D27A"/>
    <w:lvl w:ilvl="0" w:tplc="39D073B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3"/>
  </w:num>
  <w:num w:numId="5">
    <w:abstractNumId w:val="14"/>
  </w:num>
  <w:num w:numId="6">
    <w:abstractNumId w:val="6"/>
  </w:num>
  <w:num w:numId="7">
    <w:abstractNumId w:val="15"/>
  </w:num>
  <w:num w:numId="8">
    <w:abstractNumId w:val="11"/>
  </w:num>
  <w:num w:numId="9">
    <w:abstractNumId w:val="10"/>
  </w:num>
  <w:num w:numId="10">
    <w:abstractNumId w:val="13"/>
  </w:num>
  <w:num w:numId="11">
    <w:abstractNumId w:val="9"/>
  </w:num>
  <w:num w:numId="12">
    <w:abstractNumId w:val="7"/>
  </w:num>
  <w:num w:numId="13">
    <w:abstractNumId w:val="5"/>
  </w:num>
  <w:num w:numId="14">
    <w:abstractNumId w:val="19"/>
  </w:num>
  <w:num w:numId="15">
    <w:abstractNumId w:val="12"/>
  </w:num>
  <w:num w:numId="16">
    <w:abstractNumId w:val="18"/>
  </w:num>
  <w:num w:numId="17">
    <w:abstractNumId w:val="17"/>
  </w:num>
  <w:num w:numId="18">
    <w:abstractNumId w:val="4"/>
  </w:num>
  <w:num w:numId="19">
    <w:abstractNumId w:val="8"/>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21"/>
    <w:rsid w:val="00022699"/>
    <w:rsid w:val="00022780"/>
    <w:rsid w:val="0003775A"/>
    <w:rsid w:val="000941C9"/>
    <w:rsid w:val="000A0064"/>
    <w:rsid w:val="000C0497"/>
    <w:rsid w:val="000F6BE7"/>
    <w:rsid w:val="0010576C"/>
    <w:rsid w:val="001120B2"/>
    <w:rsid w:val="0011792C"/>
    <w:rsid w:val="00124B56"/>
    <w:rsid w:val="00130BDE"/>
    <w:rsid w:val="0013153B"/>
    <w:rsid w:val="001333AD"/>
    <w:rsid w:val="00180921"/>
    <w:rsid w:val="001A3590"/>
    <w:rsid w:val="001A7966"/>
    <w:rsid w:val="001C3F90"/>
    <w:rsid w:val="001D6756"/>
    <w:rsid w:val="001E7650"/>
    <w:rsid w:val="00204A3E"/>
    <w:rsid w:val="00225DCA"/>
    <w:rsid w:val="00232325"/>
    <w:rsid w:val="002675D7"/>
    <w:rsid w:val="00280505"/>
    <w:rsid w:val="002E5477"/>
    <w:rsid w:val="002F0CD9"/>
    <w:rsid w:val="00304AD4"/>
    <w:rsid w:val="003330CD"/>
    <w:rsid w:val="003415BF"/>
    <w:rsid w:val="003A0C6E"/>
    <w:rsid w:val="003A13AD"/>
    <w:rsid w:val="003A7D2E"/>
    <w:rsid w:val="003B41F0"/>
    <w:rsid w:val="003D0A3C"/>
    <w:rsid w:val="003D63F3"/>
    <w:rsid w:val="003F0758"/>
    <w:rsid w:val="003F3DD5"/>
    <w:rsid w:val="003F4F6C"/>
    <w:rsid w:val="00414F14"/>
    <w:rsid w:val="00432DA7"/>
    <w:rsid w:val="00441707"/>
    <w:rsid w:val="00445AB6"/>
    <w:rsid w:val="00446980"/>
    <w:rsid w:val="00447ACF"/>
    <w:rsid w:val="00450715"/>
    <w:rsid w:val="00451246"/>
    <w:rsid w:val="00454C73"/>
    <w:rsid w:val="00455F28"/>
    <w:rsid w:val="00486235"/>
    <w:rsid w:val="0049461E"/>
    <w:rsid w:val="004A433C"/>
    <w:rsid w:val="004D20F7"/>
    <w:rsid w:val="004F3755"/>
    <w:rsid w:val="00515C5C"/>
    <w:rsid w:val="00525301"/>
    <w:rsid w:val="005612B8"/>
    <w:rsid w:val="00567BC6"/>
    <w:rsid w:val="005709D0"/>
    <w:rsid w:val="00584A35"/>
    <w:rsid w:val="005C3C0C"/>
    <w:rsid w:val="005C7A33"/>
    <w:rsid w:val="005D1072"/>
    <w:rsid w:val="005D2EE7"/>
    <w:rsid w:val="005D620D"/>
    <w:rsid w:val="005F0C6B"/>
    <w:rsid w:val="00650507"/>
    <w:rsid w:val="00653F7A"/>
    <w:rsid w:val="00672E44"/>
    <w:rsid w:val="0068543B"/>
    <w:rsid w:val="0069103C"/>
    <w:rsid w:val="006B3436"/>
    <w:rsid w:val="006B5230"/>
    <w:rsid w:val="006C55EA"/>
    <w:rsid w:val="00723F7D"/>
    <w:rsid w:val="00727805"/>
    <w:rsid w:val="007353C3"/>
    <w:rsid w:val="00737D6D"/>
    <w:rsid w:val="00755757"/>
    <w:rsid w:val="00767A0D"/>
    <w:rsid w:val="00792010"/>
    <w:rsid w:val="00792498"/>
    <w:rsid w:val="007F04B5"/>
    <w:rsid w:val="007F38DF"/>
    <w:rsid w:val="00807301"/>
    <w:rsid w:val="0082247E"/>
    <w:rsid w:val="00840FBE"/>
    <w:rsid w:val="00861037"/>
    <w:rsid w:val="00871348"/>
    <w:rsid w:val="008C77CE"/>
    <w:rsid w:val="008D2CAC"/>
    <w:rsid w:val="008F6198"/>
    <w:rsid w:val="0090157E"/>
    <w:rsid w:val="0093431B"/>
    <w:rsid w:val="0093546B"/>
    <w:rsid w:val="0094158B"/>
    <w:rsid w:val="009731CD"/>
    <w:rsid w:val="009818C8"/>
    <w:rsid w:val="00984A3F"/>
    <w:rsid w:val="0098627B"/>
    <w:rsid w:val="0099105C"/>
    <w:rsid w:val="00996E19"/>
    <w:rsid w:val="009A6482"/>
    <w:rsid w:val="009C193D"/>
    <w:rsid w:val="009C1A30"/>
    <w:rsid w:val="009D7257"/>
    <w:rsid w:val="00A27341"/>
    <w:rsid w:val="00AA4680"/>
    <w:rsid w:val="00AA4BB5"/>
    <w:rsid w:val="00AB390B"/>
    <w:rsid w:val="00AB6CBF"/>
    <w:rsid w:val="00AE41A5"/>
    <w:rsid w:val="00AE47CA"/>
    <w:rsid w:val="00B20DCD"/>
    <w:rsid w:val="00B40839"/>
    <w:rsid w:val="00B46249"/>
    <w:rsid w:val="00B51867"/>
    <w:rsid w:val="00B71637"/>
    <w:rsid w:val="00B73EC9"/>
    <w:rsid w:val="00B83CCA"/>
    <w:rsid w:val="00B91981"/>
    <w:rsid w:val="00BB28A6"/>
    <w:rsid w:val="00BB6CF9"/>
    <w:rsid w:val="00BC1CE6"/>
    <w:rsid w:val="00BD0472"/>
    <w:rsid w:val="00BD6DA7"/>
    <w:rsid w:val="00BE0DDF"/>
    <w:rsid w:val="00BF7B21"/>
    <w:rsid w:val="00C22598"/>
    <w:rsid w:val="00C36583"/>
    <w:rsid w:val="00C411D4"/>
    <w:rsid w:val="00C63A5E"/>
    <w:rsid w:val="00C65D12"/>
    <w:rsid w:val="00C71C9A"/>
    <w:rsid w:val="00C77089"/>
    <w:rsid w:val="00C97108"/>
    <w:rsid w:val="00CA7A55"/>
    <w:rsid w:val="00CC28DA"/>
    <w:rsid w:val="00CC6E6B"/>
    <w:rsid w:val="00CF5928"/>
    <w:rsid w:val="00D014FA"/>
    <w:rsid w:val="00D02696"/>
    <w:rsid w:val="00D447FE"/>
    <w:rsid w:val="00D6122A"/>
    <w:rsid w:val="00D62F9A"/>
    <w:rsid w:val="00D6466B"/>
    <w:rsid w:val="00D7442C"/>
    <w:rsid w:val="00D830D7"/>
    <w:rsid w:val="00DE68C5"/>
    <w:rsid w:val="00E03B72"/>
    <w:rsid w:val="00E15E61"/>
    <w:rsid w:val="00E2289B"/>
    <w:rsid w:val="00E278CE"/>
    <w:rsid w:val="00E30437"/>
    <w:rsid w:val="00E871B3"/>
    <w:rsid w:val="00E94FB2"/>
    <w:rsid w:val="00EA3B89"/>
    <w:rsid w:val="00EB4A35"/>
    <w:rsid w:val="00EC05C1"/>
    <w:rsid w:val="00EC728C"/>
    <w:rsid w:val="00ED29D3"/>
    <w:rsid w:val="00EF0197"/>
    <w:rsid w:val="00F2094F"/>
    <w:rsid w:val="00F339DD"/>
    <w:rsid w:val="00F34B2C"/>
    <w:rsid w:val="00F45C27"/>
    <w:rsid w:val="00F53106"/>
    <w:rsid w:val="00F6562A"/>
    <w:rsid w:val="00F84378"/>
    <w:rsid w:val="00FE3E5F"/>
    <w:rsid w:val="00FF4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B01F6"/>
  <w15:docId w15:val="{F4B5016C-BB5B-4320-AD4D-E0E03AF6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7D2E"/>
    <w:rPr>
      <w:sz w:val="24"/>
      <w:szCs w:val="24"/>
    </w:rPr>
  </w:style>
  <w:style w:type="paragraph" w:styleId="Titolo1">
    <w:name w:val="heading 1"/>
    <w:basedOn w:val="Normale"/>
    <w:next w:val="Normale"/>
    <w:qFormat/>
    <w:rsid w:val="003A7D2E"/>
    <w:pPr>
      <w:keepNext/>
      <w:autoSpaceDE w:val="0"/>
      <w:autoSpaceDN w:val="0"/>
      <w:adjustRightInd w:val="0"/>
      <w:outlineLvl w:val="0"/>
    </w:pPr>
    <w:rPr>
      <w:rFonts w:ascii="BookAntiqua-Bold" w:hAnsi="BookAntiqua-Bold"/>
      <w:b/>
      <w:bCs/>
      <w:szCs w:val="28"/>
    </w:rPr>
  </w:style>
  <w:style w:type="paragraph" w:styleId="Titolo2">
    <w:name w:val="heading 2"/>
    <w:basedOn w:val="Normale"/>
    <w:next w:val="Normale"/>
    <w:qFormat/>
    <w:rsid w:val="003A7D2E"/>
    <w:pPr>
      <w:keepNext/>
      <w:jc w:val="both"/>
      <w:outlineLvl w:val="1"/>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notaapidipagina">
    <w:name w:val="Carattere nota a piè di pagina"/>
    <w:rsid w:val="003A7D2E"/>
    <w:rPr>
      <w:rFonts w:ascii="Arial" w:hAnsi="Arial"/>
      <w:sz w:val="18"/>
      <w:vertAlign w:val="superscript"/>
    </w:rPr>
  </w:style>
  <w:style w:type="paragraph" w:customStyle="1" w:styleId="Default">
    <w:name w:val="Default"/>
    <w:rsid w:val="003A7D2E"/>
    <w:pPr>
      <w:autoSpaceDE w:val="0"/>
      <w:autoSpaceDN w:val="0"/>
      <w:adjustRightInd w:val="0"/>
    </w:pPr>
    <w:rPr>
      <w:rFonts w:ascii="Garamond" w:hAnsi="Garamond"/>
      <w:color w:val="000000"/>
      <w:sz w:val="24"/>
      <w:szCs w:val="24"/>
    </w:rPr>
  </w:style>
  <w:style w:type="paragraph" w:styleId="Rientrocorpodeltesto">
    <w:name w:val="Body Text Indent"/>
    <w:basedOn w:val="Normale"/>
    <w:semiHidden/>
    <w:rsid w:val="003A7D2E"/>
    <w:pPr>
      <w:ind w:left="360"/>
      <w:jc w:val="both"/>
    </w:pPr>
    <w:rPr>
      <w:rFonts w:ascii="Arial" w:hAnsi="Arial" w:cs="Arial"/>
      <w:sz w:val="22"/>
    </w:rPr>
  </w:style>
  <w:style w:type="paragraph" w:styleId="Corpotesto">
    <w:name w:val="Body Text"/>
    <w:basedOn w:val="Normale"/>
    <w:semiHidden/>
    <w:rsid w:val="003A7D2E"/>
    <w:pPr>
      <w:jc w:val="both"/>
    </w:pPr>
    <w:rPr>
      <w:rFonts w:ascii="Arial" w:hAnsi="Arial" w:cs="Arial"/>
      <w:sz w:val="22"/>
    </w:rPr>
  </w:style>
  <w:style w:type="character" w:styleId="Enfasigrassetto">
    <w:name w:val="Strong"/>
    <w:qFormat/>
    <w:rsid w:val="003A7D2E"/>
    <w:rPr>
      <w:b/>
      <w:bCs/>
    </w:rPr>
  </w:style>
  <w:style w:type="paragraph" w:styleId="Intestazione">
    <w:name w:val="header"/>
    <w:basedOn w:val="Normale"/>
    <w:link w:val="IntestazioneCarattere"/>
    <w:uiPriority w:val="99"/>
    <w:unhideWhenUsed/>
    <w:rsid w:val="00B73EC9"/>
    <w:pPr>
      <w:tabs>
        <w:tab w:val="center" w:pos="4819"/>
        <w:tab w:val="right" w:pos="9638"/>
      </w:tabs>
    </w:pPr>
  </w:style>
  <w:style w:type="character" w:customStyle="1" w:styleId="IntestazioneCarattere">
    <w:name w:val="Intestazione Carattere"/>
    <w:link w:val="Intestazione"/>
    <w:uiPriority w:val="99"/>
    <w:rsid w:val="00B73EC9"/>
    <w:rPr>
      <w:sz w:val="24"/>
      <w:szCs w:val="24"/>
    </w:rPr>
  </w:style>
  <w:style w:type="paragraph" w:styleId="Pidipagina">
    <w:name w:val="footer"/>
    <w:basedOn w:val="Normale"/>
    <w:link w:val="PidipaginaCarattere"/>
    <w:uiPriority w:val="99"/>
    <w:unhideWhenUsed/>
    <w:rsid w:val="00B73EC9"/>
    <w:pPr>
      <w:tabs>
        <w:tab w:val="center" w:pos="4819"/>
        <w:tab w:val="right" w:pos="9638"/>
      </w:tabs>
    </w:pPr>
  </w:style>
  <w:style w:type="character" w:customStyle="1" w:styleId="PidipaginaCarattere">
    <w:name w:val="Piè di pagina Carattere"/>
    <w:link w:val="Pidipagina"/>
    <w:uiPriority w:val="99"/>
    <w:rsid w:val="00B73EC9"/>
    <w:rPr>
      <w:sz w:val="24"/>
      <w:szCs w:val="24"/>
    </w:rPr>
  </w:style>
  <w:style w:type="paragraph" w:styleId="Testofumetto">
    <w:name w:val="Balloon Text"/>
    <w:basedOn w:val="Normale"/>
    <w:link w:val="TestofumettoCarattere"/>
    <w:uiPriority w:val="99"/>
    <w:semiHidden/>
    <w:unhideWhenUsed/>
    <w:rsid w:val="00E03B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3B72"/>
    <w:rPr>
      <w:rFonts w:ascii="Tahoma" w:hAnsi="Tahoma" w:cs="Tahoma"/>
      <w:sz w:val="16"/>
      <w:szCs w:val="16"/>
    </w:rPr>
  </w:style>
  <w:style w:type="paragraph" w:styleId="Paragrafoelenco">
    <w:name w:val="List Paragraph"/>
    <w:basedOn w:val="Normale"/>
    <w:uiPriority w:val="34"/>
    <w:qFormat/>
    <w:rsid w:val="00941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user</cp:lastModifiedBy>
  <cp:revision>2</cp:revision>
  <cp:lastPrinted>2020-04-21T13:07:00Z</cp:lastPrinted>
  <dcterms:created xsi:type="dcterms:W3CDTF">2020-04-23T13:47:00Z</dcterms:created>
  <dcterms:modified xsi:type="dcterms:W3CDTF">2020-04-23T13:47:00Z</dcterms:modified>
</cp:coreProperties>
</file>