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83FA9" w14:textId="2FAA30E8" w:rsidR="00372A80" w:rsidRPr="00291C00" w:rsidRDefault="00372A80" w:rsidP="00026FAF">
      <w:pPr>
        <w:jc w:val="center"/>
        <w:rPr>
          <w:rFonts w:ascii="Times New Roman" w:hAnsi="Times New Roman"/>
          <w:b/>
          <w:bCs/>
        </w:rPr>
      </w:pPr>
      <w:bookmarkStart w:id="0" w:name="_GoBack"/>
      <w:bookmarkEnd w:id="0"/>
      <w:r w:rsidRPr="00291C00">
        <w:rPr>
          <w:rFonts w:ascii="Times New Roman" w:hAnsi="Times New Roman"/>
          <w:b/>
          <w:bCs/>
        </w:rPr>
        <w:t xml:space="preserve">Relazione </w:t>
      </w:r>
      <w:r w:rsidR="00026FAF">
        <w:rPr>
          <w:rFonts w:ascii="Times New Roman" w:hAnsi="Times New Roman"/>
          <w:b/>
          <w:bCs/>
        </w:rPr>
        <w:t>illustrativa</w:t>
      </w:r>
    </w:p>
    <w:p w14:paraId="0FAAC71F" w14:textId="77777777" w:rsidR="00372A80" w:rsidRPr="00F54F61" w:rsidRDefault="00372A80" w:rsidP="00F54F61">
      <w:pPr>
        <w:jc w:val="both"/>
        <w:rPr>
          <w:rFonts w:ascii="Times New Roman" w:hAnsi="Times New Roman"/>
        </w:rPr>
      </w:pPr>
      <w:r w:rsidRPr="00F54F61">
        <w:rPr>
          <w:rFonts w:ascii="Times New Roman" w:hAnsi="Times New Roman"/>
        </w:rPr>
        <w:t xml:space="preserve">Premessa </w:t>
      </w:r>
    </w:p>
    <w:p w14:paraId="5A4CA483" w14:textId="54E60170" w:rsidR="009B0DA2" w:rsidRDefault="00D61D2D" w:rsidP="00F54F61">
      <w:pPr>
        <w:jc w:val="both"/>
        <w:rPr>
          <w:rFonts w:ascii="Times New Roman" w:hAnsi="Times New Roman"/>
        </w:rPr>
      </w:pPr>
      <w:r w:rsidRPr="00D61D2D">
        <w:rPr>
          <w:rFonts w:ascii="Times New Roman" w:hAnsi="Times New Roman"/>
          <w:i/>
          <w:iCs/>
        </w:rPr>
        <w:t>T.A.S.K. Srl</w:t>
      </w:r>
      <w:r w:rsidR="00963D08" w:rsidRPr="00F54F61">
        <w:rPr>
          <w:rFonts w:ascii="Times New Roman" w:hAnsi="Times New Roman"/>
        </w:rPr>
        <w:t xml:space="preserve"> è nata nel 1999 con l’obiettivo di gestire ed ampliare il progetto SINP </w:t>
      </w:r>
      <w:r w:rsidR="00957BBA" w:rsidRPr="00F54F61">
        <w:rPr>
          <w:rFonts w:ascii="Times New Roman" w:hAnsi="Times New Roman"/>
        </w:rPr>
        <w:t xml:space="preserve">( Portale territoriale della </w:t>
      </w:r>
      <w:r w:rsidR="00291C00">
        <w:rPr>
          <w:rFonts w:ascii="Times New Roman" w:hAnsi="Times New Roman"/>
        </w:rPr>
        <w:t>P</w:t>
      </w:r>
      <w:r w:rsidR="00957BBA" w:rsidRPr="00F54F61">
        <w:rPr>
          <w:rFonts w:ascii="Times New Roman" w:hAnsi="Times New Roman"/>
        </w:rPr>
        <w:t xml:space="preserve">rovincia di </w:t>
      </w:r>
      <w:r w:rsidR="00291C00">
        <w:rPr>
          <w:rFonts w:ascii="Times New Roman" w:hAnsi="Times New Roman"/>
        </w:rPr>
        <w:t>M</w:t>
      </w:r>
      <w:r w:rsidR="00957BBA" w:rsidRPr="00F54F61">
        <w:rPr>
          <w:rFonts w:ascii="Times New Roman" w:hAnsi="Times New Roman"/>
        </w:rPr>
        <w:t>acerata)</w:t>
      </w:r>
      <w:r w:rsidR="009B0DA2">
        <w:rPr>
          <w:rFonts w:ascii="Times New Roman" w:hAnsi="Times New Roman"/>
        </w:rPr>
        <w:t xml:space="preserve"> e </w:t>
      </w:r>
      <w:r w:rsidR="00963D08" w:rsidRPr="00F54F61">
        <w:rPr>
          <w:rFonts w:ascii="Times New Roman" w:hAnsi="Times New Roman"/>
        </w:rPr>
        <w:t xml:space="preserve"> che ha dato </w:t>
      </w:r>
      <w:r w:rsidR="0016795D">
        <w:rPr>
          <w:rFonts w:ascii="Times New Roman" w:hAnsi="Times New Roman"/>
        </w:rPr>
        <w:t>vita</w:t>
      </w:r>
      <w:r w:rsidR="00963D08" w:rsidRPr="00F54F61">
        <w:rPr>
          <w:rFonts w:ascii="Times New Roman" w:hAnsi="Times New Roman"/>
        </w:rPr>
        <w:t xml:space="preserve"> alla creazione di uno strategico </w:t>
      </w:r>
      <w:hyperlink r:id="rId8" w:history="1">
        <w:r w:rsidR="00963D08" w:rsidRPr="00F54F61">
          <w:rPr>
            <w:rStyle w:val="Collegamentoipertestuale"/>
            <w:rFonts w:ascii="Times New Roman" w:hAnsi="Times New Roman"/>
            <w:color w:val="auto"/>
            <w:u w:val="none"/>
          </w:rPr>
          <w:t>Centro Servizi Territoriale</w:t>
        </w:r>
      </w:hyperlink>
      <w:r w:rsidR="00963D08" w:rsidRPr="00F54F61">
        <w:rPr>
          <w:rFonts w:ascii="Times New Roman" w:hAnsi="Times New Roman"/>
        </w:rPr>
        <w:t> per le attività di e-government</w:t>
      </w:r>
      <w:r w:rsidR="009B0DA2">
        <w:rPr>
          <w:rFonts w:ascii="Times New Roman" w:hAnsi="Times New Roman"/>
        </w:rPr>
        <w:t xml:space="preserve"> </w:t>
      </w:r>
      <w:r w:rsidR="00963D08" w:rsidRPr="00F54F61">
        <w:rPr>
          <w:rFonts w:ascii="Times New Roman" w:hAnsi="Times New Roman"/>
        </w:rPr>
        <w:t>promosse dagli enti locali e dalla Regione Marche.</w:t>
      </w:r>
    </w:p>
    <w:p w14:paraId="3B74E205" w14:textId="49501533" w:rsidR="00957BBA" w:rsidRPr="00F54F61" w:rsidRDefault="00957BBA" w:rsidP="00F54F61">
      <w:pPr>
        <w:jc w:val="both"/>
        <w:rPr>
          <w:rFonts w:ascii="Times New Roman" w:hAnsi="Times New Roman"/>
        </w:rPr>
      </w:pPr>
      <w:r w:rsidRPr="00F54F61">
        <w:rPr>
          <w:rFonts w:ascii="Times New Roman" w:hAnsi="Times New Roman"/>
        </w:rPr>
        <w:t>La società, dunque, agisce nel campo dell’</w:t>
      </w:r>
      <w:r w:rsidRPr="00F54F61">
        <w:rPr>
          <w:rFonts w:ascii="Times New Roman" w:hAnsi="Times New Roman"/>
          <w:i/>
          <w:iCs/>
        </w:rPr>
        <w:t xml:space="preserve">e government </w:t>
      </w:r>
      <w:r w:rsidRPr="00F54F61">
        <w:rPr>
          <w:rFonts w:ascii="Times New Roman" w:hAnsi="Times New Roman"/>
        </w:rPr>
        <w:t xml:space="preserve">per l’interesse e le finalità pubbliche dei soci  e quindi si caratterizza dall’esigenza di avere una base sociale estremamente diffusa per rappresentare tutti i territori dei comuni coinvolti. </w:t>
      </w:r>
    </w:p>
    <w:p w14:paraId="3C1EB561" w14:textId="6C7748A8" w:rsidR="00957BBA" w:rsidRPr="00F54F61" w:rsidRDefault="00957BBA" w:rsidP="00F54F61">
      <w:pPr>
        <w:jc w:val="both"/>
        <w:rPr>
          <w:rFonts w:ascii="Times New Roman" w:hAnsi="Times New Roman"/>
        </w:rPr>
      </w:pPr>
      <w:r w:rsidRPr="00F54F61">
        <w:rPr>
          <w:rFonts w:ascii="Times New Roman" w:hAnsi="Times New Roman"/>
        </w:rPr>
        <w:t xml:space="preserve">Si registrano altre esperienze </w:t>
      </w:r>
      <w:r w:rsidR="0016795D" w:rsidRPr="00F54F61">
        <w:rPr>
          <w:rFonts w:ascii="Times New Roman" w:hAnsi="Times New Roman"/>
        </w:rPr>
        <w:t>analoghe, fra</w:t>
      </w:r>
      <w:r w:rsidRPr="00F54F61">
        <w:rPr>
          <w:rFonts w:ascii="Times New Roman" w:hAnsi="Times New Roman"/>
        </w:rPr>
        <w:t xml:space="preserve"> le quali si ricorda la società Lepida per la Regione Emilia-Romagna e la società Umbria Digitale per la Regione Umbria</w:t>
      </w:r>
      <w:r w:rsidR="0016795D">
        <w:rPr>
          <w:rFonts w:ascii="Times New Roman" w:hAnsi="Times New Roman"/>
        </w:rPr>
        <w:t>,</w:t>
      </w:r>
      <w:r w:rsidRPr="00F54F61">
        <w:rPr>
          <w:rFonts w:ascii="Times New Roman" w:hAnsi="Times New Roman"/>
        </w:rPr>
        <w:t xml:space="preserve"> che saranno oggetto di alcune considerazioni in seguito circa la struttura del controllo analogo congiunto.</w:t>
      </w:r>
    </w:p>
    <w:p w14:paraId="6948B2B2" w14:textId="71E9CDBB" w:rsidR="00963D08" w:rsidRPr="00F54F61" w:rsidRDefault="00957BBA" w:rsidP="00F54F61">
      <w:pPr>
        <w:jc w:val="both"/>
        <w:rPr>
          <w:rFonts w:ascii="Times New Roman" w:hAnsi="Times New Roman"/>
        </w:rPr>
      </w:pPr>
      <w:r w:rsidRPr="00F54F61">
        <w:rPr>
          <w:rFonts w:ascii="Times New Roman" w:hAnsi="Times New Roman"/>
        </w:rPr>
        <w:t xml:space="preserve">Si ripercorrono di seguito le motivazioni per le quali si interviene </w:t>
      </w:r>
      <w:r w:rsidRPr="000D4EFA">
        <w:rPr>
          <w:rFonts w:ascii="Times New Roman" w:hAnsi="Times New Roman"/>
        </w:rPr>
        <w:t>sulla governance</w:t>
      </w:r>
      <w:r w:rsidRPr="00F54F61">
        <w:rPr>
          <w:rFonts w:ascii="Times New Roman" w:hAnsi="Times New Roman"/>
        </w:rPr>
        <w:t xml:space="preserve"> della società Task, alla luce anche delle considerazioni già illustrate al Comitato di coordinamento dei soci</w:t>
      </w:r>
      <w:r w:rsidR="00B60CDC" w:rsidRPr="00F54F61">
        <w:rPr>
          <w:rFonts w:ascii="Times New Roman" w:hAnsi="Times New Roman"/>
        </w:rPr>
        <w:t xml:space="preserve"> riportando</w:t>
      </w:r>
      <w:r w:rsidR="00A057EC">
        <w:rPr>
          <w:rFonts w:ascii="Times New Roman" w:hAnsi="Times New Roman"/>
        </w:rPr>
        <w:t>,</w:t>
      </w:r>
      <w:r w:rsidR="00B60CDC" w:rsidRPr="00F54F61">
        <w:rPr>
          <w:rFonts w:ascii="Times New Roman" w:hAnsi="Times New Roman"/>
        </w:rPr>
        <w:t xml:space="preserve"> per comodità</w:t>
      </w:r>
      <w:r w:rsidR="00A057EC">
        <w:rPr>
          <w:rFonts w:ascii="Times New Roman" w:hAnsi="Times New Roman"/>
        </w:rPr>
        <w:t>,</w:t>
      </w:r>
      <w:r w:rsidR="00B60CDC" w:rsidRPr="00F54F61">
        <w:rPr>
          <w:rFonts w:ascii="Times New Roman" w:hAnsi="Times New Roman"/>
        </w:rPr>
        <w:t xml:space="preserve"> alcuni estratti.</w:t>
      </w:r>
    </w:p>
    <w:p w14:paraId="2E977C97" w14:textId="00EA9F0D" w:rsidR="00B60CDC" w:rsidRPr="00F54F61" w:rsidRDefault="00B60CDC" w:rsidP="00F54F61">
      <w:pPr>
        <w:jc w:val="both"/>
        <w:rPr>
          <w:rFonts w:ascii="Times New Roman" w:hAnsi="Times New Roman"/>
        </w:rPr>
      </w:pPr>
      <w:r w:rsidRPr="00F54F61">
        <w:rPr>
          <w:rFonts w:ascii="Times New Roman" w:hAnsi="Times New Roman"/>
        </w:rPr>
        <w:t>Si ricorda infatti che è intervenuta una richiesta da parte di Anac per il riassetto del controllo analogo congiunto</w:t>
      </w:r>
      <w:r w:rsidR="009B0DA2">
        <w:rPr>
          <w:rFonts w:ascii="Times New Roman" w:hAnsi="Times New Roman"/>
        </w:rPr>
        <w:t xml:space="preserve"> della società.</w:t>
      </w:r>
    </w:p>
    <w:p w14:paraId="00ADFEAF" w14:textId="453B9ABF" w:rsidR="00416AC5" w:rsidRPr="00F54F61" w:rsidRDefault="009B0DA2" w:rsidP="00F54F61">
      <w:pPr>
        <w:jc w:val="both"/>
        <w:rPr>
          <w:rFonts w:ascii="Times New Roman" w:hAnsi="Times New Roman"/>
        </w:rPr>
      </w:pPr>
      <w:r>
        <w:rPr>
          <w:rFonts w:ascii="Times New Roman" w:hAnsi="Times New Roman"/>
        </w:rPr>
        <w:t>A tal riguardo</w:t>
      </w:r>
      <w:r w:rsidR="00B733DA" w:rsidRPr="00F54F61">
        <w:rPr>
          <w:rFonts w:ascii="Times New Roman" w:hAnsi="Times New Roman"/>
        </w:rPr>
        <w:t xml:space="preserve">, l’Autorità ha ribadito la sua essenzialità ai fini della qualifica di una società come società </w:t>
      </w:r>
      <w:r w:rsidR="00B733DA" w:rsidRPr="008236C1">
        <w:rPr>
          <w:rFonts w:ascii="Times New Roman" w:hAnsi="Times New Roman"/>
          <w:i/>
          <w:iCs/>
        </w:rPr>
        <w:t>in house,</w:t>
      </w:r>
      <w:r w:rsidR="00B733DA" w:rsidRPr="00F54F61">
        <w:rPr>
          <w:rFonts w:ascii="Times New Roman" w:hAnsi="Times New Roman"/>
        </w:rPr>
        <w:t xml:space="preserve"> affermando che l’esercizio del controllo analogo deve essere effettivo e, qualora le amministrazioni socie siano più di una, è necessario che tale influenza sia esercitata congiuntamente dalle stesse. </w:t>
      </w:r>
    </w:p>
    <w:p w14:paraId="2E103C1E" w14:textId="75814AC3" w:rsidR="00416AC5" w:rsidRPr="008236C1" w:rsidRDefault="00B733DA" w:rsidP="00F54F61">
      <w:pPr>
        <w:spacing w:after="0"/>
        <w:jc w:val="both"/>
        <w:rPr>
          <w:rFonts w:ascii="Times New Roman" w:hAnsi="Times New Roman"/>
        </w:rPr>
      </w:pPr>
      <w:r w:rsidRPr="00F54F61">
        <w:rPr>
          <w:rFonts w:ascii="Times New Roman" w:hAnsi="Times New Roman"/>
        </w:rPr>
        <w:t>Infatti, facendo riferimento all’art. 5 del D. Lgs. 50/2016, riferisce che ciascuna delle amministrazioni deve esercitare: ”</w:t>
      </w:r>
      <w:r w:rsidRPr="00F54F61">
        <w:rPr>
          <w:rFonts w:ascii="Times New Roman" w:hAnsi="Times New Roman"/>
          <w:i/>
          <w:iCs/>
        </w:rPr>
        <w:t>un’influenza determinante sugli obiettivi strategici e sulle decisioni significative della persona giuridica controllata</w:t>
      </w:r>
      <w:r w:rsidRPr="00F54F61">
        <w:rPr>
          <w:rFonts w:ascii="Times New Roman" w:hAnsi="Times New Roman"/>
        </w:rPr>
        <w:t xml:space="preserve"> attraverso “</w:t>
      </w:r>
      <w:r w:rsidRPr="00F54F61">
        <w:rPr>
          <w:rFonts w:ascii="Times New Roman" w:hAnsi="Times New Roman"/>
          <w:i/>
          <w:iCs/>
        </w:rPr>
        <w:t>poteri di controllo, di ingerenza e di coordinamento superiori a quelli tipici del diritto societario”</w:t>
      </w:r>
      <w:r w:rsidRPr="00F54F61">
        <w:rPr>
          <w:rFonts w:ascii="Times New Roman" w:hAnsi="Times New Roman"/>
        </w:rPr>
        <w:t xml:space="preserve"> di cui al</w:t>
      </w:r>
      <w:r w:rsidRPr="00F54F61">
        <w:rPr>
          <w:rFonts w:ascii="Times New Roman" w:hAnsi="Times New Roman"/>
          <w:i/>
          <w:iCs/>
        </w:rPr>
        <w:t xml:space="preserve"> </w:t>
      </w:r>
      <w:r w:rsidRPr="008236C1">
        <w:rPr>
          <w:rFonts w:ascii="Times New Roman" w:hAnsi="Times New Roman"/>
        </w:rPr>
        <w:t>punto 6.3 delle Linee Guida Anac n. 7.</w:t>
      </w:r>
    </w:p>
    <w:p w14:paraId="7C1E0649" w14:textId="77777777" w:rsidR="00F54F61" w:rsidRPr="00F54F61" w:rsidRDefault="00F54F61" w:rsidP="00F54F61">
      <w:pPr>
        <w:spacing w:after="0"/>
        <w:jc w:val="both"/>
        <w:rPr>
          <w:rFonts w:ascii="Times New Roman" w:hAnsi="Times New Roman"/>
        </w:rPr>
      </w:pPr>
    </w:p>
    <w:p w14:paraId="51DD1BEC" w14:textId="14BA1A63" w:rsidR="00B60CDC" w:rsidRPr="00F54F61" w:rsidRDefault="00B733DA" w:rsidP="00F54F61">
      <w:pPr>
        <w:jc w:val="both"/>
        <w:rPr>
          <w:rFonts w:ascii="Times New Roman" w:hAnsi="Times New Roman"/>
        </w:rPr>
      </w:pPr>
      <w:r w:rsidRPr="00F54F61">
        <w:rPr>
          <w:rFonts w:ascii="Times New Roman" w:hAnsi="Times New Roman"/>
        </w:rPr>
        <w:t xml:space="preserve">Sulla base delle considerazioni sopra brevemente riportate, </w:t>
      </w:r>
      <w:r w:rsidR="00B60CDC" w:rsidRPr="00F54F61">
        <w:rPr>
          <w:rFonts w:ascii="Times New Roman" w:hAnsi="Times New Roman"/>
        </w:rPr>
        <w:t xml:space="preserve">l’Anac ha </w:t>
      </w:r>
      <w:r w:rsidRPr="00F54F61">
        <w:rPr>
          <w:rFonts w:ascii="Times New Roman" w:hAnsi="Times New Roman"/>
        </w:rPr>
        <w:t xml:space="preserve">ritenuto che la struttura della </w:t>
      </w:r>
      <w:r w:rsidRPr="00F54F61">
        <w:rPr>
          <w:rFonts w:ascii="Times New Roman" w:hAnsi="Times New Roman"/>
          <w:i/>
          <w:iCs/>
        </w:rPr>
        <w:t>governance</w:t>
      </w:r>
      <w:r w:rsidRPr="00F54F61">
        <w:rPr>
          <w:rFonts w:ascii="Times New Roman" w:hAnsi="Times New Roman"/>
        </w:rPr>
        <w:t xml:space="preserve"> per il controllo analogo congiunto sulla </w:t>
      </w:r>
      <w:r w:rsidR="00D61D2D" w:rsidRPr="00F54F61">
        <w:rPr>
          <w:rFonts w:ascii="Times New Roman" w:hAnsi="Times New Roman"/>
          <w:i/>
          <w:iCs/>
        </w:rPr>
        <w:t>T.A.S.K. Srl</w:t>
      </w:r>
      <w:r w:rsidR="00D61D2D" w:rsidRPr="00F54F61">
        <w:rPr>
          <w:rFonts w:ascii="Times New Roman" w:hAnsi="Times New Roman"/>
        </w:rPr>
        <w:t xml:space="preserve"> </w:t>
      </w:r>
      <w:r w:rsidRPr="00F54F61">
        <w:rPr>
          <w:rFonts w:ascii="Times New Roman" w:hAnsi="Times New Roman"/>
        </w:rPr>
        <w:t>non soddisfi tali prescrizioni e ciò in relazione: (i) al quorum deliberativo dell’assemblea dei soci (sia in prima che in seconda convocazione); (ii) alla carenza di effettiva rappresentatività dei soci di minoranza nell’organismo deliberativo - “Comitato di Coordinamento” – previsto dalla “</w:t>
      </w:r>
      <w:r w:rsidRPr="00F54F61">
        <w:rPr>
          <w:rFonts w:ascii="Times New Roman" w:hAnsi="Times New Roman"/>
          <w:i/>
          <w:iCs/>
        </w:rPr>
        <w:t xml:space="preserve">Convenzione per l’esercizio del controllo analogo congiunto sulla società </w:t>
      </w:r>
      <w:bookmarkStart w:id="1" w:name="_Hlk55842735"/>
      <w:r w:rsidRPr="00F54F61">
        <w:rPr>
          <w:rFonts w:ascii="Times New Roman" w:hAnsi="Times New Roman"/>
          <w:i/>
          <w:iCs/>
        </w:rPr>
        <w:t>T.A.S.K. Srl</w:t>
      </w:r>
      <w:bookmarkEnd w:id="1"/>
      <w:r w:rsidRPr="00F54F61">
        <w:rPr>
          <w:rFonts w:ascii="Times New Roman" w:hAnsi="Times New Roman"/>
        </w:rPr>
        <w:t xml:space="preserve">”; (iii) ed inoltre anche dalla assenza di valore vincolante delle decisioni assunte dal Coordinamento. </w:t>
      </w:r>
    </w:p>
    <w:p w14:paraId="1B3D623F" w14:textId="0751D2BC" w:rsidR="00416AC5" w:rsidRPr="00F54F61" w:rsidRDefault="00F54F61" w:rsidP="00B60CDC">
      <w:pPr>
        <w:jc w:val="both"/>
        <w:rPr>
          <w:rFonts w:ascii="Times New Roman" w:hAnsi="Times New Roman"/>
        </w:rPr>
      </w:pPr>
      <w:r w:rsidRPr="00F54F61">
        <w:rPr>
          <w:rFonts w:ascii="Times New Roman" w:hAnsi="Times New Roman"/>
        </w:rPr>
        <w:t xml:space="preserve">Si ritiene di intervenire secondo quanto </w:t>
      </w:r>
      <w:r w:rsidR="00291C00">
        <w:rPr>
          <w:rFonts w:ascii="Times New Roman" w:hAnsi="Times New Roman"/>
        </w:rPr>
        <w:t>d</w:t>
      </w:r>
      <w:r w:rsidRPr="00F54F61">
        <w:rPr>
          <w:rFonts w:ascii="Times New Roman" w:hAnsi="Times New Roman"/>
        </w:rPr>
        <w:t xml:space="preserve">i seguito riferito per adempiere alle richieste dell’Anac e fornire le </w:t>
      </w:r>
      <w:r w:rsidR="00B733DA" w:rsidRPr="00F54F61">
        <w:rPr>
          <w:rFonts w:ascii="Times New Roman" w:hAnsi="Times New Roman"/>
        </w:rPr>
        <w:t xml:space="preserve"> soluzioni da adottare a garanzia del controllo analogo congiunto </w:t>
      </w:r>
    </w:p>
    <w:p w14:paraId="1CEECEA0" w14:textId="10D6481E" w:rsidR="00416AC5" w:rsidRPr="00F54F61" w:rsidRDefault="00B733DA">
      <w:pPr>
        <w:jc w:val="both"/>
        <w:rPr>
          <w:rFonts w:ascii="Times New Roman" w:hAnsi="Times New Roman"/>
        </w:rPr>
      </w:pPr>
      <w:r w:rsidRPr="00F54F61">
        <w:rPr>
          <w:rFonts w:ascii="Times New Roman" w:hAnsi="Times New Roman"/>
        </w:rPr>
        <w:t xml:space="preserve">La </w:t>
      </w:r>
      <w:r w:rsidRPr="00F54F61">
        <w:rPr>
          <w:rFonts w:ascii="Times New Roman" w:hAnsi="Times New Roman"/>
          <w:i/>
          <w:iCs/>
        </w:rPr>
        <w:t>governance</w:t>
      </w:r>
      <w:r w:rsidRPr="00F54F61">
        <w:rPr>
          <w:rFonts w:ascii="Times New Roman" w:hAnsi="Times New Roman"/>
        </w:rPr>
        <w:t xml:space="preserve"> per il controllo analogo può essere effettuata attraverso “</w:t>
      </w:r>
      <w:r w:rsidRPr="00F54F61">
        <w:rPr>
          <w:rFonts w:ascii="Times New Roman" w:hAnsi="Times New Roman"/>
          <w:i/>
          <w:iCs/>
        </w:rPr>
        <w:t>la conclusione di appositi patti parasociali; tali patti possono avere durata superiore a cinque anni, in deroga all’art. 2341 primo comma del Codice civile</w:t>
      </w:r>
      <w:r w:rsidRPr="00F54F61">
        <w:rPr>
          <w:rFonts w:ascii="Times New Roman" w:hAnsi="Times New Roman"/>
        </w:rPr>
        <w:t>.” (art. 16 comma 2 del Testo Unico in materia di società a partecipazione pubblica – D.Lgs. 175/2016).</w:t>
      </w:r>
    </w:p>
    <w:p w14:paraId="10798B66" w14:textId="77777777" w:rsidR="00416AC5" w:rsidRPr="00F54F61" w:rsidRDefault="00B733DA">
      <w:pPr>
        <w:jc w:val="both"/>
        <w:rPr>
          <w:rFonts w:ascii="Times New Roman" w:hAnsi="Times New Roman"/>
        </w:rPr>
      </w:pPr>
      <w:r w:rsidRPr="00F54F61">
        <w:rPr>
          <w:rFonts w:ascii="Times New Roman" w:hAnsi="Times New Roman"/>
        </w:rPr>
        <w:t>I patti parasociali sono contratti aventi natura obbligatoria e possono vincolare i contraenti, soci della società, ad uniformare il proprio voto assembleare alle decisioni assunte in esecuzione della volontà formatisi per mezzo dei già menzionati patti, così come prevede l’art. 2341, primo comma lett. a), del Codice civile.</w:t>
      </w:r>
    </w:p>
    <w:p w14:paraId="21E56F2B" w14:textId="02674C1C" w:rsidR="00416AC5" w:rsidRPr="00F54F61" w:rsidRDefault="00B733DA">
      <w:pPr>
        <w:spacing w:after="0"/>
        <w:jc w:val="both"/>
        <w:rPr>
          <w:rFonts w:ascii="Times New Roman" w:hAnsi="Times New Roman"/>
        </w:rPr>
      </w:pPr>
      <w:r w:rsidRPr="00F54F61">
        <w:rPr>
          <w:rFonts w:ascii="Times New Roman" w:hAnsi="Times New Roman"/>
        </w:rPr>
        <w:t>Con riferimento alla società in esame, i soci pubblici hanno sottoscritto la “</w:t>
      </w:r>
      <w:r w:rsidRPr="00F54F61">
        <w:rPr>
          <w:rFonts w:ascii="Times New Roman" w:hAnsi="Times New Roman"/>
          <w:i/>
          <w:iCs/>
        </w:rPr>
        <w:t>Convenzione per l’esercizio del controllo analogo congiunto sulla società TASK</w:t>
      </w:r>
      <w:r w:rsidRPr="00F54F61">
        <w:rPr>
          <w:rFonts w:ascii="Times New Roman" w:hAnsi="Times New Roman"/>
        </w:rPr>
        <w:t>”, al fine di configurare la società quale organismo dedicato per lo svolgimento di servizi di interesse generale nella competenza degli enti soci e di realizzare un controllo in comune sulla società partecipata in house providing analogo a quello esercitato sui propri servizi</w:t>
      </w:r>
      <w:r w:rsidRPr="00F54F61">
        <w:rPr>
          <w:rFonts w:ascii="Times New Roman" w:hAnsi="Times New Roman"/>
          <w:b/>
          <w:bCs/>
        </w:rPr>
        <w:t xml:space="preserve">, </w:t>
      </w:r>
      <w:r w:rsidRPr="00F54F61">
        <w:rPr>
          <w:rFonts w:ascii="Times New Roman" w:hAnsi="Times New Roman"/>
        </w:rPr>
        <w:t xml:space="preserve">che </w:t>
      </w:r>
      <w:r w:rsidRPr="00F54F61">
        <w:rPr>
          <w:rFonts w:ascii="Times New Roman" w:hAnsi="Times New Roman"/>
        </w:rPr>
        <w:lastRenderedPageBreak/>
        <w:t>costituisce anch’essa una forma di patto parasociale e che può prevedere obblighi in capo ai paciscenti. Ne consegue che anche le Convenzioni fra enti pubblici possono prevedere le specifiche obbligazioni che rendono cogenti i patti parasociali e che già la risalente giurisprudenza aveva ritenuto validi per l’esercizio del controllo analogo congiunto (cfr. Cons Stato, Sez. V, 24 settembre 2010, n. 7092; T.A.R. Lombardia, Sez. III, 10 dicembre 2008, n. 5758, confermata dalla precedente; T.A.R. Lazio, Roma, Sez. II, 16 ottobre 2007, n. 9988).</w:t>
      </w:r>
    </w:p>
    <w:p w14:paraId="4FDF7F06" w14:textId="77777777" w:rsidR="00F54F61" w:rsidRDefault="00F54F61">
      <w:pPr>
        <w:spacing w:after="0"/>
        <w:jc w:val="both"/>
      </w:pPr>
    </w:p>
    <w:p w14:paraId="79E6976A" w14:textId="24647DEB" w:rsidR="00416AC5" w:rsidRDefault="00B733DA">
      <w:pPr>
        <w:spacing w:after="0"/>
        <w:jc w:val="both"/>
        <w:rPr>
          <w:rFonts w:ascii="Times New Roman" w:hAnsi="Times New Roman"/>
        </w:rPr>
      </w:pPr>
      <w:r w:rsidRPr="00F54F61">
        <w:rPr>
          <w:rFonts w:ascii="Times New Roman" w:hAnsi="Times New Roman"/>
        </w:rPr>
        <w:t xml:space="preserve">Il patto parasociale nella forma della Convenzione su menzionata, opportunamente integrata come </w:t>
      </w:r>
      <w:r w:rsidRPr="00F54F61">
        <w:rPr>
          <w:rFonts w:ascii="Times New Roman" w:hAnsi="Times New Roman"/>
          <w:i/>
          <w:iCs/>
        </w:rPr>
        <w:t xml:space="preserve">infra </w:t>
      </w:r>
      <w:r w:rsidRPr="00F54F61">
        <w:rPr>
          <w:rFonts w:ascii="Times New Roman" w:hAnsi="Times New Roman"/>
        </w:rPr>
        <w:t>specificato, attraverso le decisioni assunte dal Comitato di Coordinamento consentirà ai soci di esercitare congiuntamente il controllo analogo, obbligandosi al rispetto delle decisioni assunte nel voto assembleare.</w:t>
      </w:r>
    </w:p>
    <w:p w14:paraId="4B8C4F96" w14:textId="77777777" w:rsidR="008236C1" w:rsidRDefault="008236C1">
      <w:pPr>
        <w:spacing w:after="0"/>
        <w:jc w:val="both"/>
        <w:rPr>
          <w:rFonts w:ascii="Times New Roman" w:hAnsi="Times New Roman"/>
        </w:rPr>
      </w:pPr>
    </w:p>
    <w:p w14:paraId="3E3F5918" w14:textId="22E98ABD" w:rsidR="008236C1" w:rsidRDefault="008236C1">
      <w:pPr>
        <w:spacing w:after="0"/>
        <w:jc w:val="both"/>
        <w:rPr>
          <w:rFonts w:ascii="Times New Roman" w:hAnsi="Times New Roman"/>
        </w:rPr>
      </w:pPr>
      <w:r>
        <w:rPr>
          <w:rFonts w:ascii="Times New Roman" w:hAnsi="Times New Roman"/>
        </w:rPr>
        <w:t>Va precisato che, per un corretto esercizio del controllo analogo congiunto la Convenzione</w:t>
      </w:r>
      <w:r w:rsidR="00272818">
        <w:rPr>
          <w:rFonts w:ascii="Times New Roman" w:hAnsi="Times New Roman"/>
        </w:rPr>
        <w:t xml:space="preserve"> sarà sottoscritta solo dai soci di Task che hanno</w:t>
      </w:r>
      <w:r w:rsidR="00B02254">
        <w:rPr>
          <w:rFonts w:ascii="Times New Roman" w:hAnsi="Times New Roman"/>
        </w:rPr>
        <w:t xml:space="preserve"> dichiarato di affidare il servizio </w:t>
      </w:r>
      <w:r w:rsidR="00272818">
        <w:rPr>
          <w:rFonts w:ascii="Times New Roman" w:hAnsi="Times New Roman"/>
        </w:rPr>
        <w:t>alla società medesima.</w:t>
      </w:r>
      <w:r w:rsidR="00B02254">
        <w:rPr>
          <w:rFonts w:ascii="Times New Roman" w:hAnsi="Times New Roman"/>
        </w:rPr>
        <w:t xml:space="preserve"> Qualora ciò non avvenga nel termine di sei mesi l’ente perderà il diritto di nomina del componente del Comitato di Coordinamento e questi, se nominato deca</w:t>
      </w:r>
      <w:r w:rsidR="00920F54">
        <w:rPr>
          <w:rFonts w:ascii="Times New Roman" w:hAnsi="Times New Roman"/>
        </w:rPr>
        <w:t>drà.</w:t>
      </w:r>
      <w:r>
        <w:rPr>
          <w:rFonts w:ascii="Times New Roman" w:hAnsi="Times New Roman"/>
        </w:rPr>
        <w:t xml:space="preserve">  </w:t>
      </w:r>
    </w:p>
    <w:p w14:paraId="246EA86F" w14:textId="77777777" w:rsidR="00F54F61" w:rsidRPr="00F54F61" w:rsidRDefault="00F54F61">
      <w:pPr>
        <w:spacing w:after="0"/>
        <w:jc w:val="both"/>
        <w:rPr>
          <w:rFonts w:ascii="Times New Roman" w:hAnsi="Times New Roman"/>
        </w:rPr>
      </w:pPr>
    </w:p>
    <w:p w14:paraId="1E4BB2B3" w14:textId="77777777" w:rsidR="00416AC5" w:rsidRPr="00F54F61" w:rsidRDefault="00B733DA">
      <w:pPr>
        <w:jc w:val="both"/>
        <w:rPr>
          <w:rFonts w:ascii="Times New Roman" w:hAnsi="Times New Roman"/>
        </w:rPr>
      </w:pPr>
      <w:r w:rsidRPr="00F54F61">
        <w:rPr>
          <w:rFonts w:ascii="Times New Roman" w:hAnsi="Times New Roman"/>
        </w:rPr>
        <w:t xml:space="preserve">Per dare attuazione a tale previsione occorrerà definire compiutamente la modalità di espressione delle decisioni che verranno assunte dal  Comitato di Coordinamento. </w:t>
      </w:r>
    </w:p>
    <w:p w14:paraId="591333CC" w14:textId="77777777" w:rsidR="00416AC5" w:rsidRPr="00F54F61" w:rsidRDefault="00B733DA">
      <w:pPr>
        <w:jc w:val="both"/>
        <w:rPr>
          <w:rFonts w:ascii="Times New Roman" w:hAnsi="Times New Roman"/>
        </w:rPr>
      </w:pPr>
      <w:r w:rsidRPr="00F54F61">
        <w:rPr>
          <w:rFonts w:ascii="Times New Roman" w:hAnsi="Times New Roman"/>
        </w:rPr>
        <w:t xml:space="preserve">A tal riguardo, in primo luogo, preso atto che nelle società in house è necessario limitare il potere decisorio dell’organo amministrativo delle stesse devolvendo la competenza ai soci, si deve considerare che il Comitato di Coordinamento diverrà il luogo ove si assumono le decisioni per l’esercizio del controllo analogo. </w:t>
      </w:r>
    </w:p>
    <w:p w14:paraId="50B710D8" w14:textId="0798FA22" w:rsidR="00416AC5" w:rsidRPr="005C37F5" w:rsidRDefault="00B733DA">
      <w:pPr>
        <w:jc w:val="both"/>
        <w:rPr>
          <w:rFonts w:ascii="Times New Roman" w:hAnsi="Times New Roman"/>
        </w:rPr>
      </w:pPr>
      <w:r w:rsidRPr="005C37F5">
        <w:rPr>
          <w:rFonts w:ascii="Times New Roman" w:hAnsi="Times New Roman"/>
        </w:rPr>
        <w:t>In secondo luogo, è necessario che i componenti del Comitato di Coordinamento siano rappresentanti di tutti i soci, anche di assoluta minoranza,</w:t>
      </w:r>
      <w:r w:rsidR="00920F54">
        <w:rPr>
          <w:rFonts w:ascii="Times New Roman" w:hAnsi="Times New Roman"/>
        </w:rPr>
        <w:t xml:space="preserve"> e </w:t>
      </w:r>
      <w:r w:rsidRPr="005C37F5">
        <w:rPr>
          <w:rFonts w:ascii="Times New Roman" w:hAnsi="Times New Roman"/>
        </w:rPr>
        <w:t xml:space="preserve">per rendere ciò concreto, ne esprimeranno la nomina diretta attraverso </w:t>
      </w:r>
      <w:r w:rsidR="00920F54">
        <w:rPr>
          <w:rFonts w:ascii="Times New Roman" w:hAnsi="Times New Roman"/>
        </w:rPr>
        <w:t>una ripartizione delle nomine stesse da parte degli enti soci suddivisi anche per ubicazione territoriale ( fascia costiere</w:t>
      </w:r>
      <w:r w:rsidR="000D4EFA">
        <w:rPr>
          <w:rFonts w:ascii="Times New Roman" w:hAnsi="Times New Roman"/>
        </w:rPr>
        <w:t xml:space="preserve">, fascia collinare e </w:t>
      </w:r>
      <w:r w:rsidR="00920F54">
        <w:rPr>
          <w:rFonts w:ascii="Times New Roman" w:hAnsi="Times New Roman"/>
        </w:rPr>
        <w:t>fascia montana).</w:t>
      </w:r>
    </w:p>
    <w:p w14:paraId="1A0E125A" w14:textId="2BB05608" w:rsidR="00416AC5" w:rsidRPr="00D61D2D" w:rsidRDefault="00B733DA">
      <w:pPr>
        <w:jc w:val="both"/>
        <w:rPr>
          <w:rFonts w:ascii="Times New Roman" w:hAnsi="Times New Roman"/>
        </w:rPr>
      </w:pPr>
      <w:r w:rsidRPr="00F54F61">
        <w:rPr>
          <w:rFonts w:ascii="Times New Roman" w:hAnsi="Times New Roman"/>
        </w:rPr>
        <w:t>In terzo luogo</w:t>
      </w:r>
      <w:r w:rsidR="002E7063">
        <w:rPr>
          <w:rFonts w:ascii="Times New Roman" w:hAnsi="Times New Roman"/>
        </w:rPr>
        <w:t xml:space="preserve"> </w:t>
      </w:r>
      <w:r w:rsidRPr="00F54F61">
        <w:rPr>
          <w:rFonts w:ascii="Times New Roman" w:hAnsi="Times New Roman"/>
        </w:rPr>
        <w:t xml:space="preserve">il quorum deliberativo del Comitato di Coordinamento dovrà dare la massima rappresentatività ai soci, prevedendo il </w:t>
      </w:r>
      <w:r w:rsidR="002E7063">
        <w:rPr>
          <w:rFonts w:ascii="Times New Roman" w:hAnsi="Times New Roman"/>
        </w:rPr>
        <w:t xml:space="preserve">principio della unanimità, come principio base dello spirito di massima collaborazione, fatto salvo che detta unanimità non sia raggiungile di modo che le deliberazioni siamo comunque raggiungibili con il voto favorevole della maggioranza dei componenti, al fine di evitare il blocco dell’attività della società e comunque in linea con quanto rilevato dal </w:t>
      </w:r>
      <w:r w:rsidR="002E7063" w:rsidRPr="00F54F61">
        <w:rPr>
          <w:rFonts w:ascii="Times New Roman" w:hAnsi="Times New Roman"/>
        </w:rPr>
        <w:t xml:space="preserve">Giudice Amministrativo </w:t>
      </w:r>
      <w:r w:rsidR="002E7063">
        <w:rPr>
          <w:rFonts w:ascii="Times New Roman" w:hAnsi="Times New Roman"/>
        </w:rPr>
        <w:t xml:space="preserve">che </w:t>
      </w:r>
      <w:r w:rsidR="002E7063" w:rsidRPr="00F54F61">
        <w:rPr>
          <w:rFonts w:ascii="Times New Roman" w:hAnsi="Times New Roman"/>
        </w:rPr>
        <w:t xml:space="preserve">ammette che le decisioni per l’esercizio del controllo analogo congiunto possano avvenire a </w:t>
      </w:r>
      <w:r w:rsidR="002E7063" w:rsidRPr="00D61D2D">
        <w:rPr>
          <w:rFonts w:ascii="Times New Roman" w:hAnsi="Times New Roman"/>
        </w:rPr>
        <w:t>maggioranza (cfr. Cons. Stato 10/09/2014 n. 4599)</w:t>
      </w:r>
    </w:p>
    <w:p w14:paraId="2AAFE210" w14:textId="57C0D853" w:rsidR="002E7063" w:rsidRDefault="00B733DA">
      <w:pPr>
        <w:jc w:val="both"/>
        <w:rPr>
          <w:rFonts w:ascii="Times New Roman" w:hAnsi="Times New Roman"/>
        </w:rPr>
      </w:pPr>
      <w:r w:rsidRPr="005C37F5">
        <w:rPr>
          <w:rFonts w:ascii="Times New Roman" w:hAnsi="Times New Roman"/>
        </w:rPr>
        <w:t xml:space="preserve">Passando infine </w:t>
      </w:r>
      <w:r w:rsidRPr="000D4EFA">
        <w:rPr>
          <w:rFonts w:ascii="Times New Roman" w:hAnsi="Times New Roman"/>
        </w:rPr>
        <w:t>allo statuto</w:t>
      </w:r>
      <w:r w:rsidRPr="005C37F5">
        <w:rPr>
          <w:rFonts w:ascii="Times New Roman" w:hAnsi="Times New Roman"/>
        </w:rPr>
        <w:t xml:space="preserve"> societario, si</w:t>
      </w:r>
      <w:r w:rsidR="002E7063">
        <w:rPr>
          <w:rFonts w:ascii="Times New Roman" w:hAnsi="Times New Roman"/>
        </w:rPr>
        <w:t xml:space="preserve"> deve considerare </w:t>
      </w:r>
      <w:r w:rsidR="002E7063" w:rsidRPr="005C37F5">
        <w:rPr>
          <w:rFonts w:ascii="Times New Roman" w:hAnsi="Times New Roman"/>
        </w:rPr>
        <w:t>che la giurisprudenza non ammette il quorum all’unanimità per le decisioni assembleari dei soci nelle società per azioni e al pari ammette innalzamenti dei quorum deliberativi circoscritti a determinati argomenti e debitamente giustificati per la tutela delle minoranze (cfr</w:t>
      </w:r>
      <w:r w:rsidR="00D61D2D">
        <w:rPr>
          <w:rFonts w:ascii="Times New Roman" w:hAnsi="Times New Roman"/>
        </w:rPr>
        <w:t xml:space="preserve">. </w:t>
      </w:r>
      <w:r w:rsidR="002E7063" w:rsidRPr="005C37F5">
        <w:rPr>
          <w:rFonts w:ascii="Times New Roman" w:hAnsi="Times New Roman"/>
        </w:rPr>
        <w:t xml:space="preserve">per tutti </w:t>
      </w:r>
      <w:bookmarkStart w:id="2" w:name="__DdeLink__618_3147105976"/>
      <w:r w:rsidR="002E7063" w:rsidRPr="005C37F5">
        <w:rPr>
          <w:rFonts w:ascii="Times New Roman" w:hAnsi="Times New Roman"/>
        </w:rPr>
        <w:t>Consiglio Nazionale  del Notariato “</w:t>
      </w:r>
      <w:r w:rsidR="002E7063" w:rsidRPr="005C37F5">
        <w:rPr>
          <w:rFonts w:ascii="Times New Roman" w:hAnsi="Times New Roman"/>
          <w:i/>
          <w:iCs/>
        </w:rPr>
        <w:t>Quesito di Impresa n. 174-2007/I</w:t>
      </w:r>
      <w:r w:rsidR="002E7063" w:rsidRPr="005C37F5">
        <w:rPr>
          <w:rFonts w:ascii="Times New Roman" w:hAnsi="Times New Roman"/>
        </w:rPr>
        <w:t xml:space="preserve"> - </w:t>
      </w:r>
      <w:r w:rsidR="002E7063" w:rsidRPr="005C37F5">
        <w:rPr>
          <w:rFonts w:ascii="Times New Roman" w:hAnsi="Times New Roman"/>
          <w:i/>
          <w:iCs/>
        </w:rPr>
        <w:t>Clausole di salvaguardia negli statuti sociali</w:t>
      </w:r>
      <w:r w:rsidR="002E7063" w:rsidRPr="005C37F5">
        <w:rPr>
          <w:rFonts w:ascii="Times New Roman" w:hAnsi="Times New Roman"/>
        </w:rPr>
        <w:t>”)</w:t>
      </w:r>
      <w:r w:rsidR="002E7063" w:rsidRPr="005C37F5">
        <w:rPr>
          <w:rStyle w:val="Rimandonotaapidipagina"/>
          <w:rFonts w:ascii="Times New Roman" w:hAnsi="Times New Roman"/>
        </w:rPr>
        <w:footnoteReference w:id="1"/>
      </w:r>
      <w:r w:rsidR="002E7063" w:rsidRPr="005C37F5">
        <w:rPr>
          <w:rFonts w:ascii="Times New Roman" w:hAnsi="Times New Roman"/>
        </w:rPr>
        <w:t>.</w:t>
      </w:r>
      <w:bookmarkEnd w:id="2"/>
      <w:r w:rsidR="002E7063">
        <w:rPr>
          <w:rFonts w:ascii="Times New Roman" w:hAnsi="Times New Roman"/>
        </w:rPr>
        <w:t xml:space="preserve"> Le motivazioni di tale valutazione della giurisprudenza sono da ricercare nell’esigenza </w:t>
      </w:r>
      <w:r w:rsidR="002E7063">
        <w:rPr>
          <w:rFonts w:ascii="Times New Roman" w:hAnsi="Times New Roman"/>
        </w:rPr>
        <w:lastRenderedPageBreak/>
        <w:t>di non bloccare l’attività sociale che, come  noto, potrebbe determinare una inerzia nelle decisioni che costituiscono causa di scioglimento anticipato della società per impossibilità di funzionamento degli organi sociali.</w:t>
      </w:r>
    </w:p>
    <w:p w14:paraId="64DECAC9" w14:textId="309476BB" w:rsidR="002E7063" w:rsidRDefault="00AE12AF">
      <w:pPr>
        <w:jc w:val="both"/>
        <w:rPr>
          <w:rFonts w:ascii="Times New Roman" w:hAnsi="Times New Roman"/>
        </w:rPr>
      </w:pPr>
      <w:r>
        <w:rPr>
          <w:rFonts w:ascii="Times New Roman" w:hAnsi="Times New Roman"/>
        </w:rPr>
        <w:t>È</w:t>
      </w:r>
      <w:r w:rsidR="002E7063">
        <w:rPr>
          <w:rFonts w:ascii="Times New Roman" w:hAnsi="Times New Roman"/>
        </w:rPr>
        <w:t xml:space="preserve"> stata considerata anche la particolare conformazione delle quot</w:t>
      </w:r>
      <w:r>
        <w:rPr>
          <w:rFonts w:ascii="Times New Roman" w:hAnsi="Times New Roman"/>
        </w:rPr>
        <w:t>e</w:t>
      </w:r>
      <w:r w:rsidR="002E7063">
        <w:rPr>
          <w:rFonts w:ascii="Times New Roman" w:hAnsi="Times New Roman"/>
        </w:rPr>
        <w:t xml:space="preserve"> di partecipazione dei soci della Società</w:t>
      </w:r>
      <w:r>
        <w:rPr>
          <w:rFonts w:ascii="Times New Roman" w:hAnsi="Times New Roman"/>
        </w:rPr>
        <w:t xml:space="preserve">, </w:t>
      </w:r>
      <w:r w:rsidR="002E7063">
        <w:rPr>
          <w:rFonts w:ascii="Times New Roman" w:hAnsi="Times New Roman"/>
        </w:rPr>
        <w:t xml:space="preserve"> che è caratterizzate da un socio di maggioranza </w:t>
      </w:r>
      <w:r>
        <w:rPr>
          <w:rFonts w:ascii="Times New Roman" w:hAnsi="Times New Roman"/>
        </w:rPr>
        <w:t xml:space="preserve">assoluta </w:t>
      </w:r>
      <w:r w:rsidR="00D542A2">
        <w:rPr>
          <w:rFonts w:ascii="Times New Roman" w:hAnsi="Times New Roman"/>
        </w:rPr>
        <w:t xml:space="preserve">(57,17%) </w:t>
      </w:r>
      <w:r w:rsidR="002E7063">
        <w:rPr>
          <w:rFonts w:ascii="Times New Roman" w:hAnsi="Times New Roman"/>
        </w:rPr>
        <w:t>e da un altro socio con un</w:t>
      </w:r>
      <w:r>
        <w:rPr>
          <w:rFonts w:ascii="Times New Roman" w:hAnsi="Times New Roman"/>
        </w:rPr>
        <w:t>a</w:t>
      </w:r>
      <w:r w:rsidR="002E7063">
        <w:rPr>
          <w:rFonts w:ascii="Times New Roman" w:hAnsi="Times New Roman"/>
        </w:rPr>
        <w:t xml:space="preserve"> quota molto </w:t>
      </w:r>
      <w:r>
        <w:rPr>
          <w:rFonts w:ascii="Times New Roman" w:hAnsi="Times New Roman"/>
        </w:rPr>
        <w:t xml:space="preserve">significativa </w:t>
      </w:r>
      <w:r w:rsidR="002E7063">
        <w:rPr>
          <w:rFonts w:ascii="Times New Roman" w:hAnsi="Times New Roman"/>
        </w:rPr>
        <w:t>(30%) rispetto a tutti gli altri soci. E</w:t>
      </w:r>
      <w:r>
        <w:rPr>
          <w:rFonts w:ascii="Times New Roman" w:hAnsi="Times New Roman"/>
        </w:rPr>
        <w:t>,</w:t>
      </w:r>
      <w:r w:rsidR="002E7063">
        <w:rPr>
          <w:rFonts w:ascii="Times New Roman" w:hAnsi="Times New Roman"/>
        </w:rPr>
        <w:t xml:space="preserve"> ad eccezione di alcuni soci che hanno quote di partecipazioni</w:t>
      </w:r>
      <w:r>
        <w:rPr>
          <w:rFonts w:ascii="Times New Roman" w:hAnsi="Times New Roman"/>
        </w:rPr>
        <w:t xml:space="preserve"> di minor entità, i soci rappresentati dai comuni, dalle unioni montane e dal Parco Nazionale dei Monti Sibillini hanno quote polverizzate</w:t>
      </w:r>
      <w:r w:rsidR="00D542A2">
        <w:rPr>
          <w:rFonts w:ascii="Times New Roman" w:hAnsi="Times New Roman"/>
        </w:rPr>
        <w:t xml:space="preserve"> (0,02%)</w:t>
      </w:r>
      <w:r>
        <w:rPr>
          <w:rFonts w:ascii="Times New Roman" w:hAnsi="Times New Roman"/>
        </w:rPr>
        <w:t>.</w:t>
      </w:r>
    </w:p>
    <w:p w14:paraId="2101E87F" w14:textId="481A247A" w:rsidR="003D31FC" w:rsidRPr="003D31FC" w:rsidRDefault="00AE12AF" w:rsidP="003D31FC">
      <w:pPr>
        <w:jc w:val="both"/>
        <w:rPr>
          <w:rFonts w:ascii="Times New Roman" w:hAnsi="Times New Roman"/>
        </w:rPr>
      </w:pPr>
      <w:r>
        <w:rPr>
          <w:rFonts w:ascii="Times New Roman" w:hAnsi="Times New Roman"/>
        </w:rPr>
        <w:t xml:space="preserve">Per potere dare comunque la massima rappresentatività, senza isolare a voto decisivo quello del socio di maggioranza </w:t>
      </w:r>
      <w:r w:rsidR="00D542A2">
        <w:rPr>
          <w:rFonts w:ascii="Times New Roman" w:hAnsi="Times New Roman"/>
        </w:rPr>
        <w:t>assoluta</w:t>
      </w:r>
      <w:r>
        <w:rPr>
          <w:rFonts w:ascii="Times New Roman" w:hAnsi="Times New Roman"/>
        </w:rPr>
        <w:t xml:space="preserve">,  si è </w:t>
      </w:r>
      <w:r w:rsidR="00B733DA" w:rsidRPr="005C37F5">
        <w:rPr>
          <w:rFonts w:ascii="Times New Roman" w:hAnsi="Times New Roman"/>
        </w:rPr>
        <w:t>prev</w:t>
      </w:r>
      <w:r>
        <w:rPr>
          <w:rFonts w:ascii="Times New Roman" w:hAnsi="Times New Roman"/>
        </w:rPr>
        <w:t xml:space="preserve">ista </w:t>
      </w:r>
      <w:r w:rsidR="00B733DA" w:rsidRPr="005C37F5">
        <w:rPr>
          <w:rFonts w:ascii="Times New Roman" w:hAnsi="Times New Roman"/>
        </w:rPr>
        <w:t>la modifica del quorum deliberativo dell’assemblea dei soci, innalzando</w:t>
      </w:r>
      <w:r>
        <w:rPr>
          <w:rFonts w:ascii="Times New Roman" w:hAnsi="Times New Roman"/>
        </w:rPr>
        <w:t xml:space="preserve"> quello della assemblea ordinaria ai </w:t>
      </w:r>
      <w:r w:rsidR="005C37F5">
        <w:rPr>
          <w:rFonts w:ascii="Times New Roman" w:hAnsi="Times New Roman"/>
        </w:rPr>
        <w:t>2/3</w:t>
      </w:r>
      <w:r>
        <w:rPr>
          <w:rFonts w:ascii="Times New Roman" w:hAnsi="Times New Roman"/>
        </w:rPr>
        <w:t xml:space="preserve"> del capitale sociale</w:t>
      </w:r>
      <w:r w:rsidR="005C37F5">
        <w:rPr>
          <w:rFonts w:ascii="Times New Roman" w:hAnsi="Times New Roman"/>
        </w:rPr>
        <w:t xml:space="preserve">. </w:t>
      </w:r>
      <w:r>
        <w:rPr>
          <w:rFonts w:ascii="Times New Roman" w:hAnsi="Times New Roman"/>
        </w:rPr>
        <w:t xml:space="preserve">Per la seconda convocazione invece </w:t>
      </w:r>
      <w:r w:rsidR="003D31FC">
        <w:rPr>
          <w:rFonts w:ascii="Times New Roman" w:hAnsi="Times New Roman"/>
        </w:rPr>
        <w:t xml:space="preserve">si è previsto </w:t>
      </w:r>
      <w:r w:rsidR="003D31FC" w:rsidRPr="003D31FC">
        <w:rPr>
          <w:rFonts w:ascii="Times New Roman" w:hAnsi="Times New Roman"/>
        </w:rPr>
        <w:t xml:space="preserve">che  l'assemblea </w:t>
      </w:r>
      <w:r w:rsidR="003D31FC">
        <w:rPr>
          <w:rFonts w:ascii="Times New Roman" w:hAnsi="Times New Roman"/>
        </w:rPr>
        <w:t xml:space="preserve">sia </w:t>
      </w:r>
      <w:r w:rsidR="003D31FC" w:rsidRPr="003D31FC">
        <w:rPr>
          <w:rFonts w:ascii="Times New Roman" w:hAnsi="Times New Roman"/>
        </w:rPr>
        <w:t>validamente costituita con la presenza di tanti soci che rappresentino almeno il 57</w:t>
      </w:r>
      <w:r w:rsidR="00D542A2">
        <w:rPr>
          <w:rFonts w:ascii="Times New Roman" w:hAnsi="Times New Roman"/>
        </w:rPr>
        <w:t>%</w:t>
      </w:r>
      <w:r w:rsidR="003D31FC" w:rsidRPr="003D31FC">
        <w:rPr>
          <w:rFonts w:ascii="Times New Roman" w:hAnsi="Times New Roman"/>
        </w:rPr>
        <w:t xml:space="preserve"> (cinquantasette) del capitale sociale </w:t>
      </w:r>
      <w:r w:rsidR="00D542A2">
        <w:rPr>
          <w:rFonts w:ascii="Times New Roman" w:hAnsi="Times New Roman"/>
        </w:rPr>
        <w:t xml:space="preserve">e che deliberi </w:t>
      </w:r>
      <w:r w:rsidR="003D31FC" w:rsidRPr="003D31FC">
        <w:rPr>
          <w:rFonts w:ascii="Times New Roman" w:hAnsi="Times New Roman"/>
        </w:rPr>
        <w:t>validamente a maggioranza assoluta del capitale sociale intervenuto.</w:t>
      </w:r>
    </w:p>
    <w:p w14:paraId="2503B4EB" w14:textId="62B66D23" w:rsidR="005C37F5" w:rsidRDefault="0016795D">
      <w:pPr>
        <w:jc w:val="both"/>
        <w:rPr>
          <w:rFonts w:ascii="Times New Roman" w:hAnsi="Times New Roman"/>
        </w:rPr>
      </w:pPr>
      <w:r>
        <w:rPr>
          <w:rFonts w:ascii="Times New Roman" w:hAnsi="Times New Roman"/>
        </w:rPr>
        <w:t xml:space="preserve">Si ritiene che l’innalzamento del quorum </w:t>
      </w:r>
      <w:r w:rsidR="003D31FC">
        <w:rPr>
          <w:rFonts w:ascii="Times New Roman" w:hAnsi="Times New Roman"/>
        </w:rPr>
        <w:t xml:space="preserve">proposti </w:t>
      </w:r>
      <w:r>
        <w:rPr>
          <w:rFonts w:ascii="Times New Roman" w:hAnsi="Times New Roman"/>
        </w:rPr>
        <w:t>non costituisca una criticità rispetto l’orientamento della prassi notarile</w:t>
      </w:r>
      <w:r w:rsidR="003D31FC">
        <w:rPr>
          <w:rFonts w:ascii="Times New Roman" w:hAnsi="Times New Roman"/>
        </w:rPr>
        <w:t xml:space="preserve"> ed eviti il blocco dell’attività sociale</w:t>
      </w:r>
      <w:r>
        <w:rPr>
          <w:rFonts w:ascii="Times New Roman" w:hAnsi="Times New Roman"/>
        </w:rPr>
        <w:t xml:space="preserve"> e</w:t>
      </w:r>
      <w:r w:rsidR="003D31FC">
        <w:rPr>
          <w:rFonts w:ascii="Times New Roman" w:hAnsi="Times New Roman"/>
        </w:rPr>
        <w:t xml:space="preserve">d al contempo </w:t>
      </w:r>
      <w:r>
        <w:rPr>
          <w:rFonts w:ascii="Times New Roman" w:hAnsi="Times New Roman"/>
        </w:rPr>
        <w:t>possa rappresentare un giusto equilibrio anche a tutela delle minoranze che sono anch’esse rappresentanti di interessi pubblici di modo che possano esprimere più correttamente il controllo analogo congiunto.</w:t>
      </w:r>
    </w:p>
    <w:p w14:paraId="28E2BF0B" w14:textId="747C291B" w:rsidR="00416AC5" w:rsidRDefault="00B733DA">
      <w:pPr>
        <w:jc w:val="both"/>
        <w:rPr>
          <w:rFonts w:ascii="Times New Roman" w:hAnsi="Times New Roman"/>
        </w:rPr>
      </w:pPr>
      <w:r w:rsidRPr="005C37F5">
        <w:rPr>
          <w:rFonts w:ascii="Times New Roman" w:hAnsi="Times New Roman"/>
        </w:rPr>
        <w:t xml:space="preserve">Peraltro, la struttura della </w:t>
      </w:r>
      <w:r w:rsidRPr="005C37F5">
        <w:rPr>
          <w:rFonts w:ascii="Times New Roman" w:hAnsi="Times New Roman"/>
          <w:i/>
          <w:iCs/>
        </w:rPr>
        <w:t>governance</w:t>
      </w:r>
      <w:r w:rsidRPr="005C37F5">
        <w:rPr>
          <w:rFonts w:ascii="Times New Roman" w:hAnsi="Times New Roman"/>
        </w:rPr>
        <w:t xml:space="preserve"> del controllo analogo congiunto che si andrà a prefigurare prevede</w:t>
      </w:r>
      <w:r w:rsidR="005C37F5">
        <w:rPr>
          <w:rFonts w:ascii="Times New Roman" w:hAnsi="Times New Roman"/>
        </w:rPr>
        <w:t xml:space="preserve">: che da un lato </w:t>
      </w:r>
      <w:r w:rsidRPr="005C37F5">
        <w:rPr>
          <w:rFonts w:ascii="Times New Roman" w:hAnsi="Times New Roman"/>
        </w:rPr>
        <w:t>le decisioni assunte dal Comitato di Coordinamento siano per i soci vincolanti in assemblea, di modo che la medesima rimanga il luogo dell’espressione formale di decisioni legittimamente assunte dai soci in altra sede secondo quorum fra loro stabiliti nella “</w:t>
      </w:r>
      <w:r w:rsidRPr="005C37F5">
        <w:rPr>
          <w:rFonts w:ascii="Times New Roman" w:hAnsi="Times New Roman"/>
          <w:i/>
          <w:iCs/>
        </w:rPr>
        <w:t>Convenzione per il controllo analogo congiunto sulla società T.A.S.K. Srl</w:t>
      </w:r>
      <w:r w:rsidRPr="005C37F5">
        <w:rPr>
          <w:rFonts w:ascii="Times New Roman" w:hAnsi="Times New Roman"/>
        </w:rPr>
        <w:t>.</w:t>
      </w:r>
    </w:p>
    <w:p w14:paraId="1DC7D341" w14:textId="5C054D9F" w:rsidR="00416AC5" w:rsidRPr="009C22AF" w:rsidRDefault="009C22AF">
      <w:pPr>
        <w:jc w:val="both"/>
        <w:rPr>
          <w:rFonts w:ascii="Times New Roman" w:hAnsi="Times New Roman"/>
        </w:rPr>
      </w:pPr>
      <w:r w:rsidRPr="009C22AF">
        <w:rPr>
          <w:rFonts w:ascii="Times New Roman" w:hAnsi="Times New Roman"/>
        </w:rPr>
        <w:t>Occorre infine pre</w:t>
      </w:r>
      <w:r>
        <w:rPr>
          <w:rFonts w:ascii="Times New Roman" w:hAnsi="Times New Roman"/>
        </w:rPr>
        <w:t xml:space="preserve">ndere </w:t>
      </w:r>
      <w:r w:rsidRPr="009C22AF">
        <w:rPr>
          <w:rFonts w:ascii="Times New Roman" w:hAnsi="Times New Roman"/>
        </w:rPr>
        <w:t>in considerazione</w:t>
      </w:r>
      <w:r>
        <w:rPr>
          <w:rFonts w:ascii="Times New Roman" w:hAnsi="Times New Roman"/>
        </w:rPr>
        <w:t xml:space="preserve"> le analoghe situazioni</w:t>
      </w:r>
      <w:r w:rsidRPr="009C22AF">
        <w:rPr>
          <w:rFonts w:ascii="Times New Roman" w:hAnsi="Times New Roman"/>
        </w:rPr>
        <w:t xml:space="preserve"> </w:t>
      </w:r>
      <w:r>
        <w:rPr>
          <w:rFonts w:ascii="Times New Roman" w:hAnsi="Times New Roman"/>
        </w:rPr>
        <w:t>di Lepida (alla quale partecipano tutti i comuni dell’Emilia-Romagna) e Umbria Digitale (alla quale partecipano tutti i comuni dell’Umbria)</w:t>
      </w:r>
      <w:r w:rsidR="00D542A2">
        <w:rPr>
          <w:rFonts w:ascii="Times New Roman" w:hAnsi="Times New Roman"/>
        </w:rPr>
        <w:t>,</w:t>
      </w:r>
      <w:r>
        <w:rPr>
          <w:rFonts w:ascii="Times New Roman" w:hAnsi="Times New Roman"/>
        </w:rPr>
        <w:t xml:space="preserve"> che risultano debitamente iscritte alla Lista ANAC ex art. 192 del codice dei contratti</w:t>
      </w:r>
      <w:r w:rsidR="00D542A2">
        <w:rPr>
          <w:rFonts w:ascii="Times New Roman" w:hAnsi="Times New Roman"/>
        </w:rPr>
        <w:t xml:space="preserve">, dando atto che </w:t>
      </w:r>
      <w:r>
        <w:rPr>
          <w:rFonts w:ascii="Times New Roman" w:hAnsi="Times New Roman"/>
        </w:rPr>
        <w:t xml:space="preserve">nei loro statuti non è previsto il quorum deliberativo all’unanimità ma bensì unicamente un quorum innalzato rispetto il quorum della maggioranza del capitale.  </w:t>
      </w:r>
    </w:p>
    <w:p w14:paraId="16001851" w14:textId="42410571" w:rsidR="009C22AF" w:rsidRDefault="00B733DA" w:rsidP="009C22AF">
      <w:pPr>
        <w:jc w:val="both"/>
        <w:rPr>
          <w:rFonts w:ascii="Verdana" w:hAnsi="Verdana"/>
          <w:sz w:val="20"/>
          <w:szCs w:val="20"/>
        </w:rPr>
      </w:pPr>
      <w:r>
        <w:rPr>
          <w:rFonts w:ascii="Verdana" w:hAnsi="Verdana"/>
          <w:b/>
          <w:bCs/>
          <w:sz w:val="20"/>
          <w:szCs w:val="20"/>
        </w:rPr>
        <w:tab/>
      </w:r>
    </w:p>
    <w:p w14:paraId="6A5BC094" w14:textId="3B07EAB9" w:rsidR="00416AC5" w:rsidRDefault="00416AC5">
      <w:pPr>
        <w:jc w:val="both"/>
        <w:rPr>
          <w:rFonts w:ascii="Verdana" w:hAnsi="Verdana"/>
          <w:sz w:val="20"/>
          <w:szCs w:val="20"/>
        </w:rPr>
      </w:pPr>
    </w:p>
    <w:p w14:paraId="5CF7EF04" w14:textId="77777777" w:rsidR="00416AC5" w:rsidRDefault="00416AC5">
      <w:pPr>
        <w:jc w:val="both"/>
        <w:rPr>
          <w:rFonts w:ascii="Verdana" w:hAnsi="Verdana"/>
          <w:sz w:val="20"/>
          <w:szCs w:val="20"/>
        </w:rPr>
      </w:pPr>
    </w:p>
    <w:p w14:paraId="2E9952F5" w14:textId="77777777" w:rsidR="00416AC5" w:rsidRDefault="00416AC5"/>
    <w:sectPr w:rsidR="00416AC5">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0"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2875D" w14:textId="77777777" w:rsidR="005439FB" w:rsidRDefault="005439FB">
      <w:pPr>
        <w:spacing w:after="0" w:line="240" w:lineRule="auto"/>
      </w:pPr>
      <w:r>
        <w:separator/>
      </w:r>
    </w:p>
  </w:endnote>
  <w:endnote w:type="continuationSeparator" w:id="0">
    <w:p w14:paraId="579F5ECC" w14:textId="77777777" w:rsidR="005439FB" w:rsidRDefault="00543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doni">
    <w:altName w:val="Bodoni MT"/>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47199" w14:textId="77777777" w:rsidR="00C91022" w:rsidRDefault="00C9102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4795862"/>
      <w:docPartObj>
        <w:docPartGallery w:val="Page Numbers (Bottom of Page)"/>
        <w:docPartUnique/>
      </w:docPartObj>
    </w:sdtPr>
    <w:sdtEndPr>
      <w:rPr>
        <w:rFonts w:ascii="Times New Roman" w:hAnsi="Times New Roman"/>
        <w:sz w:val="16"/>
        <w:szCs w:val="16"/>
      </w:rPr>
    </w:sdtEndPr>
    <w:sdtContent>
      <w:p w14:paraId="208D57C8" w14:textId="22375F0A" w:rsidR="009C22AF" w:rsidRPr="00C91022" w:rsidRDefault="009C22AF">
        <w:pPr>
          <w:pStyle w:val="Pidipagina"/>
          <w:jc w:val="center"/>
          <w:rPr>
            <w:rFonts w:ascii="Times New Roman" w:hAnsi="Times New Roman"/>
            <w:sz w:val="16"/>
            <w:szCs w:val="16"/>
          </w:rPr>
        </w:pPr>
        <w:r w:rsidRPr="00C91022">
          <w:rPr>
            <w:rFonts w:ascii="Times New Roman" w:hAnsi="Times New Roman"/>
            <w:sz w:val="16"/>
            <w:szCs w:val="16"/>
          </w:rPr>
          <w:fldChar w:fldCharType="begin"/>
        </w:r>
        <w:r w:rsidRPr="00C91022">
          <w:rPr>
            <w:rFonts w:ascii="Times New Roman" w:hAnsi="Times New Roman"/>
            <w:sz w:val="16"/>
            <w:szCs w:val="16"/>
          </w:rPr>
          <w:instrText>PAGE   \* MERGEFORMAT</w:instrText>
        </w:r>
        <w:r w:rsidRPr="00C91022">
          <w:rPr>
            <w:rFonts w:ascii="Times New Roman" w:hAnsi="Times New Roman"/>
            <w:sz w:val="16"/>
            <w:szCs w:val="16"/>
          </w:rPr>
          <w:fldChar w:fldCharType="separate"/>
        </w:r>
        <w:r w:rsidR="00FB0498">
          <w:rPr>
            <w:rFonts w:ascii="Times New Roman" w:hAnsi="Times New Roman"/>
            <w:noProof/>
            <w:sz w:val="16"/>
            <w:szCs w:val="16"/>
          </w:rPr>
          <w:t>2</w:t>
        </w:r>
        <w:r w:rsidRPr="00C91022">
          <w:rPr>
            <w:rFonts w:ascii="Times New Roman" w:hAnsi="Times New Roman"/>
            <w:sz w:val="16"/>
            <w:szCs w:val="16"/>
          </w:rPr>
          <w:fldChar w:fldCharType="end"/>
        </w:r>
      </w:p>
    </w:sdtContent>
  </w:sdt>
  <w:p w14:paraId="31A812A3" w14:textId="77777777" w:rsidR="00416AC5" w:rsidRDefault="00416AC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12479" w14:textId="77777777" w:rsidR="00C91022" w:rsidRDefault="00C9102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71353" w14:textId="77777777" w:rsidR="005439FB" w:rsidRDefault="005439FB">
      <w:pPr>
        <w:spacing w:after="0" w:line="240" w:lineRule="auto"/>
      </w:pPr>
      <w:r>
        <w:separator/>
      </w:r>
    </w:p>
  </w:footnote>
  <w:footnote w:type="continuationSeparator" w:id="0">
    <w:p w14:paraId="6AAFA0A1" w14:textId="77777777" w:rsidR="005439FB" w:rsidRDefault="005439FB">
      <w:pPr>
        <w:spacing w:after="0" w:line="240" w:lineRule="auto"/>
      </w:pPr>
      <w:r>
        <w:continuationSeparator/>
      </w:r>
    </w:p>
  </w:footnote>
  <w:footnote w:id="1">
    <w:p w14:paraId="73A2D0E5" w14:textId="1737A112" w:rsidR="002E7063" w:rsidRPr="005C37F5" w:rsidRDefault="002E7063" w:rsidP="002E7063">
      <w:pPr>
        <w:pStyle w:val="Testonotaapidipagina"/>
        <w:jc w:val="both"/>
      </w:pPr>
      <w:r>
        <w:rPr>
          <w:rStyle w:val="Rimandonotaapidipagina"/>
        </w:rPr>
        <w:footnoteRef/>
      </w:r>
      <w:r>
        <w:t xml:space="preserve"> </w:t>
      </w:r>
      <w:r w:rsidRPr="005C37F5">
        <w:rPr>
          <w:rFonts w:ascii="Times New Roman" w:hAnsi="Times New Roman"/>
        </w:rPr>
        <w:t>Consiglio Nazionale del Notariato, Quesito di Impresa n. 174-2007/I, “</w:t>
      </w:r>
      <w:r w:rsidRPr="005C37F5">
        <w:rPr>
          <w:rFonts w:ascii="Times New Roman" w:hAnsi="Times New Roman"/>
          <w:i/>
          <w:iCs/>
        </w:rPr>
        <w:t>Clausole di salvaguardia</w:t>
      </w:r>
      <w:r w:rsidRPr="005C37F5">
        <w:rPr>
          <w:rFonts w:ascii="Times New Roman" w:hAnsi="Times New Roman"/>
        </w:rPr>
        <w:t>” negli statuti societari, in CNN Notizie del 22.11.2007: «[…] Peraltro, la giurisprudenza che si è occupata della questione ha affermato, nella maggioranza dei casi, che la natura eccezionale (e derogatoria rispetto al principio maggioritario riveniente dall’interpretazione delle norme di legge) di tali clausole non consente di fatto di dilatarne l’operatività al di fuori delle ipotesi statutariamente previste. Si è ad esempio sostenuto che “La clausola che… prevede la maggioranza favorevole dell’85% del capitale per le deliberazioni di aumento del capitale sociale, può essere modificata dall’assemblea straordinaria con il voto favorevole della maggioranza prevista in via generale della legge” […]. Per impedire che nel corso del rapporto associativo la clausola di salvaguardia sia modificata è necessario che lo statuto preveda la stessa maggioranza speciale anche per le deliberazioni di modificazione dello statuto sociale […]. La clausola che stabilisce maggioranze ultra qualificate è infatti norma eccezionale rispetto al principio delle maggioranze assembleari sancito dalla legge e, in quanto tale, non può essere suscettibile, in generale, di interpretazione estensiva o analogica; nella specie non si ravvisano poi ragioni per giustificare l’estensione della clausola statutaria oltre i casi da essa non previsti atteso che in nessuna delle quattro materie protette è dato rinvenire la precostituzione in capo al socio di una situazione di indisponibilità»</w:t>
      </w:r>
      <w:r w:rsidRPr="005C37F5">
        <w:t>.</w:t>
      </w:r>
    </w:p>
    <w:p w14:paraId="4834CF69" w14:textId="77777777" w:rsidR="002E7063" w:rsidRDefault="002E7063" w:rsidP="002E7063">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D6C8C" w14:textId="77777777" w:rsidR="00C91022" w:rsidRDefault="00C9102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7096E" w14:textId="77777777" w:rsidR="00D61D2D" w:rsidRDefault="00D61D2D">
    <w:pPr>
      <w:pStyle w:val="Intestazione"/>
      <w:rPr>
        <w:rFonts w:ascii="Bodoni" w:hAnsi="Bodoni"/>
        <w:b/>
        <w:bCs/>
        <w:sz w:val="16"/>
        <w:szCs w:val="16"/>
      </w:rPr>
    </w:pPr>
  </w:p>
  <w:p w14:paraId="7AD9C842" w14:textId="257D10B7" w:rsidR="00B36083" w:rsidRPr="00B36083" w:rsidRDefault="00026FAF">
    <w:pPr>
      <w:pStyle w:val="Intestazione"/>
      <w:rPr>
        <w:rFonts w:ascii="Bodoni" w:hAnsi="Bodoni"/>
        <w:b/>
        <w:bCs/>
        <w:sz w:val="16"/>
        <w:szCs w:val="16"/>
      </w:rPr>
    </w:pPr>
    <w:r>
      <w:rPr>
        <w:rFonts w:ascii="Bodoni" w:hAnsi="Bodoni"/>
        <w:b/>
        <w:bCs/>
        <w:sz w:val="16"/>
        <w:szCs w:val="16"/>
      </w:rPr>
      <w:t>Allegato A alla deliberazione autorizzatoria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BEBF7" w14:textId="77777777" w:rsidR="00C91022" w:rsidRDefault="00C9102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44445D"/>
    <w:multiLevelType w:val="multilevel"/>
    <w:tmpl w:val="C15EC1C8"/>
    <w:lvl w:ilvl="0">
      <w:start w:val="3"/>
      <w:numFmt w:val="bullet"/>
      <w:lvlText w:val="-"/>
      <w:lvlJc w:val="left"/>
      <w:pPr>
        <w:ind w:left="720" w:hanging="360"/>
      </w:pPr>
      <w:rPr>
        <w:rFonts w:ascii="Times New Roman" w:hAnsi="Times New Roman" w:cs="Times New Roman" w:hint="default"/>
        <w:sz w:val="20"/>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50E82BAB"/>
    <w:multiLevelType w:val="multilevel"/>
    <w:tmpl w:val="05A61B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C5"/>
    <w:rsid w:val="00026FAF"/>
    <w:rsid w:val="000D4EFA"/>
    <w:rsid w:val="000D7D61"/>
    <w:rsid w:val="0016795D"/>
    <w:rsid w:val="00186FCD"/>
    <w:rsid w:val="00272818"/>
    <w:rsid w:val="00291C00"/>
    <w:rsid w:val="002E7063"/>
    <w:rsid w:val="00351A61"/>
    <w:rsid w:val="00372A80"/>
    <w:rsid w:val="003D31FC"/>
    <w:rsid w:val="003E11E3"/>
    <w:rsid w:val="00416AC5"/>
    <w:rsid w:val="005439FB"/>
    <w:rsid w:val="005A452B"/>
    <w:rsid w:val="005C37F5"/>
    <w:rsid w:val="007E4C9D"/>
    <w:rsid w:val="007F0BB0"/>
    <w:rsid w:val="008236C1"/>
    <w:rsid w:val="00920F54"/>
    <w:rsid w:val="00957BBA"/>
    <w:rsid w:val="00963D08"/>
    <w:rsid w:val="009B0DA2"/>
    <w:rsid w:val="009C22AF"/>
    <w:rsid w:val="00A057EC"/>
    <w:rsid w:val="00AE12AF"/>
    <w:rsid w:val="00B02254"/>
    <w:rsid w:val="00B36083"/>
    <w:rsid w:val="00B60CDC"/>
    <w:rsid w:val="00B733DA"/>
    <w:rsid w:val="00C43ABC"/>
    <w:rsid w:val="00C5149C"/>
    <w:rsid w:val="00C91022"/>
    <w:rsid w:val="00C97594"/>
    <w:rsid w:val="00D542A2"/>
    <w:rsid w:val="00D61D2D"/>
    <w:rsid w:val="00F54F61"/>
    <w:rsid w:val="00FB049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B52C1"/>
  <w15:docId w15:val="{AEE07983-634D-439F-BDD8-DDAE6D0B9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2724"/>
    <w:pPr>
      <w:spacing w:after="160" w:line="259" w:lineRule="auto"/>
    </w:pPr>
    <w:rPr>
      <w:rFonts w:cs="Times New Roman"/>
      <w:sz w:val="22"/>
    </w:rPr>
  </w:style>
  <w:style w:type="paragraph" w:styleId="Titolo3">
    <w:name w:val="heading 3"/>
    <w:basedOn w:val="Normale"/>
    <w:next w:val="Normale"/>
    <w:link w:val="Titolo3Carattere"/>
    <w:uiPriority w:val="9"/>
    <w:semiHidden/>
    <w:unhideWhenUsed/>
    <w:qFormat/>
    <w:rsid w:val="00957B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basedOn w:val="Carpredefinitoparagrafo"/>
    <w:link w:val="Pidipagina"/>
    <w:uiPriority w:val="99"/>
    <w:qFormat/>
    <w:rsid w:val="00B52724"/>
    <w:rPr>
      <w:rFonts w:ascii="Calibri" w:eastAsia="Calibri" w:hAnsi="Calibri" w:cs="Times New Roman"/>
    </w:rPr>
  </w:style>
  <w:style w:type="character" w:customStyle="1" w:styleId="TestonormaleCarattere">
    <w:name w:val="Testo normale Carattere"/>
    <w:basedOn w:val="Carpredefinitoparagrafo"/>
    <w:link w:val="Testonormale"/>
    <w:qFormat/>
    <w:rsid w:val="00B52724"/>
    <w:rPr>
      <w:rFonts w:ascii="Courier New" w:eastAsia="Times New Roman" w:hAnsi="Courier New" w:cs="Times New Roman"/>
      <w:sz w:val="20"/>
      <w:szCs w:val="20"/>
      <w:lang w:eastAsia="it-IT"/>
    </w:rPr>
  </w:style>
  <w:style w:type="character" w:customStyle="1" w:styleId="IntestazioneCarattere">
    <w:name w:val="Intestazione Carattere"/>
    <w:basedOn w:val="Carpredefinitoparagrafo"/>
    <w:link w:val="Intestazione"/>
    <w:uiPriority w:val="99"/>
    <w:qFormat/>
    <w:rsid w:val="00A07215"/>
    <w:rPr>
      <w:rFonts w:ascii="Calibri" w:eastAsia="Calibri" w:hAnsi="Calibri" w:cs="Times New Roman"/>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Verdana" w:hAnsi="Verdana" w:cs="Times New Roman"/>
      <w:sz w:val="20"/>
      <w:szCs w:val="24"/>
    </w:rPr>
  </w:style>
  <w:style w:type="character" w:customStyle="1" w:styleId="ListLabel6">
    <w:name w:val="ListLabel 6"/>
    <w:qFormat/>
    <w:rPr>
      <w:rFonts w:cs="Times New Roman"/>
      <w:sz w:val="20"/>
      <w:szCs w:val="24"/>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idipagina">
    <w:name w:val="footer"/>
    <w:basedOn w:val="Normale"/>
    <w:link w:val="PidipaginaCarattere"/>
    <w:uiPriority w:val="99"/>
    <w:unhideWhenUsed/>
    <w:rsid w:val="00B52724"/>
    <w:pPr>
      <w:tabs>
        <w:tab w:val="center" w:pos="4819"/>
        <w:tab w:val="right" w:pos="9638"/>
      </w:tabs>
    </w:pPr>
  </w:style>
  <w:style w:type="paragraph" w:styleId="Testonormale">
    <w:name w:val="Plain Text"/>
    <w:basedOn w:val="Normale"/>
    <w:link w:val="TestonormaleCarattere"/>
    <w:qFormat/>
    <w:rsid w:val="00B52724"/>
    <w:pPr>
      <w:spacing w:after="0" w:line="240" w:lineRule="auto"/>
    </w:pPr>
    <w:rPr>
      <w:rFonts w:ascii="Courier New" w:eastAsia="Times New Roman" w:hAnsi="Courier New"/>
      <w:sz w:val="20"/>
      <w:szCs w:val="20"/>
      <w:lang w:eastAsia="it-IT"/>
    </w:rPr>
  </w:style>
  <w:style w:type="paragraph" w:styleId="Intestazione">
    <w:name w:val="header"/>
    <w:basedOn w:val="Normale"/>
    <w:link w:val="IntestazioneCarattere"/>
    <w:uiPriority w:val="99"/>
    <w:unhideWhenUsed/>
    <w:rsid w:val="00A07215"/>
    <w:pPr>
      <w:tabs>
        <w:tab w:val="center" w:pos="4819"/>
        <w:tab w:val="right" w:pos="9638"/>
      </w:tabs>
      <w:spacing w:after="0" w:line="240" w:lineRule="auto"/>
    </w:pPr>
  </w:style>
  <w:style w:type="character" w:styleId="Collegamentoipertestuale">
    <w:name w:val="Hyperlink"/>
    <w:uiPriority w:val="99"/>
    <w:unhideWhenUsed/>
    <w:rsid w:val="00963D08"/>
    <w:rPr>
      <w:color w:val="0563C1"/>
      <w:u w:val="single"/>
    </w:rPr>
  </w:style>
  <w:style w:type="character" w:customStyle="1" w:styleId="Titolo3Carattere">
    <w:name w:val="Titolo 3 Carattere"/>
    <w:basedOn w:val="Carpredefinitoparagrafo"/>
    <w:link w:val="Titolo3"/>
    <w:uiPriority w:val="9"/>
    <w:semiHidden/>
    <w:rsid w:val="00957BBA"/>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Carpredefinitoparagrafo"/>
    <w:uiPriority w:val="99"/>
    <w:semiHidden/>
    <w:unhideWhenUsed/>
    <w:rsid w:val="00957BBA"/>
    <w:rPr>
      <w:color w:val="605E5C"/>
      <w:shd w:val="clear" w:color="auto" w:fill="E1DFDD"/>
    </w:rPr>
  </w:style>
  <w:style w:type="paragraph" w:styleId="Testonotaapidipagina">
    <w:name w:val="footnote text"/>
    <w:basedOn w:val="Normale"/>
    <w:link w:val="TestonotaapidipaginaCarattere"/>
    <w:uiPriority w:val="99"/>
    <w:semiHidden/>
    <w:unhideWhenUsed/>
    <w:rsid w:val="005C37F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C37F5"/>
    <w:rPr>
      <w:rFonts w:cs="Times New Roman"/>
      <w:szCs w:val="20"/>
    </w:rPr>
  </w:style>
  <w:style w:type="character" w:styleId="Rimandonotaapidipagina">
    <w:name w:val="footnote reference"/>
    <w:basedOn w:val="Carpredefinitoparagrafo"/>
    <w:uiPriority w:val="99"/>
    <w:semiHidden/>
    <w:unhideWhenUsed/>
    <w:rsid w:val="005C37F5"/>
    <w:rPr>
      <w:vertAlign w:val="superscript"/>
    </w:rPr>
  </w:style>
  <w:style w:type="paragraph" w:styleId="Testofumetto">
    <w:name w:val="Balloon Text"/>
    <w:basedOn w:val="Normale"/>
    <w:link w:val="TestofumettoCarattere"/>
    <w:uiPriority w:val="99"/>
    <w:semiHidden/>
    <w:unhideWhenUsed/>
    <w:rsid w:val="009C22A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C22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614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rovincia.mc.it/sinp-e-centro-servizi-territoriale/sinp-tutto-e-tutti-insiem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34FE8-E9A3-441D-9B5D-BFB842E30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1476</Words>
  <Characters>8416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Gabrielli</dc:creator>
  <dc:description/>
  <cp:lastModifiedBy>Sira Sbarra</cp:lastModifiedBy>
  <cp:revision>2</cp:revision>
  <cp:lastPrinted>2020-11-03T14:52:00Z</cp:lastPrinted>
  <dcterms:created xsi:type="dcterms:W3CDTF">2020-11-19T10:25:00Z</dcterms:created>
  <dcterms:modified xsi:type="dcterms:W3CDTF">2020-11-19T10:25:00Z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