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150" w:rsidRPr="00BC4150" w:rsidRDefault="00BC4150" w:rsidP="00BC4150">
      <w:pPr>
        <w:tabs>
          <w:tab w:val="left" w:pos="142"/>
        </w:tabs>
        <w:spacing w:after="0" w:line="360" w:lineRule="auto"/>
        <w:ind w:left="386" w:right="125"/>
        <w:contextualSpacing/>
        <w:rPr>
          <w:rFonts w:ascii="Times New Roman" w:hAnsi="Times New Roman"/>
          <w:sz w:val="24"/>
          <w:szCs w:val="24"/>
        </w:rPr>
      </w:pPr>
      <w:r w:rsidRPr="00BC4150">
        <w:rPr>
          <w:rFonts w:ascii="Times New Roman" w:hAnsi="Times New Roman"/>
          <w:noProof/>
          <w:sz w:val="24"/>
          <w:szCs w:val="24"/>
          <w:lang w:eastAsia="it-IT"/>
        </w:rPr>
        <w:drawing>
          <wp:anchor distT="0" distB="0" distL="114300" distR="114300" simplePos="0" relativeHeight="251659264" behindDoc="1" locked="0" layoutInCell="1" allowOverlap="1" wp14:anchorId="786325AE" wp14:editId="0EA980BF">
            <wp:simplePos x="0" y="0"/>
            <wp:positionH relativeFrom="column">
              <wp:posOffset>2442845</wp:posOffset>
            </wp:positionH>
            <wp:positionV relativeFrom="paragraph">
              <wp:posOffset>227965</wp:posOffset>
            </wp:positionV>
            <wp:extent cx="1165860" cy="1478915"/>
            <wp:effectExtent l="0" t="0" r="0" b="6985"/>
            <wp:wrapNone/>
            <wp:docPr id="1" name="Immagine 1" descr="CdTStemmaAcol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TStemmaAcolor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65860" cy="1478915"/>
                    </a:xfrm>
                    <a:prstGeom prst="rect">
                      <a:avLst/>
                    </a:prstGeom>
                    <a:noFill/>
                  </pic:spPr>
                </pic:pic>
              </a:graphicData>
            </a:graphic>
            <wp14:sizeRelH relativeFrom="page">
              <wp14:pctWidth>0</wp14:pctWidth>
            </wp14:sizeRelH>
            <wp14:sizeRelV relativeFrom="page">
              <wp14:pctHeight>0</wp14:pctHeight>
            </wp14:sizeRelV>
          </wp:anchor>
        </w:drawing>
      </w:r>
    </w:p>
    <w:p w:rsidR="00BC4150" w:rsidRPr="00BC4150" w:rsidRDefault="00BC4150" w:rsidP="00BC4150">
      <w:pPr>
        <w:tabs>
          <w:tab w:val="left" w:pos="142"/>
        </w:tabs>
        <w:spacing w:after="0" w:line="360" w:lineRule="auto"/>
        <w:ind w:left="386" w:right="125"/>
        <w:contextualSpacing/>
        <w:jc w:val="center"/>
        <w:rPr>
          <w:rFonts w:ascii="Times New Roman" w:hAnsi="Times New Roman"/>
          <w:b/>
          <w:bCs/>
          <w:sz w:val="24"/>
          <w:szCs w:val="24"/>
        </w:rPr>
      </w:pPr>
    </w:p>
    <w:p w:rsidR="00BC4150" w:rsidRPr="00BC4150" w:rsidRDefault="00BC4150" w:rsidP="00BC4150">
      <w:pPr>
        <w:tabs>
          <w:tab w:val="left" w:pos="142"/>
        </w:tabs>
        <w:spacing w:after="0" w:line="360" w:lineRule="auto"/>
        <w:ind w:left="386" w:right="125"/>
        <w:contextualSpacing/>
        <w:jc w:val="center"/>
        <w:rPr>
          <w:rFonts w:ascii="Times New Roman" w:hAnsi="Times New Roman"/>
          <w:b/>
          <w:bCs/>
          <w:sz w:val="24"/>
          <w:szCs w:val="24"/>
        </w:rPr>
      </w:pPr>
    </w:p>
    <w:p w:rsidR="00BC4150" w:rsidRPr="00BC4150" w:rsidRDefault="00BC4150" w:rsidP="00BC4150">
      <w:pPr>
        <w:tabs>
          <w:tab w:val="left" w:pos="142"/>
        </w:tabs>
        <w:spacing w:after="0" w:line="360" w:lineRule="auto"/>
        <w:ind w:left="386" w:right="125"/>
        <w:contextualSpacing/>
        <w:jc w:val="center"/>
        <w:rPr>
          <w:rFonts w:ascii="Times New Roman" w:hAnsi="Times New Roman"/>
          <w:b/>
          <w:bCs/>
          <w:sz w:val="24"/>
          <w:szCs w:val="24"/>
        </w:rPr>
      </w:pPr>
    </w:p>
    <w:p w:rsidR="00BC4150" w:rsidRPr="00BC4150" w:rsidRDefault="00BC4150" w:rsidP="00BC4150">
      <w:pPr>
        <w:tabs>
          <w:tab w:val="left" w:pos="142"/>
        </w:tabs>
        <w:spacing w:after="0" w:line="360" w:lineRule="auto"/>
        <w:ind w:left="386" w:right="125"/>
        <w:contextualSpacing/>
        <w:jc w:val="center"/>
        <w:rPr>
          <w:rFonts w:ascii="Times New Roman" w:hAnsi="Times New Roman"/>
          <w:b/>
          <w:bCs/>
          <w:sz w:val="24"/>
          <w:szCs w:val="24"/>
        </w:rPr>
      </w:pPr>
    </w:p>
    <w:p w:rsidR="00BC4150" w:rsidRPr="00BC4150" w:rsidRDefault="00BC4150" w:rsidP="00BC4150">
      <w:pPr>
        <w:tabs>
          <w:tab w:val="left" w:pos="142"/>
        </w:tabs>
        <w:spacing w:after="0" w:line="360" w:lineRule="auto"/>
        <w:ind w:left="386" w:right="125"/>
        <w:contextualSpacing/>
        <w:jc w:val="center"/>
        <w:rPr>
          <w:rFonts w:ascii="Times New Roman" w:hAnsi="Times New Roman"/>
          <w:b/>
          <w:bCs/>
          <w:sz w:val="24"/>
          <w:szCs w:val="24"/>
        </w:rPr>
      </w:pPr>
    </w:p>
    <w:p w:rsidR="00BC4150" w:rsidRPr="00BC4150" w:rsidRDefault="00BC4150" w:rsidP="00BC4150">
      <w:pPr>
        <w:tabs>
          <w:tab w:val="left" w:pos="142"/>
        </w:tabs>
        <w:spacing w:after="0" w:line="360" w:lineRule="auto"/>
        <w:ind w:left="386" w:right="125"/>
        <w:contextualSpacing/>
        <w:jc w:val="center"/>
        <w:rPr>
          <w:rFonts w:ascii="Times New Roman" w:hAnsi="Times New Roman"/>
          <w:b/>
          <w:bCs/>
          <w:sz w:val="24"/>
          <w:szCs w:val="24"/>
        </w:rPr>
      </w:pPr>
    </w:p>
    <w:p w:rsidR="00BC4150" w:rsidRPr="00BC4150" w:rsidRDefault="00BC4150" w:rsidP="00BC4150">
      <w:pPr>
        <w:tabs>
          <w:tab w:val="left" w:pos="142"/>
        </w:tabs>
        <w:spacing w:after="0" w:line="360" w:lineRule="auto"/>
        <w:ind w:left="386" w:right="125"/>
        <w:contextualSpacing/>
        <w:jc w:val="center"/>
        <w:rPr>
          <w:rFonts w:ascii="Times New Roman" w:hAnsi="Times New Roman"/>
          <w:b/>
          <w:bCs/>
          <w:sz w:val="24"/>
          <w:szCs w:val="24"/>
        </w:rPr>
      </w:pPr>
      <w:r w:rsidRPr="00BC4150">
        <w:rPr>
          <w:rFonts w:ascii="Times New Roman" w:hAnsi="Times New Roman"/>
          <w:b/>
          <w:bCs/>
          <w:sz w:val="24"/>
          <w:szCs w:val="24"/>
        </w:rPr>
        <w:t>COMUNE DI CIVITELLA DEL TRONTO</w:t>
      </w:r>
    </w:p>
    <w:p w:rsidR="00BC4150" w:rsidRPr="00BC4150" w:rsidRDefault="00BC4150" w:rsidP="00BC4150">
      <w:pPr>
        <w:tabs>
          <w:tab w:val="left" w:pos="142"/>
        </w:tabs>
        <w:spacing w:after="0" w:line="360" w:lineRule="auto"/>
        <w:ind w:left="386" w:right="125"/>
        <w:contextualSpacing/>
        <w:jc w:val="center"/>
        <w:rPr>
          <w:rFonts w:ascii="Times New Roman" w:hAnsi="Times New Roman"/>
          <w:b/>
          <w:bCs/>
          <w:i/>
          <w:iCs/>
          <w:sz w:val="24"/>
          <w:szCs w:val="24"/>
        </w:rPr>
      </w:pPr>
      <w:r w:rsidRPr="00BC4150">
        <w:rPr>
          <w:rFonts w:ascii="Times New Roman" w:hAnsi="Times New Roman"/>
          <w:b/>
          <w:bCs/>
          <w:i/>
          <w:iCs/>
          <w:sz w:val="24"/>
          <w:szCs w:val="24"/>
        </w:rPr>
        <w:t>(Provincia di Teramo)</w:t>
      </w:r>
    </w:p>
    <w:p w:rsidR="00BC4150" w:rsidRPr="00BC4150" w:rsidRDefault="00BC4150" w:rsidP="00BC4150">
      <w:pPr>
        <w:tabs>
          <w:tab w:val="left" w:pos="142"/>
        </w:tabs>
        <w:spacing w:after="0" w:line="360" w:lineRule="auto"/>
        <w:ind w:left="386" w:right="125"/>
        <w:contextualSpacing/>
        <w:jc w:val="center"/>
        <w:rPr>
          <w:rFonts w:ascii="Times New Roman" w:hAnsi="Times New Roman"/>
          <w:i/>
          <w:iCs/>
          <w:sz w:val="24"/>
          <w:szCs w:val="24"/>
        </w:rPr>
      </w:pPr>
    </w:p>
    <w:p w:rsidR="00BC4150" w:rsidRPr="00BC4150" w:rsidRDefault="00BC4150" w:rsidP="00BC4150">
      <w:pPr>
        <w:tabs>
          <w:tab w:val="left" w:pos="142"/>
        </w:tabs>
        <w:spacing w:after="0" w:line="360" w:lineRule="auto"/>
        <w:ind w:left="386" w:right="125"/>
        <w:contextualSpacing/>
        <w:jc w:val="center"/>
        <w:rPr>
          <w:rFonts w:ascii="Times New Roman" w:hAnsi="Times New Roman"/>
          <w:sz w:val="24"/>
          <w:szCs w:val="24"/>
        </w:rPr>
      </w:pPr>
    </w:p>
    <w:p w:rsidR="00BC4150" w:rsidRPr="00BC4150" w:rsidRDefault="00BC4150" w:rsidP="00BC4150">
      <w:pPr>
        <w:tabs>
          <w:tab w:val="left" w:pos="142"/>
        </w:tabs>
        <w:spacing w:after="0" w:line="360" w:lineRule="auto"/>
        <w:ind w:left="386" w:right="125"/>
        <w:contextualSpacing/>
        <w:jc w:val="center"/>
        <w:rPr>
          <w:rFonts w:ascii="Times New Roman" w:hAnsi="Times New Roman"/>
          <w:sz w:val="24"/>
          <w:szCs w:val="24"/>
        </w:rPr>
      </w:pPr>
    </w:p>
    <w:p w:rsidR="00BC4150" w:rsidRPr="00BC4150" w:rsidRDefault="00BC4150" w:rsidP="00BC4150">
      <w:pPr>
        <w:tabs>
          <w:tab w:val="left" w:pos="142"/>
        </w:tabs>
        <w:spacing w:after="0" w:line="360" w:lineRule="auto"/>
        <w:ind w:left="386" w:right="125"/>
        <w:contextualSpacing/>
        <w:jc w:val="center"/>
        <w:rPr>
          <w:rFonts w:ascii="Times New Roman" w:hAnsi="Times New Roman"/>
          <w:sz w:val="24"/>
          <w:szCs w:val="24"/>
        </w:rPr>
      </w:pPr>
    </w:p>
    <w:p w:rsidR="00BC4150" w:rsidRPr="00BC4150" w:rsidRDefault="00BC4150" w:rsidP="00BC4150">
      <w:pPr>
        <w:tabs>
          <w:tab w:val="left" w:pos="142"/>
        </w:tabs>
        <w:spacing w:after="0" w:line="360" w:lineRule="auto"/>
        <w:ind w:left="386" w:right="125"/>
        <w:contextualSpacing/>
        <w:jc w:val="center"/>
        <w:rPr>
          <w:rFonts w:ascii="Times New Roman" w:hAnsi="Times New Roman"/>
          <w:sz w:val="24"/>
          <w:szCs w:val="24"/>
        </w:rPr>
      </w:pPr>
    </w:p>
    <w:p w:rsidR="00BC4150" w:rsidRPr="00BC4150" w:rsidRDefault="00BC4150" w:rsidP="00BC4150">
      <w:pPr>
        <w:tabs>
          <w:tab w:val="left" w:pos="142"/>
        </w:tabs>
        <w:spacing w:after="0" w:line="360" w:lineRule="auto"/>
        <w:ind w:left="386" w:right="125"/>
        <w:contextualSpacing/>
        <w:jc w:val="center"/>
        <w:rPr>
          <w:rFonts w:ascii="Times New Roman" w:hAnsi="Times New Roman"/>
          <w:sz w:val="24"/>
          <w:szCs w:val="24"/>
        </w:rPr>
      </w:pPr>
    </w:p>
    <w:p w:rsidR="00BC4150" w:rsidRPr="00BC4150" w:rsidRDefault="00BC4150" w:rsidP="00BC4150">
      <w:pPr>
        <w:tabs>
          <w:tab w:val="left" w:pos="142"/>
        </w:tabs>
        <w:spacing w:after="0" w:line="360" w:lineRule="auto"/>
        <w:ind w:left="386" w:right="125"/>
        <w:contextualSpacing/>
        <w:jc w:val="center"/>
        <w:rPr>
          <w:rFonts w:ascii="Times New Roman" w:hAnsi="Times New Roman"/>
          <w:sz w:val="24"/>
          <w:szCs w:val="24"/>
        </w:rPr>
      </w:pPr>
    </w:p>
    <w:p w:rsidR="00BC4150" w:rsidRPr="00BC4150" w:rsidRDefault="00BC4150" w:rsidP="00BC4150">
      <w:pPr>
        <w:tabs>
          <w:tab w:val="left" w:pos="142"/>
        </w:tabs>
        <w:spacing w:after="0" w:line="360" w:lineRule="auto"/>
        <w:ind w:left="386" w:right="125"/>
        <w:contextualSpacing/>
        <w:jc w:val="center"/>
        <w:rPr>
          <w:rFonts w:ascii="Times New Roman" w:hAnsi="Times New Roman"/>
          <w:sz w:val="24"/>
          <w:szCs w:val="24"/>
        </w:rPr>
      </w:pPr>
      <w:bookmarkStart w:id="0" w:name="_GoBack"/>
      <w:bookmarkEnd w:id="0"/>
    </w:p>
    <w:p w:rsidR="00BC4150" w:rsidRPr="00BC4150" w:rsidRDefault="00BC4150" w:rsidP="00BC4150">
      <w:pPr>
        <w:tabs>
          <w:tab w:val="left" w:pos="142"/>
        </w:tabs>
        <w:spacing w:after="0" w:line="360" w:lineRule="auto"/>
        <w:ind w:left="386" w:right="125"/>
        <w:contextualSpacing/>
        <w:jc w:val="center"/>
        <w:rPr>
          <w:rFonts w:ascii="Times New Roman" w:hAnsi="Times New Roman"/>
          <w:sz w:val="24"/>
          <w:szCs w:val="24"/>
        </w:rPr>
      </w:pPr>
    </w:p>
    <w:p w:rsidR="00BC4150" w:rsidRPr="00BC4150" w:rsidRDefault="00BC4150" w:rsidP="00BC4150">
      <w:pPr>
        <w:autoSpaceDE w:val="0"/>
        <w:autoSpaceDN w:val="0"/>
        <w:adjustRightInd w:val="0"/>
        <w:spacing w:after="0" w:line="240" w:lineRule="auto"/>
        <w:jc w:val="center"/>
        <w:rPr>
          <w:rFonts w:ascii="Times New Roman" w:hAnsi="Times New Roman"/>
          <w:b/>
          <w:bCs/>
          <w:sz w:val="24"/>
          <w:szCs w:val="24"/>
        </w:rPr>
      </w:pPr>
      <w:r w:rsidRPr="00BC4150">
        <w:rPr>
          <w:rFonts w:ascii="Times New Roman" w:hAnsi="Times New Roman"/>
          <w:b/>
          <w:bCs/>
          <w:sz w:val="24"/>
          <w:szCs w:val="24"/>
        </w:rPr>
        <w:t>REGOLAMENTO INCENTIVI GESTIONE ENTRATE</w:t>
      </w:r>
    </w:p>
    <w:p w:rsidR="00BC4150" w:rsidRPr="00BC4150" w:rsidRDefault="00BC4150" w:rsidP="00BC4150">
      <w:pPr>
        <w:tabs>
          <w:tab w:val="left" w:pos="142"/>
        </w:tabs>
        <w:spacing w:after="0" w:line="360" w:lineRule="auto"/>
        <w:ind w:left="386" w:right="125"/>
        <w:contextualSpacing/>
        <w:jc w:val="center"/>
        <w:rPr>
          <w:rFonts w:ascii="Times New Roman" w:hAnsi="Times New Roman"/>
          <w:sz w:val="24"/>
          <w:szCs w:val="24"/>
        </w:rPr>
      </w:pPr>
    </w:p>
    <w:p w:rsidR="00BC4150" w:rsidRPr="00BC4150" w:rsidRDefault="00441ADC" w:rsidP="00BC4150">
      <w:pPr>
        <w:tabs>
          <w:tab w:val="left" w:pos="142"/>
        </w:tabs>
        <w:spacing w:after="0" w:line="360" w:lineRule="auto"/>
        <w:ind w:left="386" w:right="125"/>
        <w:contextualSpacing/>
        <w:jc w:val="center"/>
        <w:rPr>
          <w:rFonts w:ascii="Times New Roman" w:hAnsi="Times New Roman"/>
          <w:i/>
          <w:sz w:val="24"/>
          <w:szCs w:val="24"/>
        </w:rPr>
      </w:pPr>
      <w:r>
        <w:rPr>
          <w:rFonts w:ascii="Times New Roman" w:hAnsi="Times New Roman"/>
          <w:i/>
          <w:sz w:val="24"/>
          <w:szCs w:val="24"/>
        </w:rPr>
        <w:t>(</w:t>
      </w:r>
      <w:r w:rsidRPr="00441ADC">
        <w:rPr>
          <w:rFonts w:ascii="Times New Roman" w:hAnsi="Times New Roman"/>
          <w:i/>
          <w:sz w:val="24"/>
          <w:szCs w:val="24"/>
        </w:rPr>
        <w:t>Articolo 1, comma 1091, legge 30 dicembre 2018, n. 145</w:t>
      </w:r>
      <w:r w:rsidR="00BC4150" w:rsidRPr="00BC4150">
        <w:rPr>
          <w:rFonts w:ascii="Times New Roman" w:hAnsi="Times New Roman"/>
          <w:i/>
          <w:sz w:val="24"/>
          <w:szCs w:val="24"/>
        </w:rPr>
        <w:t>)</w:t>
      </w:r>
    </w:p>
    <w:p w:rsidR="00BC4150" w:rsidRPr="00BC4150" w:rsidRDefault="00BC4150" w:rsidP="00BC4150">
      <w:pPr>
        <w:autoSpaceDE w:val="0"/>
        <w:autoSpaceDN w:val="0"/>
        <w:adjustRightInd w:val="0"/>
        <w:spacing w:after="0" w:line="240" w:lineRule="auto"/>
        <w:rPr>
          <w:rFonts w:ascii="Tahoma" w:hAnsi="Tahoma" w:cs="Tahoma"/>
          <w:color w:val="000000"/>
          <w:sz w:val="24"/>
          <w:szCs w:val="24"/>
        </w:rPr>
      </w:pPr>
    </w:p>
    <w:p w:rsidR="00BC4150" w:rsidRPr="00BC4150" w:rsidRDefault="00BC4150" w:rsidP="00BC4150">
      <w:pPr>
        <w:autoSpaceDE w:val="0"/>
        <w:autoSpaceDN w:val="0"/>
        <w:adjustRightInd w:val="0"/>
        <w:spacing w:after="0" w:line="240" w:lineRule="auto"/>
        <w:rPr>
          <w:rFonts w:ascii="Tahoma" w:hAnsi="Tahoma" w:cs="Times New Roman"/>
          <w:color w:val="000000"/>
          <w:sz w:val="24"/>
          <w:szCs w:val="24"/>
        </w:rPr>
      </w:pPr>
    </w:p>
    <w:p w:rsidR="00BC4150" w:rsidRPr="00BC4150" w:rsidRDefault="00BC4150" w:rsidP="00BC4150">
      <w:pPr>
        <w:tabs>
          <w:tab w:val="left" w:pos="142"/>
        </w:tabs>
        <w:spacing w:after="0" w:line="360" w:lineRule="auto"/>
        <w:ind w:left="386" w:right="125"/>
        <w:contextualSpacing/>
        <w:jc w:val="center"/>
        <w:rPr>
          <w:rFonts w:ascii="Times New Roman" w:eastAsia="Times New Roman" w:hAnsi="Times New Roman" w:cs="Times New Roman"/>
          <w:bCs/>
          <w:sz w:val="24"/>
          <w:szCs w:val="24"/>
          <w:lang w:eastAsia="it-IT"/>
        </w:rPr>
      </w:pPr>
    </w:p>
    <w:p w:rsidR="00BC4150" w:rsidRPr="00BC4150" w:rsidRDefault="00BC4150" w:rsidP="00BC4150">
      <w:pPr>
        <w:tabs>
          <w:tab w:val="left" w:pos="142"/>
        </w:tabs>
        <w:spacing w:after="0" w:line="360" w:lineRule="auto"/>
        <w:ind w:left="386" w:right="125"/>
        <w:contextualSpacing/>
        <w:jc w:val="center"/>
        <w:rPr>
          <w:rFonts w:ascii="Times New Roman" w:hAnsi="Times New Roman"/>
          <w:sz w:val="24"/>
          <w:szCs w:val="24"/>
        </w:rPr>
      </w:pPr>
    </w:p>
    <w:p w:rsidR="00BC4150" w:rsidRPr="00BC4150" w:rsidRDefault="00BC4150" w:rsidP="00BC4150">
      <w:pPr>
        <w:tabs>
          <w:tab w:val="left" w:pos="142"/>
        </w:tabs>
        <w:spacing w:after="0" w:line="360" w:lineRule="auto"/>
        <w:ind w:left="386" w:right="125"/>
        <w:contextualSpacing/>
        <w:jc w:val="center"/>
        <w:rPr>
          <w:rFonts w:ascii="Times New Roman" w:hAnsi="Times New Roman"/>
          <w:sz w:val="24"/>
          <w:szCs w:val="24"/>
        </w:rPr>
      </w:pPr>
    </w:p>
    <w:p w:rsidR="00BC4150" w:rsidRPr="00BC4150" w:rsidRDefault="00BC4150" w:rsidP="00BC4150">
      <w:pPr>
        <w:tabs>
          <w:tab w:val="left" w:pos="142"/>
        </w:tabs>
        <w:spacing w:after="0" w:line="360" w:lineRule="auto"/>
        <w:ind w:left="386" w:right="125"/>
        <w:contextualSpacing/>
        <w:jc w:val="center"/>
        <w:rPr>
          <w:rFonts w:ascii="Times New Roman" w:hAnsi="Times New Roman"/>
          <w:sz w:val="24"/>
          <w:szCs w:val="24"/>
        </w:rPr>
      </w:pPr>
    </w:p>
    <w:p w:rsidR="00BC4150" w:rsidRPr="00BC4150" w:rsidRDefault="00BC4150" w:rsidP="00BC4150">
      <w:pPr>
        <w:tabs>
          <w:tab w:val="left" w:pos="142"/>
        </w:tabs>
        <w:spacing w:after="0" w:line="360" w:lineRule="auto"/>
        <w:ind w:left="386" w:right="125"/>
        <w:contextualSpacing/>
        <w:jc w:val="center"/>
        <w:rPr>
          <w:rFonts w:ascii="Times New Roman" w:hAnsi="Times New Roman"/>
          <w:sz w:val="24"/>
          <w:szCs w:val="24"/>
        </w:rPr>
      </w:pPr>
    </w:p>
    <w:p w:rsidR="00BC4150" w:rsidRPr="00BC4150" w:rsidRDefault="00BC4150" w:rsidP="00BC4150">
      <w:pPr>
        <w:tabs>
          <w:tab w:val="left" w:pos="142"/>
        </w:tabs>
        <w:spacing w:after="0" w:line="360" w:lineRule="auto"/>
        <w:ind w:left="386" w:right="125"/>
        <w:contextualSpacing/>
        <w:jc w:val="center"/>
        <w:rPr>
          <w:rFonts w:ascii="Times New Roman" w:hAnsi="Times New Roman"/>
          <w:sz w:val="24"/>
          <w:szCs w:val="24"/>
        </w:rPr>
      </w:pPr>
    </w:p>
    <w:p w:rsidR="00BC4150" w:rsidRPr="00BC4150" w:rsidRDefault="00BC4150" w:rsidP="00BC4150">
      <w:pPr>
        <w:tabs>
          <w:tab w:val="left" w:pos="142"/>
        </w:tabs>
        <w:spacing w:after="0" w:line="360" w:lineRule="auto"/>
        <w:ind w:left="386" w:right="125"/>
        <w:contextualSpacing/>
        <w:jc w:val="center"/>
        <w:rPr>
          <w:rFonts w:ascii="Times New Roman" w:hAnsi="Times New Roman"/>
          <w:sz w:val="24"/>
          <w:szCs w:val="24"/>
        </w:rPr>
      </w:pPr>
    </w:p>
    <w:p w:rsidR="00BC4150" w:rsidRPr="00BC4150" w:rsidRDefault="00BC4150" w:rsidP="00BC4150">
      <w:pPr>
        <w:tabs>
          <w:tab w:val="left" w:pos="142"/>
        </w:tabs>
        <w:spacing w:after="0" w:line="360" w:lineRule="auto"/>
        <w:ind w:left="386" w:right="125"/>
        <w:contextualSpacing/>
        <w:jc w:val="center"/>
        <w:rPr>
          <w:rFonts w:ascii="Times New Roman" w:hAnsi="Times New Roman"/>
          <w:sz w:val="24"/>
          <w:szCs w:val="24"/>
        </w:rPr>
      </w:pPr>
    </w:p>
    <w:p w:rsidR="00BC4150" w:rsidRPr="00BC4150" w:rsidRDefault="00704D7D" w:rsidP="00BC4150">
      <w:pPr>
        <w:jc w:val="center"/>
        <w:rPr>
          <w:rFonts w:ascii="Times New Roman" w:hAnsi="Times New Roman"/>
          <w:b/>
          <w:bCs/>
        </w:rPr>
      </w:pPr>
      <w:r>
        <w:rPr>
          <w:rFonts w:ascii="Times New Roman" w:hAnsi="Times New Roman"/>
          <w:b/>
          <w:bCs/>
        </w:rPr>
        <w:t>Approvato con Delibera di</w:t>
      </w:r>
      <w:r w:rsidR="00BC4150" w:rsidRPr="00BC4150">
        <w:rPr>
          <w:rFonts w:ascii="Times New Roman" w:hAnsi="Times New Roman"/>
          <w:b/>
          <w:bCs/>
        </w:rPr>
        <w:t xml:space="preserve"> </w:t>
      </w:r>
      <w:r>
        <w:rPr>
          <w:rFonts w:ascii="Times New Roman" w:hAnsi="Times New Roman"/>
          <w:b/>
          <w:bCs/>
        </w:rPr>
        <w:t>Giunta</w:t>
      </w:r>
      <w:r w:rsidR="00BC4150" w:rsidRPr="00BC4150">
        <w:rPr>
          <w:rFonts w:ascii="Times New Roman" w:hAnsi="Times New Roman"/>
          <w:b/>
          <w:bCs/>
        </w:rPr>
        <w:t xml:space="preserve"> Comunale n.</w:t>
      </w:r>
      <w:proofErr w:type="gramStart"/>
      <w:r w:rsidR="00BC4150" w:rsidRPr="00BC4150">
        <w:rPr>
          <w:rFonts w:ascii="Times New Roman" w:hAnsi="Times New Roman"/>
          <w:b/>
          <w:bCs/>
        </w:rPr>
        <w:t xml:space="preserve"> ….</w:t>
      </w:r>
      <w:proofErr w:type="gramEnd"/>
      <w:r w:rsidR="00BC4150" w:rsidRPr="00BC4150">
        <w:rPr>
          <w:rFonts w:ascii="Times New Roman" w:hAnsi="Times New Roman"/>
          <w:b/>
          <w:bCs/>
        </w:rPr>
        <w:t xml:space="preserve">. </w:t>
      </w:r>
      <w:proofErr w:type="gramStart"/>
      <w:r w:rsidR="00BC4150" w:rsidRPr="00BC4150">
        <w:rPr>
          <w:rFonts w:ascii="Times New Roman" w:hAnsi="Times New Roman"/>
          <w:b/>
          <w:bCs/>
        </w:rPr>
        <w:t>del</w:t>
      </w:r>
      <w:proofErr w:type="gramEnd"/>
      <w:r w:rsidR="00BC4150" w:rsidRPr="00BC4150">
        <w:rPr>
          <w:rFonts w:ascii="Times New Roman" w:hAnsi="Times New Roman"/>
          <w:b/>
          <w:bCs/>
        </w:rPr>
        <w:t xml:space="preserve"> ……….</w:t>
      </w:r>
    </w:p>
    <w:p w:rsidR="00BC4150" w:rsidRPr="00BC4150" w:rsidRDefault="00BC4150" w:rsidP="00BC4150">
      <w:pPr>
        <w:tabs>
          <w:tab w:val="left" w:pos="142"/>
        </w:tabs>
        <w:spacing w:after="0" w:line="360" w:lineRule="auto"/>
        <w:ind w:left="386" w:right="125"/>
        <w:contextualSpacing/>
        <w:jc w:val="center"/>
        <w:rPr>
          <w:rFonts w:ascii="Times New Roman" w:hAnsi="Times New Roman"/>
          <w:sz w:val="24"/>
          <w:szCs w:val="24"/>
        </w:rPr>
      </w:pPr>
    </w:p>
    <w:p w:rsidR="00BC4150" w:rsidRPr="00BC4150" w:rsidRDefault="00BC4150" w:rsidP="00BC4150">
      <w:pPr>
        <w:spacing w:after="0" w:line="360" w:lineRule="atLeast"/>
        <w:jc w:val="center"/>
        <w:rPr>
          <w:rFonts w:ascii="Arial" w:eastAsia="Times New Roman" w:hAnsi="Arial" w:cs="Arial"/>
          <w:color w:val="4B4B4B"/>
          <w:sz w:val="18"/>
          <w:szCs w:val="18"/>
          <w:lang w:eastAsia="it-IT"/>
        </w:rPr>
      </w:pPr>
      <w:r w:rsidRPr="00BC4150">
        <w:rPr>
          <w:i/>
          <w:iCs/>
          <w:sz w:val="24"/>
          <w:szCs w:val="24"/>
        </w:rPr>
        <w:br w:type="page"/>
      </w:r>
    </w:p>
    <w:p w:rsidR="00BC4150" w:rsidRPr="00BC4150" w:rsidRDefault="00BC4150" w:rsidP="00BC4150">
      <w:pPr>
        <w:keepNext/>
        <w:tabs>
          <w:tab w:val="left" w:pos="180"/>
        </w:tabs>
        <w:spacing w:after="0" w:line="360" w:lineRule="auto"/>
        <w:ind w:left="180" w:right="155"/>
        <w:contextualSpacing/>
        <w:jc w:val="center"/>
        <w:outlineLvl w:val="0"/>
        <w:rPr>
          <w:rFonts w:ascii="Times New Roman" w:eastAsia="Times New Roman" w:hAnsi="Times New Roman" w:cs="Times New Roman"/>
          <w:b/>
          <w:bCs/>
          <w:sz w:val="24"/>
          <w:szCs w:val="24"/>
        </w:rPr>
      </w:pPr>
      <w:r w:rsidRPr="00BC4150">
        <w:rPr>
          <w:rFonts w:ascii="Arial" w:eastAsia="Times New Roman" w:hAnsi="Arial" w:cs="Arial"/>
          <w:b/>
          <w:bCs/>
          <w:i/>
          <w:iCs/>
          <w:color w:val="4B4B4B"/>
          <w:sz w:val="18"/>
          <w:szCs w:val="18"/>
          <w:lang w:eastAsia="it-IT"/>
        </w:rPr>
        <w:lastRenderedPageBreak/>
        <w:t> </w:t>
      </w:r>
      <w:r w:rsidRPr="00BC4150">
        <w:rPr>
          <w:rFonts w:ascii="Times New Roman" w:eastAsia="Times New Roman" w:hAnsi="Times New Roman" w:cs="Times New Roman"/>
          <w:b/>
          <w:bCs/>
          <w:sz w:val="24"/>
          <w:szCs w:val="24"/>
        </w:rPr>
        <w:t>SOMMARIO</w:t>
      </w:r>
    </w:p>
    <w:p w:rsidR="00BC4150" w:rsidRPr="00BC4150" w:rsidRDefault="00BC4150" w:rsidP="00BC4150">
      <w:pPr>
        <w:rPr>
          <w:rFonts w:ascii="Times New Roman" w:hAnsi="Times New Roman" w:cs="Times New Roman"/>
          <w:u w:val="single"/>
        </w:rPr>
      </w:pPr>
    </w:p>
    <w:p w:rsidR="00BC4150" w:rsidRPr="00BC4150" w:rsidRDefault="00BC4150" w:rsidP="00BC4150">
      <w:pPr>
        <w:spacing w:after="240" w:line="240" w:lineRule="auto"/>
        <w:rPr>
          <w:rFonts w:ascii="Times New Roman" w:eastAsia="Times New Roman" w:hAnsi="Times New Roman" w:cs="Times New Roman"/>
          <w:color w:val="000000" w:themeColor="text1"/>
          <w:sz w:val="24"/>
          <w:szCs w:val="24"/>
          <w:u w:val="single"/>
          <w:lang w:eastAsia="it-IT"/>
        </w:rPr>
      </w:pPr>
      <w:r w:rsidRPr="00BC4150">
        <w:fldChar w:fldCharType="begin"/>
      </w:r>
      <w:r w:rsidRPr="00BC4150">
        <w:rPr>
          <w:rFonts w:ascii="Times New Roman" w:hAnsi="Times New Roman" w:cs="Times New Roman"/>
          <w:color w:val="000000" w:themeColor="text1"/>
          <w:u w:val="single"/>
        </w:rPr>
        <w:instrText xml:space="preserve"> HYPERLINK \l "art1" </w:instrText>
      </w:r>
      <w:r w:rsidRPr="00BC4150">
        <w:fldChar w:fldCharType="separate"/>
      </w:r>
      <w:r w:rsidRPr="00BC4150">
        <w:rPr>
          <w:rFonts w:ascii="Times New Roman" w:hAnsi="Times New Roman" w:cs="Times New Roman"/>
          <w:b/>
          <w:color w:val="000000" w:themeColor="text1"/>
          <w:sz w:val="24"/>
          <w:szCs w:val="24"/>
          <w:u w:val="single"/>
        </w:rPr>
        <w:t xml:space="preserve">Articolo 1    </w:t>
      </w:r>
      <w:r w:rsidR="00441ADC" w:rsidRPr="00441ADC">
        <w:rPr>
          <w:rFonts w:ascii="Times New Roman" w:eastAsia="Times New Roman" w:hAnsi="Times New Roman" w:cs="Times New Roman"/>
          <w:b/>
          <w:bCs/>
          <w:color w:val="000000" w:themeColor="text1"/>
          <w:sz w:val="24"/>
          <w:szCs w:val="24"/>
          <w:u w:val="single"/>
          <w:lang w:eastAsia="it-IT"/>
        </w:rPr>
        <w:t>OGGETTO DEL REGOLAMENTO</w:t>
      </w:r>
    </w:p>
    <w:p w:rsidR="00BC4150" w:rsidRPr="00BC4150" w:rsidRDefault="00BC4150" w:rsidP="00BC4150">
      <w:pPr>
        <w:spacing w:after="240" w:line="240" w:lineRule="auto"/>
        <w:rPr>
          <w:rFonts w:ascii="Times New Roman" w:eastAsia="Times New Roman" w:hAnsi="Times New Roman" w:cs="Times New Roman"/>
          <w:b/>
          <w:bCs/>
          <w:color w:val="000000" w:themeColor="text1"/>
          <w:sz w:val="24"/>
          <w:szCs w:val="24"/>
          <w:u w:val="single"/>
          <w:lang w:eastAsia="it-IT"/>
        </w:rPr>
      </w:pPr>
      <w:r w:rsidRPr="00BC4150">
        <w:rPr>
          <w:rFonts w:ascii="Times New Roman" w:hAnsi="Times New Roman" w:cs="Times New Roman"/>
          <w:b/>
          <w:color w:val="000000" w:themeColor="text1"/>
          <w:sz w:val="24"/>
          <w:szCs w:val="24"/>
          <w:u w:val="single"/>
        </w:rPr>
        <w:fldChar w:fldCharType="end"/>
      </w:r>
      <w:r w:rsidRPr="00BC4150">
        <w:rPr>
          <w:rFonts w:ascii="Times New Roman" w:eastAsia="Times New Roman" w:hAnsi="Times New Roman" w:cs="Times New Roman"/>
          <w:b/>
          <w:bCs/>
          <w:color w:val="000000" w:themeColor="text1"/>
          <w:sz w:val="24"/>
          <w:szCs w:val="24"/>
          <w:u w:val="single"/>
          <w:lang w:eastAsia="it-IT"/>
        </w:rPr>
        <w:t xml:space="preserve">Articolo 2    </w:t>
      </w:r>
      <w:r w:rsidR="00441ADC" w:rsidRPr="00441ADC">
        <w:rPr>
          <w:rFonts w:ascii="Times New Roman" w:eastAsia="Times New Roman" w:hAnsi="Times New Roman" w:cs="Times New Roman"/>
          <w:b/>
          <w:bCs/>
          <w:color w:val="000000" w:themeColor="text1"/>
          <w:sz w:val="24"/>
          <w:szCs w:val="24"/>
          <w:u w:val="single"/>
          <w:lang w:eastAsia="it-IT"/>
        </w:rPr>
        <w:t>COSTITUZIONE DEL FONDO</w:t>
      </w:r>
    </w:p>
    <w:p w:rsidR="00BC4150" w:rsidRPr="00BC4150" w:rsidRDefault="00BC4150" w:rsidP="00BC4150">
      <w:pPr>
        <w:spacing w:after="240" w:line="240" w:lineRule="auto"/>
        <w:rPr>
          <w:rFonts w:ascii="Times New Roman" w:eastAsia="Times New Roman" w:hAnsi="Times New Roman" w:cs="Times New Roman"/>
          <w:color w:val="000000" w:themeColor="text1"/>
          <w:sz w:val="24"/>
          <w:szCs w:val="24"/>
          <w:u w:val="single"/>
          <w:lang w:eastAsia="it-IT"/>
        </w:rPr>
      </w:pPr>
      <w:r w:rsidRPr="00BC4150">
        <w:fldChar w:fldCharType="begin"/>
      </w:r>
      <w:r w:rsidRPr="00BC4150">
        <w:rPr>
          <w:rFonts w:ascii="Times New Roman" w:hAnsi="Times New Roman" w:cs="Times New Roman"/>
          <w:color w:val="000000" w:themeColor="text1"/>
          <w:u w:val="single"/>
        </w:rPr>
        <w:instrText xml:space="preserve"> HYPERLINK \l "art3" </w:instrText>
      </w:r>
      <w:r w:rsidRPr="00BC4150">
        <w:fldChar w:fldCharType="separate"/>
      </w:r>
      <w:r w:rsidRPr="00BC4150">
        <w:rPr>
          <w:rFonts w:ascii="Times New Roman" w:hAnsi="Times New Roman" w:cs="Times New Roman"/>
          <w:b/>
          <w:color w:val="000000" w:themeColor="text1"/>
          <w:sz w:val="24"/>
          <w:szCs w:val="24"/>
          <w:u w:val="single"/>
        </w:rPr>
        <w:t xml:space="preserve">Articolo 3 </w:t>
      </w:r>
      <w:r w:rsidR="00B87C4B" w:rsidRPr="00B87C4B">
        <w:rPr>
          <w:rFonts w:ascii="Times New Roman" w:eastAsia="Times New Roman" w:hAnsi="Times New Roman" w:cs="Times New Roman"/>
          <w:b/>
          <w:bCs/>
          <w:color w:val="000000" w:themeColor="text1"/>
          <w:sz w:val="24"/>
          <w:szCs w:val="24"/>
          <w:u w:val="single"/>
          <w:lang w:eastAsia="it-IT"/>
        </w:rPr>
        <w:t xml:space="preserve">   DESTINAZIONE DEL FONDO</w:t>
      </w:r>
    </w:p>
    <w:p w:rsidR="00BC4150" w:rsidRPr="00BC4150" w:rsidRDefault="00BC4150" w:rsidP="00BC4150">
      <w:pPr>
        <w:spacing w:after="240" w:line="240" w:lineRule="auto"/>
        <w:rPr>
          <w:rFonts w:ascii="Times New Roman" w:eastAsia="Times New Roman" w:hAnsi="Times New Roman" w:cs="Times New Roman"/>
          <w:color w:val="000000" w:themeColor="text1"/>
          <w:sz w:val="24"/>
          <w:szCs w:val="24"/>
          <w:u w:val="single"/>
          <w:lang w:eastAsia="it-IT"/>
        </w:rPr>
      </w:pPr>
      <w:r w:rsidRPr="00BC4150">
        <w:rPr>
          <w:rFonts w:ascii="Times New Roman" w:hAnsi="Times New Roman" w:cs="Times New Roman"/>
          <w:b/>
          <w:color w:val="000000" w:themeColor="text1"/>
          <w:sz w:val="24"/>
          <w:szCs w:val="24"/>
          <w:u w:val="single"/>
        </w:rPr>
        <w:fldChar w:fldCharType="end"/>
      </w:r>
      <w:r w:rsidRPr="00BC4150">
        <w:rPr>
          <w:rFonts w:ascii="Times New Roman" w:hAnsi="Times New Roman" w:cs="Times New Roman"/>
          <w:b/>
          <w:color w:val="000000" w:themeColor="text1"/>
          <w:sz w:val="24"/>
          <w:szCs w:val="24"/>
          <w:u w:val="single"/>
        </w:rPr>
        <w:t xml:space="preserve">Articolo </w:t>
      </w:r>
      <w:r w:rsidRPr="00BC4150">
        <w:rPr>
          <w:rFonts w:ascii="Times New Roman" w:eastAsia="Times New Roman" w:hAnsi="Times New Roman" w:cs="Times New Roman"/>
          <w:b/>
          <w:bCs/>
          <w:color w:val="000000" w:themeColor="text1"/>
          <w:sz w:val="24"/>
          <w:szCs w:val="24"/>
          <w:u w:val="single"/>
          <w:lang w:eastAsia="it-IT"/>
        </w:rPr>
        <w:t xml:space="preserve">4    </w:t>
      </w:r>
      <w:r w:rsidR="00B87C4B" w:rsidRPr="00B87C4B">
        <w:rPr>
          <w:rFonts w:ascii="Times New Roman" w:eastAsia="Times New Roman" w:hAnsi="Times New Roman" w:cs="Times New Roman"/>
          <w:b/>
          <w:bCs/>
          <w:color w:val="000000" w:themeColor="text1"/>
          <w:sz w:val="24"/>
          <w:szCs w:val="24"/>
          <w:u w:val="single"/>
          <w:lang w:eastAsia="it-IT"/>
        </w:rPr>
        <w:t>TRATTAMENTO ACCESSORIO</w:t>
      </w:r>
    </w:p>
    <w:p w:rsidR="00BC4150" w:rsidRPr="00BC4150" w:rsidRDefault="00BC4150" w:rsidP="00BC4150">
      <w:pPr>
        <w:spacing w:after="240" w:line="240" w:lineRule="auto"/>
        <w:rPr>
          <w:rFonts w:ascii="Times New Roman" w:eastAsia="Times New Roman" w:hAnsi="Times New Roman" w:cs="Times New Roman"/>
          <w:b/>
          <w:bCs/>
          <w:color w:val="000000" w:themeColor="text1"/>
          <w:sz w:val="24"/>
          <w:szCs w:val="24"/>
          <w:u w:val="single"/>
          <w:lang w:eastAsia="it-IT"/>
        </w:rPr>
      </w:pPr>
      <w:r w:rsidRPr="00BC4150">
        <w:fldChar w:fldCharType="begin"/>
      </w:r>
      <w:r w:rsidRPr="00BC4150">
        <w:rPr>
          <w:rFonts w:ascii="Times New Roman" w:hAnsi="Times New Roman" w:cs="Times New Roman"/>
          <w:color w:val="000000" w:themeColor="text1"/>
          <w:u w:val="single"/>
        </w:rPr>
        <w:instrText xml:space="preserve"> HYPERLINK \l "art5" </w:instrText>
      </w:r>
      <w:r w:rsidRPr="00BC4150">
        <w:fldChar w:fldCharType="separate"/>
      </w:r>
      <w:r w:rsidRPr="00BC4150">
        <w:rPr>
          <w:rFonts w:ascii="Times New Roman" w:hAnsi="Times New Roman" w:cs="Times New Roman"/>
          <w:b/>
          <w:color w:val="000000" w:themeColor="text1"/>
          <w:sz w:val="24"/>
          <w:szCs w:val="24"/>
          <w:u w:val="single"/>
        </w:rPr>
        <w:t xml:space="preserve">Articolo 5    </w:t>
      </w:r>
      <w:r w:rsidR="00B87C4B" w:rsidRPr="00B87C4B">
        <w:rPr>
          <w:rFonts w:ascii="Times New Roman" w:eastAsia="Times New Roman" w:hAnsi="Times New Roman" w:cs="Times New Roman"/>
          <w:b/>
          <w:bCs/>
          <w:color w:val="000000" w:themeColor="text1"/>
          <w:sz w:val="24"/>
          <w:szCs w:val="24"/>
          <w:u w:val="single"/>
          <w:lang w:eastAsia="it-IT"/>
        </w:rPr>
        <w:t>ENTRATA IN VIGORE</w:t>
      </w:r>
    </w:p>
    <w:p w:rsidR="00B87C4B" w:rsidRDefault="00BC4150" w:rsidP="00B87C4B">
      <w:pPr>
        <w:spacing w:after="240" w:line="240" w:lineRule="auto"/>
        <w:rPr>
          <w:rFonts w:ascii="Times New Roman" w:hAnsi="Times New Roman" w:cs="Times New Roman"/>
          <w:b/>
          <w:color w:val="000000" w:themeColor="text1"/>
          <w:sz w:val="24"/>
          <w:szCs w:val="24"/>
          <w:u w:val="single"/>
        </w:rPr>
      </w:pPr>
      <w:r w:rsidRPr="00BC4150">
        <w:rPr>
          <w:rFonts w:ascii="Times New Roman" w:hAnsi="Times New Roman" w:cs="Times New Roman"/>
          <w:b/>
          <w:color w:val="000000" w:themeColor="text1"/>
          <w:sz w:val="24"/>
          <w:szCs w:val="24"/>
          <w:u w:val="single"/>
        </w:rPr>
        <w:fldChar w:fldCharType="end"/>
      </w:r>
    </w:p>
    <w:p w:rsidR="00B87C4B" w:rsidRDefault="00B87C4B">
      <w:pPr>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br w:type="page"/>
      </w:r>
    </w:p>
    <w:p w:rsidR="00B87C4B" w:rsidRPr="00B87C4B" w:rsidRDefault="00B87C4B" w:rsidP="00CC114F">
      <w:pPr>
        <w:autoSpaceDE w:val="0"/>
        <w:autoSpaceDN w:val="0"/>
        <w:adjustRightInd w:val="0"/>
        <w:spacing w:line="360" w:lineRule="auto"/>
        <w:jc w:val="both"/>
        <w:rPr>
          <w:rFonts w:ascii="Times New Roman" w:hAnsi="Times New Roman" w:cs="Times New Roman"/>
          <w:b/>
          <w:bCs/>
          <w:sz w:val="24"/>
          <w:szCs w:val="24"/>
        </w:rPr>
      </w:pPr>
      <w:r w:rsidRPr="00B87C4B">
        <w:rPr>
          <w:rFonts w:ascii="Times New Roman" w:hAnsi="Times New Roman" w:cs="Times New Roman"/>
          <w:b/>
          <w:bCs/>
          <w:sz w:val="24"/>
          <w:szCs w:val="24"/>
        </w:rPr>
        <w:lastRenderedPageBreak/>
        <w:t>Articolo 1 – Oggetto del Regolamento</w:t>
      </w:r>
    </w:p>
    <w:p w:rsidR="00B87C4B" w:rsidRPr="00B87C4B" w:rsidRDefault="00B87C4B" w:rsidP="00CC114F">
      <w:pPr>
        <w:autoSpaceDE w:val="0"/>
        <w:autoSpaceDN w:val="0"/>
        <w:adjustRightInd w:val="0"/>
        <w:spacing w:line="360" w:lineRule="auto"/>
        <w:jc w:val="both"/>
        <w:rPr>
          <w:rFonts w:ascii="Times New Roman" w:hAnsi="Times New Roman" w:cs="Times New Roman"/>
          <w:sz w:val="24"/>
          <w:szCs w:val="24"/>
        </w:rPr>
      </w:pPr>
      <w:r w:rsidRPr="00B87C4B">
        <w:rPr>
          <w:rFonts w:ascii="Times New Roman" w:hAnsi="Times New Roman" w:cs="Times New Roman"/>
          <w:sz w:val="24"/>
          <w:szCs w:val="24"/>
        </w:rPr>
        <w:t>1. Il presente Regolamento è adottato in attuazione dell’articolo 1, comma 1091, della legge 30 dicembre 2018, n. 145, al fine di potenziare le risorse strumentali degli uffici comunali preposti alla gestione delle entrate ed al fine di disciplinare le modalità di riconoscimento del trattamento accessorio del personale dipendente, anche di qualifica dirigenziale, impiegato nel raggiungimento degli obiettivi assegnati al Settore Entrate.</w:t>
      </w:r>
    </w:p>
    <w:p w:rsidR="00B87C4B" w:rsidRPr="00B87C4B" w:rsidRDefault="00B87C4B" w:rsidP="00CC114F">
      <w:pPr>
        <w:autoSpaceDE w:val="0"/>
        <w:autoSpaceDN w:val="0"/>
        <w:adjustRightInd w:val="0"/>
        <w:spacing w:line="360" w:lineRule="auto"/>
        <w:jc w:val="both"/>
        <w:rPr>
          <w:rFonts w:ascii="Times New Roman" w:hAnsi="Times New Roman" w:cs="Times New Roman"/>
          <w:b/>
          <w:bCs/>
          <w:sz w:val="24"/>
          <w:szCs w:val="24"/>
        </w:rPr>
      </w:pPr>
    </w:p>
    <w:p w:rsidR="00B87C4B" w:rsidRPr="00B87C4B" w:rsidRDefault="00B87C4B" w:rsidP="00CC114F">
      <w:pPr>
        <w:autoSpaceDE w:val="0"/>
        <w:autoSpaceDN w:val="0"/>
        <w:adjustRightInd w:val="0"/>
        <w:spacing w:line="360" w:lineRule="auto"/>
        <w:jc w:val="both"/>
        <w:rPr>
          <w:rFonts w:ascii="Times New Roman" w:hAnsi="Times New Roman" w:cs="Times New Roman"/>
          <w:b/>
          <w:bCs/>
          <w:sz w:val="24"/>
          <w:szCs w:val="24"/>
        </w:rPr>
      </w:pPr>
      <w:r w:rsidRPr="00B87C4B">
        <w:rPr>
          <w:rFonts w:ascii="Times New Roman" w:hAnsi="Times New Roman" w:cs="Times New Roman"/>
          <w:b/>
          <w:bCs/>
          <w:sz w:val="24"/>
          <w:szCs w:val="24"/>
        </w:rPr>
        <w:t>Articolo 2 – Costituzione del Fondo</w:t>
      </w:r>
    </w:p>
    <w:p w:rsidR="00B87C4B" w:rsidRPr="00B87C4B" w:rsidRDefault="00B87C4B" w:rsidP="00CC114F">
      <w:pPr>
        <w:autoSpaceDE w:val="0"/>
        <w:autoSpaceDN w:val="0"/>
        <w:adjustRightInd w:val="0"/>
        <w:spacing w:line="360" w:lineRule="auto"/>
        <w:jc w:val="both"/>
        <w:rPr>
          <w:rFonts w:ascii="Times New Roman" w:hAnsi="Times New Roman" w:cs="Times New Roman"/>
          <w:sz w:val="24"/>
          <w:szCs w:val="24"/>
        </w:rPr>
      </w:pPr>
      <w:r w:rsidRPr="00B87C4B">
        <w:rPr>
          <w:rFonts w:ascii="Times New Roman" w:hAnsi="Times New Roman" w:cs="Times New Roman"/>
          <w:sz w:val="24"/>
          <w:szCs w:val="24"/>
        </w:rPr>
        <w:t>1. Per il raggiungimento degli obiettivi previsti nell’articolo 1 del presente Regolamento è istituito apposito Fondo incentivante.</w:t>
      </w:r>
    </w:p>
    <w:p w:rsidR="00B87C4B" w:rsidRPr="00B87C4B" w:rsidRDefault="00B87C4B" w:rsidP="00CC114F">
      <w:pPr>
        <w:autoSpaceDE w:val="0"/>
        <w:autoSpaceDN w:val="0"/>
        <w:adjustRightInd w:val="0"/>
        <w:spacing w:line="360" w:lineRule="auto"/>
        <w:jc w:val="both"/>
        <w:rPr>
          <w:rFonts w:ascii="Times New Roman" w:hAnsi="Times New Roman" w:cs="Times New Roman"/>
          <w:sz w:val="24"/>
          <w:szCs w:val="24"/>
        </w:rPr>
      </w:pPr>
      <w:r w:rsidRPr="00B87C4B">
        <w:rPr>
          <w:rFonts w:ascii="Times New Roman" w:hAnsi="Times New Roman" w:cs="Times New Roman"/>
          <w:sz w:val="24"/>
          <w:szCs w:val="24"/>
        </w:rPr>
        <w:t>2. Il Fondo incentivante è alimentato dalle seguenti fonti di entrate riscosse nell’anno precedente a quelle di riferimento, così come risultanti dal conto consuntivo approvato:</w:t>
      </w:r>
    </w:p>
    <w:p w:rsidR="00B87C4B" w:rsidRPr="00B87C4B" w:rsidRDefault="00B87C4B" w:rsidP="00CC114F">
      <w:pPr>
        <w:autoSpaceDE w:val="0"/>
        <w:autoSpaceDN w:val="0"/>
        <w:adjustRightInd w:val="0"/>
        <w:spacing w:line="360" w:lineRule="auto"/>
        <w:jc w:val="both"/>
        <w:rPr>
          <w:rFonts w:ascii="Times New Roman" w:hAnsi="Times New Roman" w:cs="Times New Roman"/>
          <w:sz w:val="24"/>
          <w:szCs w:val="24"/>
        </w:rPr>
      </w:pPr>
      <w:r w:rsidRPr="00B87C4B">
        <w:rPr>
          <w:rFonts w:ascii="Times New Roman" w:hAnsi="Times New Roman" w:cs="Times New Roman"/>
          <w:sz w:val="24"/>
          <w:szCs w:val="24"/>
        </w:rPr>
        <w:t xml:space="preserve">a) il 5% delle riscossioni, ivi comprese quelle coattive, relative ad atti di accertamento </w:t>
      </w:r>
      <w:proofErr w:type="spellStart"/>
      <w:r w:rsidRPr="00B87C4B">
        <w:rPr>
          <w:rFonts w:ascii="Times New Roman" w:hAnsi="Times New Roman" w:cs="Times New Roman"/>
          <w:sz w:val="24"/>
          <w:szCs w:val="24"/>
        </w:rPr>
        <w:t>Imu</w:t>
      </w:r>
      <w:proofErr w:type="spellEnd"/>
      <w:r w:rsidRPr="00B87C4B">
        <w:rPr>
          <w:rFonts w:ascii="Times New Roman" w:hAnsi="Times New Roman" w:cs="Times New Roman"/>
          <w:sz w:val="24"/>
          <w:szCs w:val="24"/>
        </w:rPr>
        <w:t xml:space="preserve"> e Tari, indipendentemente dall’anno di notifica dei suddetti atti di accertamento;</w:t>
      </w:r>
    </w:p>
    <w:p w:rsidR="00B87C4B" w:rsidRPr="00704D7D" w:rsidRDefault="005C3354" w:rsidP="00CC114F">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Pr="00704D7D">
        <w:rPr>
          <w:rFonts w:ascii="Times New Roman" w:hAnsi="Times New Roman" w:cs="Times New Roman"/>
          <w:sz w:val="24"/>
          <w:szCs w:val="24"/>
        </w:rPr>
        <w:t>il 5</w:t>
      </w:r>
      <w:r w:rsidR="00B87C4B" w:rsidRPr="00704D7D">
        <w:rPr>
          <w:rFonts w:ascii="Times New Roman" w:hAnsi="Times New Roman" w:cs="Times New Roman"/>
          <w:sz w:val="24"/>
          <w:szCs w:val="24"/>
        </w:rPr>
        <w:t xml:space="preserve">% delle riscossioni, ivi comprese quelle coattive, relative ad atti di accertamento </w:t>
      </w:r>
      <w:proofErr w:type="spellStart"/>
      <w:r w:rsidR="00B87C4B" w:rsidRPr="00704D7D">
        <w:rPr>
          <w:rFonts w:ascii="Times New Roman" w:hAnsi="Times New Roman" w:cs="Times New Roman"/>
          <w:sz w:val="24"/>
          <w:szCs w:val="24"/>
        </w:rPr>
        <w:t>Imu</w:t>
      </w:r>
      <w:proofErr w:type="spellEnd"/>
      <w:r w:rsidR="00B87C4B" w:rsidRPr="00704D7D">
        <w:rPr>
          <w:rFonts w:ascii="Times New Roman" w:hAnsi="Times New Roman" w:cs="Times New Roman"/>
          <w:sz w:val="24"/>
          <w:szCs w:val="24"/>
        </w:rPr>
        <w:t xml:space="preserve"> e Tari notificati dall’ente col supporto di società esterne non concessionarie dell’attività di accertamento;</w:t>
      </w:r>
    </w:p>
    <w:p w:rsidR="00B87C4B" w:rsidRPr="00B87C4B" w:rsidRDefault="005C3354" w:rsidP="00CC114F">
      <w:pPr>
        <w:autoSpaceDE w:val="0"/>
        <w:autoSpaceDN w:val="0"/>
        <w:adjustRightInd w:val="0"/>
        <w:spacing w:line="360" w:lineRule="auto"/>
        <w:jc w:val="both"/>
        <w:rPr>
          <w:rFonts w:ascii="Times New Roman" w:hAnsi="Times New Roman" w:cs="Times New Roman"/>
          <w:sz w:val="24"/>
          <w:szCs w:val="24"/>
        </w:rPr>
      </w:pPr>
      <w:r w:rsidRPr="00704D7D">
        <w:rPr>
          <w:rFonts w:ascii="Times New Roman" w:hAnsi="Times New Roman" w:cs="Times New Roman"/>
          <w:sz w:val="24"/>
          <w:szCs w:val="24"/>
        </w:rPr>
        <w:t>c) il 5</w:t>
      </w:r>
      <w:r w:rsidR="00B87C4B" w:rsidRPr="00704D7D">
        <w:rPr>
          <w:rFonts w:ascii="Times New Roman" w:hAnsi="Times New Roman" w:cs="Times New Roman"/>
          <w:sz w:val="24"/>
          <w:szCs w:val="24"/>
        </w:rPr>
        <w:t xml:space="preserve"> % delle riscossioni coattive tramite ingiunzioni di pagamento di cui al regio decreto 14 aprile 1910, n. 639</w:t>
      </w:r>
      <w:r w:rsidR="00B87C4B" w:rsidRPr="00B87C4B">
        <w:rPr>
          <w:rFonts w:ascii="Times New Roman" w:hAnsi="Times New Roman" w:cs="Times New Roman"/>
          <w:sz w:val="24"/>
          <w:szCs w:val="24"/>
        </w:rPr>
        <w:t>, notificate direttamente dall’ente impositore con riferimento ad atti di accertamento Tari not</w:t>
      </w:r>
      <w:r>
        <w:rPr>
          <w:rFonts w:ascii="Times New Roman" w:hAnsi="Times New Roman" w:cs="Times New Roman"/>
          <w:sz w:val="24"/>
          <w:szCs w:val="24"/>
        </w:rPr>
        <w:t>ificati dal Gestore dei Rifiuti.</w:t>
      </w:r>
    </w:p>
    <w:p w:rsidR="00D72B38" w:rsidRDefault="00B87C4B" w:rsidP="00CC114F">
      <w:pPr>
        <w:autoSpaceDE w:val="0"/>
        <w:autoSpaceDN w:val="0"/>
        <w:adjustRightInd w:val="0"/>
        <w:spacing w:line="360" w:lineRule="auto"/>
        <w:jc w:val="both"/>
        <w:rPr>
          <w:rFonts w:ascii="Times New Roman" w:hAnsi="Times New Roman" w:cs="Times New Roman"/>
          <w:sz w:val="24"/>
          <w:szCs w:val="24"/>
        </w:rPr>
      </w:pPr>
      <w:r w:rsidRPr="00B87C4B">
        <w:rPr>
          <w:rFonts w:ascii="Times New Roman" w:hAnsi="Times New Roman" w:cs="Times New Roman"/>
          <w:sz w:val="24"/>
          <w:szCs w:val="24"/>
        </w:rPr>
        <w:t xml:space="preserve">3. Ferme restando le modalità di alimentazione del Fondo, in sede di predisposizione del bilancio di previsione si tiene conto delle riscossioni, da calcolarsi con le percentuali di cui al comma precedente, realizzate nell’anno precedente a quello in cui è predisposto il bilancio di previsione. In alternativa, la stima delle risorse che alimenteranno il Fondo può essere operata sulla base degli importi relativi al recupero dell’evasione </w:t>
      </w:r>
      <w:proofErr w:type="spellStart"/>
      <w:r w:rsidRPr="00B87C4B">
        <w:rPr>
          <w:rFonts w:ascii="Times New Roman" w:hAnsi="Times New Roman" w:cs="Times New Roman"/>
          <w:sz w:val="24"/>
          <w:szCs w:val="24"/>
        </w:rPr>
        <w:t>Imu</w:t>
      </w:r>
      <w:proofErr w:type="spellEnd"/>
      <w:r w:rsidRPr="00B87C4B">
        <w:rPr>
          <w:rFonts w:ascii="Times New Roman" w:hAnsi="Times New Roman" w:cs="Times New Roman"/>
          <w:sz w:val="24"/>
          <w:szCs w:val="24"/>
        </w:rPr>
        <w:t xml:space="preserve"> e Tari iscritti nel bilancio di previsione precedente a quello di costituzione del Fondo. La quantificazione definitiva delle risorse confluite nel Fondo si determina con riferimento alle riscossioni di cui al comma precedente certificate nel bilancio consuntivo approvato nell’anno di riferimento.</w:t>
      </w:r>
    </w:p>
    <w:p w:rsidR="00B87C4B" w:rsidRDefault="00B87C4B" w:rsidP="00CC114F">
      <w:pPr>
        <w:autoSpaceDE w:val="0"/>
        <w:autoSpaceDN w:val="0"/>
        <w:adjustRightInd w:val="0"/>
        <w:spacing w:line="360" w:lineRule="auto"/>
        <w:jc w:val="both"/>
        <w:rPr>
          <w:rFonts w:ascii="Times New Roman" w:hAnsi="Times New Roman" w:cs="Times New Roman"/>
          <w:sz w:val="24"/>
          <w:szCs w:val="24"/>
        </w:rPr>
      </w:pPr>
    </w:p>
    <w:p w:rsidR="00B87C4B" w:rsidRPr="00B87C4B" w:rsidRDefault="00B87C4B" w:rsidP="00CC114F">
      <w:pPr>
        <w:autoSpaceDE w:val="0"/>
        <w:autoSpaceDN w:val="0"/>
        <w:adjustRightInd w:val="0"/>
        <w:spacing w:line="360" w:lineRule="auto"/>
        <w:jc w:val="both"/>
        <w:rPr>
          <w:rFonts w:ascii="Times New Roman" w:hAnsi="Times New Roman" w:cs="Times New Roman"/>
          <w:b/>
          <w:bCs/>
          <w:sz w:val="24"/>
          <w:szCs w:val="24"/>
        </w:rPr>
      </w:pPr>
      <w:r w:rsidRPr="00B87C4B">
        <w:rPr>
          <w:rFonts w:ascii="Times New Roman" w:hAnsi="Times New Roman" w:cs="Times New Roman"/>
          <w:b/>
          <w:bCs/>
          <w:sz w:val="24"/>
          <w:szCs w:val="24"/>
        </w:rPr>
        <w:t>Articolo 3 – Destinazione del Fondo</w:t>
      </w:r>
    </w:p>
    <w:p w:rsidR="00B87C4B" w:rsidRPr="00B87C4B" w:rsidRDefault="00B87C4B" w:rsidP="00CC114F">
      <w:pPr>
        <w:autoSpaceDE w:val="0"/>
        <w:autoSpaceDN w:val="0"/>
        <w:adjustRightInd w:val="0"/>
        <w:spacing w:line="360" w:lineRule="auto"/>
        <w:jc w:val="both"/>
        <w:rPr>
          <w:rFonts w:ascii="Times New Roman" w:hAnsi="Times New Roman" w:cs="Times New Roman"/>
          <w:sz w:val="24"/>
          <w:szCs w:val="24"/>
        </w:rPr>
      </w:pPr>
      <w:r w:rsidRPr="00B87C4B">
        <w:rPr>
          <w:rFonts w:ascii="Times New Roman" w:hAnsi="Times New Roman" w:cs="Times New Roman"/>
          <w:sz w:val="24"/>
          <w:szCs w:val="24"/>
        </w:rPr>
        <w:lastRenderedPageBreak/>
        <w:t>1. La ripartizione del Fondo tra quota da destinare al potenziamento delle risorse strumentali degli uffici comunali preposti alla gestione delle entrate e quota da destinare al riconoscimento del trattamento accessorio al personale dipendente è stabilita annualmente, in sede di predisposizione del bilancio di previsione e, per il primo anno di applicazione, in occasione della delibera di variazione dello stesso, su proposta del dirigente del Settore Entrate, in considerazione delle effettive necessità di potenziamento delle risorse strumentali del Settore Entrate.</w:t>
      </w:r>
    </w:p>
    <w:p w:rsidR="00B87C4B" w:rsidRPr="00B87C4B" w:rsidRDefault="00B87C4B" w:rsidP="00CC114F">
      <w:pPr>
        <w:autoSpaceDE w:val="0"/>
        <w:autoSpaceDN w:val="0"/>
        <w:adjustRightInd w:val="0"/>
        <w:spacing w:line="360" w:lineRule="auto"/>
        <w:jc w:val="both"/>
        <w:rPr>
          <w:rFonts w:ascii="Times New Roman" w:hAnsi="Times New Roman" w:cs="Times New Roman"/>
          <w:b/>
          <w:bCs/>
          <w:sz w:val="24"/>
          <w:szCs w:val="24"/>
        </w:rPr>
      </w:pPr>
    </w:p>
    <w:p w:rsidR="00B87C4B" w:rsidRPr="00B87C4B" w:rsidRDefault="00B87C4B" w:rsidP="00CC114F">
      <w:pPr>
        <w:autoSpaceDE w:val="0"/>
        <w:autoSpaceDN w:val="0"/>
        <w:adjustRightInd w:val="0"/>
        <w:spacing w:line="360" w:lineRule="auto"/>
        <w:jc w:val="both"/>
        <w:rPr>
          <w:rFonts w:ascii="Times New Roman" w:hAnsi="Times New Roman" w:cs="Times New Roman"/>
          <w:b/>
          <w:bCs/>
          <w:sz w:val="24"/>
          <w:szCs w:val="24"/>
        </w:rPr>
      </w:pPr>
      <w:r w:rsidRPr="00B87C4B">
        <w:rPr>
          <w:rFonts w:ascii="Times New Roman" w:hAnsi="Times New Roman" w:cs="Times New Roman"/>
          <w:b/>
          <w:bCs/>
          <w:sz w:val="24"/>
          <w:szCs w:val="24"/>
        </w:rPr>
        <w:t>Articolo 4 – Trattamento accessorio</w:t>
      </w:r>
    </w:p>
    <w:p w:rsidR="00B87C4B" w:rsidRPr="00B87C4B" w:rsidRDefault="00B87C4B" w:rsidP="00CC114F">
      <w:pPr>
        <w:autoSpaceDE w:val="0"/>
        <w:autoSpaceDN w:val="0"/>
        <w:adjustRightInd w:val="0"/>
        <w:spacing w:line="360" w:lineRule="auto"/>
        <w:jc w:val="both"/>
        <w:rPr>
          <w:rFonts w:ascii="Times New Roman" w:hAnsi="Times New Roman" w:cs="Times New Roman"/>
          <w:sz w:val="24"/>
          <w:szCs w:val="24"/>
        </w:rPr>
      </w:pPr>
      <w:r w:rsidRPr="00B87C4B">
        <w:rPr>
          <w:rFonts w:ascii="Times New Roman" w:hAnsi="Times New Roman" w:cs="Times New Roman"/>
          <w:sz w:val="24"/>
          <w:szCs w:val="24"/>
        </w:rPr>
        <w:t>1. Le risorse confluite nel Fondo, al netto delle eventuali risorse necessarie al potenziamento delle risorse strumentali, sono ripartite tra il personale impiegato nel raggiungimento degli obiettivi del Settore Entrate, privilegiando gli obiettivi di recupero dell’evasione dei tributi comunali e la partecipazione all’accertamento dell’evasione dei tributi erariali.</w:t>
      </w:r>
    </w:p>
    <w:p w:rsidR="00B87C4B" w:rsidRPr="00B87C4B" w:rsidRDefault="00B87C4B" w:rsidP="00CC114F">
      <w:pPr>
        <w:autoSpaceDE w:val="0"/>
        <w:autoSpaceDN w:val="0"/>
        <w:adjustRightInd w:val="0"/>
        <w:spacing w:line="360" w:lineRule="auto"/>
        <w:jc w:val="both"/>
        <w:rPr>
          <w:rFonts w:ascii="Times New Roman" w:hAnsi="Times New Roman" w:cs="Times New Roman"/>
          <w:sz w:val="24"/>
          <w:szCs w:val="24"/>
        </w:rPr>
      </w:pPr>
      <w:r w:rsidRPr="00B87C4B">
        <w:rPr>
          <w:rFonts w:ascii="Times New Roman" w:hAnsi="Times New Roman" w:cs="Times New Roman"/>
          <w:sz w:val="24"/>
          <w:szCs w:val="24"/>
        </w:rPr>
        <w:t>2. La quota del Fondo destinata al trattamento economico accessorio si considera al lordo degli oneri riflessi e dell’IRAP a carico dell’amministrazione ed è erogata in deroga al limite di cui all’articolo 23, comma 2, del decreto legislativo 25 maggio 2017, n. 75.</w:t>
      </w:r>
    </w:p>
    <w:p w:rsidR="00B87C4B" w:rsidRPr="00B87C4B" w:rsidRDefault="00B87C4B" w:rsidP="0070282A">
      <w:pPr>
        <w:autoSpaceDE w:val="0"/>
        <w:autoSpaceDN w:val="0"/>
        <w:adjustRightInd w:val="0"/>
        <w:spacing w:after="0" w:line="360" w:lineRule="auto"/>
        <w:jc w:val="both"/>
        <w:rPr>
          <w:rFonts w:ascii="Times New Roman" w:hAnsi="Times New Roman" w:cs="Times New Roman"/>
          <w:sz w:val="24"/>
          <w:szCs w:val="24"/>
        </w:rPr>
      </w:pPr>
      <w:r w:rsidRPr="00B87C4B">
        <w:rPr>
          <w:rFonts w:ascii="Times New Roman" w:hAnsi="Times New Roman" w:cs="Times New Roman"/>
          <w:sz w:val="24"/>
          <w:szCs w:val="24"/>
        </w:rPr>
        <w:t xml:space="preserve">3. La quota da attribuire ad ogni dipendente, compresi i dirigenti </w:t>
      </w:r>
      <w:r w:rsidR="00CC114F" w:rsidRPr="00CC114F">
        <w:rPr>
          <w:rFonts w:ascii="Times New Roman" w:hAnsi="Times New Roman" w:cs="Times New Roman"/>
          <w:sz w:val="24"/>
          <w:szCs w:val="24"/>
        </w:rPr>
        <w:t>e gli incaricati di posizione organizzativa, non può superare il 15 per cento del trattamento tabellare annuo lordo di ciascun dipendente.</w:t>
      </w:r>
    </w:p>
    <w:p w:rsidR="00B87C4B" w:rsidRPr="00B87C4B" w:rsidRDefault="00B87C4B" w:rsidP="00CC114F">
      <w:pPr>
        <w:autoSpaceDE w:val="0"/>
        <w:autoSpaceDN w:val="0"/>
        <w:adjustRightInd w:val="0"/>
        <w:spacing w:before="160" w:after="0" w:line="360" w:lineRule="auto"/>
        <w:jc w:val="both"/>
        <w:rPr>
          <w:rFonts w:ascii="Times New Roman" w:hAnsi="Times New Roman" w:cs="Times New Roman"/>
          <w:sz w:val="24"/>
          <w:szCs w:val="24"/>
        </w:rPr>
      </w:pPr>
      <w:r w:rsidRPr="00B87C4B">
        <w:rPr>
          <w:rFonts w:ascii="Times New Roman" w:hAnsi="Times New Roman" w:cs="Times New Roman"/>
          <w:sz w:val="24"/>
          <w:szCs w:val="24"/>
        </w:rPr>
        <w:t>4. In sede di assegnazione degli obiettivi del Settore Entrate vengono predeterminati gli obiettivi per accedere al trattamento accessorio di cui al presente articolo, per i quali vengono definiti i tempi di attuazione, le fasi del processo, il personale coinvolto e gli indicatori di risultato.</w:t>
      </w:r>
    </w:p>
    <w:p w:rsidR="00B87C4B" w:rsidRPr="00B87C4B" w:rsidRDefault="00B87C4B" w:rsidP="00CC114F">
      <w:pPr>
        <w:autoSpaceDE w:val="0"/>
        <w:autoSpaceDN w:val="0"/>
        <w:adjustRightInd w:val="0"/>
        <w:spacing w:before="160" w:line="360" w:lineRule="auto"/>
        <w:jc w:val="both"/>
        <w:rPr>
          <w:rFonts w:ascii="Times New Roman" w:hAnsi="Times New Roman" w:cs="Times New Roman"/>
          <w:sz w:val="24"/>
          <w:szCs w:val="24"/>
        </w:rPr>
      </w:pPr>
      <w:r w:rsidRPr="00B87C4B">
        <w:rPr>
          <w:rFonts w:ascii="Times New Roman" w:hAnsi="Times New Roman" w:cs="Times New Roman"/>
          <w:sz w:val="24"/>
          <w:szCs w:val="24"/>
        </w:rPr>
        <w:t>5. Le quote da attribuire ad ogni dipendente sono quantificate sulla base della percentuale di apporto quali-quantitativo alla realizzazione degli obiettivi del Settore Entrate e sono erogabili successivamente all’approvazione del consuntivo del Piano della performance.</w:t>
      </w:r>
    </w:p>
    <w:p w:rsidR="00B87C4B" w:rsidRPr="00B87C4B" w:rsidRDefault="00B87C4B" w:rsidP="00CC114F">
      <w:pPr>
        <w:autoSpaceDE w:val="0"/>
        <w:autoSpaceDN w:val="0"/>
        <w:adjustRightInd w:val="0"/>
        <w:spacing w:line="360" w:lineRule="auto"/>
        <w:jc w:val="both"/>
        <w:rPr>
          <w:rFonts w:ascii="Times New Roman" w:hAnsi="Times New Roman" w:cs="Times New Roman"/>
          <w:sz w:val="24"/>
          <w:szCs w:val="24"/>
        </w:rPr>
      </w:pPr>
      <w:r w:rsidRPr="00B87C4B">
        <w:rPr>
          <w:rFonts w:ascii="Times New Roman" w:hAnsi="Times New Roman" w:cs="Times New Roman"/>
          <w:sz w:val="24"/>
          <w:szCs w:val="24"/>
        </w:rPr>
        <w:t>6. Eventuali quote del Fondo non utilizzate per il potenziamento delle risorse strumentali e non distribuite ai dipendenti, rappresentano economie di spesa dell’anno di riferimento e non possono essere riportate al successivo esercizio.</w:t>
      </w:r>
    </w:p>
    <w:p w:rsidR="00B87C4B" w:rsidRPr="00B87C4B" w:rsidRDefault="00B87C4B" w:rsidP="00CC114F">
      <w:pPr>
        <w:autoSpaceDE w:val="0"/>
        <w:autoSpaceDN w:val="0"/>
        <w:adjustRightInd w:val="0"/>
        <w:spacing w:line="360" w:lineRule="auto"/>
        <w:jc w:val="both"/>
        <w:rPr>
          <w:rFonts w:ascii="Times New Roman" w:hAnsi="Times New Roman" w:cs="Times New Roman"/>
          <w:b/>
          <w:bCs/>
          <w:sz w:val="24"/>
          <w:szCs w:val="24"/>
        </w:rPr>
      </w:pPr>
    </w:p>
    <w:p w:rsidR="00B87C4B" w:rsidRPr="00B87C4B" w:rsidRDefault="00B87C4B" w:rsidP="00CC114F">
      <w:pPr>
        <w:autoSpaceDE w:val="0"/>
        <w:autoSpaceDN w:val="0"/>
        <w:adjustRightInd w:val="0"/>
        <w:spacing w:line="360" w:lineRule="auto"/>
        <w:jc w:val="both"/>
        <w:rPr>
          <w:rFonts w:ascii="Times New Roman" w:hAnsi="Times New Roman" w:cs="Times New Roman"/>
          <w:b/>
          <w:bCs/>
          <w:sz w:val="24"/>
          <w:szCs w:val="24"/>
        </w:rPr>
      </w:pPr>
      <w:r w:rsidRPr="00B87C4B">
        <w:rPr>
          <w:rFonts w:ascii="Times New Roman" w:hAnsi="Times New Roman" w:cs="Times New Roman"/>
          <w:b/>
          <w:bCs/>
          <w:sz w:val="24"/>
          <w:szCs w:val="24"/>
        </w:rPr>
        <w:t>Articolo 5 – Entrata in vigore</w:t>
      </w:r>
    </w:p>
    <w:p w:rsidR="00B87C4B" w:rsidRPr="00B87C4B" w:rsidRDefault="00B87C4B" w:rsidP="00CC114F">
      <w:pPr>
        <w:autoSpaceDE w:val="0"/>
        <w:autoSpaceDN w:val="0"/>
        <w:adjustRightInd w:val="0"/>
        <w:spacing w:line="360" w:lineRule="auto"/>
        <w:jc w:val="both"/>
        <w:rPr>
          <w:rFonts w:ascii="Times New Roman" w:hAnsi="Times New Roman" w:cs="Times New Roman"/>
        </w:rPr>
      </w:pPr>
      <w:r w:rsidRPr="00B87C4B">
        <w:rPr>
          <w:rFonts w:ascii="Times New Roman" w:hAnsi="Times New Roman" w:cs="Times New Roman"/>
          <w:sz w:val="24"/>
          <w:szCs w:val="24"/>
        </w:rPr>
        <w:t>1. Il presente Regolamento entra in vigore lo stesso giorno della sua approvazione.</w:t>
      </w:r>
    </w:p>
    <w:sectPr w:rsidR="00B87C4B" w:rsidRPr="00B87C4B" w:rsidSect="0070282A">
      <w:pgSz w:w="11906" w:h="16838"/>
      <w:pgMar w:top="993" w:right="1134" w:bottom="141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3AF"/>
    <w:rsid w:val="00432274"/>
    <w:rsid w:val="00441ADC"/>
    <w:rsid w:val="005C3354"/>
    <w:rsid w:val="0070282A"/>
    <w:rsid w:val="00704D7D"/>
    <w:rsid w:val="00A94B48"/>
    <w:rsid w:val="00B4289F"/>
    <w:rsid w:val="00B87C4B"/>
    <w:rsid w:val="00BA3B72"/>
    <w:rsid w:val="00BC4150"/>
    <w:rsid w:val="00CC114F"/>
    <w:rsid w:val="00D30705"/>
    <w:rsid w:val="00F953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A93E1D-5D22-4837-970C-B1607175F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762</Words>
  <Characters>4346</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Ragioneria2</dc:creator>
  <cp:keywords/>
  <dc:description/>
  <cp:lastModifiedBy>Ragioneria2</cp:lastModifiedBy>
  <cp:revision>9</cp:revision>
  <dcterms:created xsi:type="dcterms:W3CDTF">2019-04-02T06:24:00Z</dcterms:created>
  <dcterms:modified xsi:type="dcterms:W3CDTF">2019-05-02T08:41:00Z</dcterms:modified>
</cp:coreProperties>
</file>