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000000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Ubicazione Opera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b/>
                <w:bCs/>
                <w:sz w:val="42"/>
                <w:szCs w:val="42"/>
              </w:rPr>
              <w:t>COMUNE DI CAMERINO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Provincia </w:t>
            </w:r>
            <w:r>
              <w:rPr>
                <w:b/>
                <w:bCs/>
                <w:sz w:val="26"/>
                <w:szCs w:val="26"/>
              </w:rPr>
              <w:t>MC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VALLICELLE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000000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37"/>
                <w:szCs w:val="37"/>
              </w:rPr>
            </w:pPr>
            <w:r>
              <w:rPr>
                <w:b/>
                <w:bCs/>
                <w:sz w:val="37"/>
                <w:szCs w:val="37"/>
              </w:rPr>
              <w:t>PROGETTO DI RIQUALIFICAZIONE AREA EX CAMPI DA TENNIS IN LOC. VALLICELLE DA DESTINARE AD AGILITY E SGAMBATOIO CANI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Identificativo Gara (CIG): </w:t>
            </w:r>
            <w:r>
              <w:rPr>
                <w:b/>
                <w:bCs/>
                <w:sz w:val="26"/>
                <w:szCs w:val="26"/>
              </w:rPr>
              <w:t>Z5323CA978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322"/>
        <w:gridCol w:w="202"/>
        <w:gridCol w:w="5436"/>
      </w:tblGrid>
      <w:tr w:rsidR="00000000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Appaltante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COMUNE DI CAMERINO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160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306445" cy="3314065"/>
                  <wp:effectExtent l="0" t="0" r="8255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331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CAMERINO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VIA LE MOSSE 10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000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GEOM. ETTORE PAOLUCCI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</w:tc>
        <w:tc>
          <w:tcPr>
            <w:tcW w:w="5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3A1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701"/>
        <w:gridCol w:w="6663"/>
        <w:gridCol w:w="1586"/>
      </w:tblGrid>
      <w:tr w:rsidR="00000000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29/05/2018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Elaborato</w:t>
            </w:r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Tavola N°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</w:tr>
      <w:tr w:rsidR="00000000">
        <w:trPr>
          <w:trHeight w:val="23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000" w:rsidRDefault="00013A12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DETERMINAZIONE DEI CORRISPETTIVI</w:t>
            </w:r>
          </w:p>
          <w:p w:rsidR="00000000" w:rsidRDefault="00013A12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SERVIZI RELATIVI ALL’</w:t>
            </w:r>
            <w:r>
              <w:rPr>
                <w:rFonts w:ascii="Arial" w:hAnsi="Arial" w:cs="Arial"/>
                <w:b/>
                <w:bCs/>
                <w:i/>
                <w:iCs/>
              </w:rPr>
              <w:t>ARCHITETTURA E ALL’INGEGNERIA</w:t>
            </w:r>
          </w:p>
          <w:p w:rsidR="00000000" w:rsidRDefault="00013A12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</w:pPr>
            <w:r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</w:rPr>
              <w:t>DM 17/06/2016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widowControl w:val="0"/>
            </w:pPr>
          </w:p>
        </w:tc>
      </w:tr>
      <w:tr w:rsidR="0000000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Archivio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034"/>
        <w:gridCol w:w="4908"/>
      </w:tblGrid>
      <w:tr w:rsidR="00000000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Tecnico</w:t>
            </w:r>
          </w:p>
          <w:p w:rsidR="00891607" w:rsidRDefault="00891607" w:rsidP="0089160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GEOM. ETTORE PAOLUCCI</w:t>
            </w: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000000" w:rsidRDefault="00013A12" w:rsidP="0089160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="00891607">
              <w:rPr>
                <w:sz w:val="20"/>
                <w:szCs w:val="20"/>
              </w:rPr>
              <w:t>RUP</w:t>
            </w:r>
          </w:p>
          <w:p w:rsidR="00891607" w:rsidRPr="00013A12" w:rsidRDefault="00891607" w:rsidP="0089160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b/>
                <w:sz w:val="20"/>
                <w:szCs w:val="20"/>
              </w:rPr>
            </w:pPr>
            <w:bookmarkStart w:id="0" w:name="_GoBack"/>
            <w:r w:rsidRPr="00013A12">
              <w:rPr>
                <w:b/>
                <w:sz w:val="20"/>
                <w:szCs w:val="20"/>
              </w:rPr>
              <w:t>Ing. Orioli Marco</w:t>
            </w:r>
            <w:bookmarkEnd w:id="0"/>
          </w:p>
        </w:tc>
      </w:tr>
    </w:tbl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sectPr w:rsidR="00000000">
          <w:pgSz w:w="11909" w:h="16834"/>
          <w:pgMar w:top="1417" w:right="1134" w:bottom="1134" w:left="1134" w:header="720" w:footer="720" w:gutter="0"/>
          <w:cols w:space="720"/>
          <w:noEndnote/>
        </w:sectPr>
      </w:pPr>
    </w:p>
    <w:p w:rsidR="00000000" w:rsidRDefault="00013A12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PREMESSA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 il prese</w:t>
      </w:r>
      <w:r>
        <w:rPr>
          <w:rFonts w:ascii="Arial" w:hAnsi="Arial" w:cs="Arial"/>
        </w:rPr>
        <w:t xml:space="preserve">nte documento viene determinato il corrispettivo da porre a base di gara nelle procedure di affidamento di contratti pubblici dei servizi relativi all’architettura ed </w:t>
      </w:r>
      <w:proofErr w:type="gramStart"/>
      <w:r>
        <w:rPr>
          <w:rFonts w:ascii="Arial" w:hAnsi="Arial" w:cs="Arial"/>
        </w:rPr>
        <w:t>all’ingegneria  di</w:t>
      </w:r>
      <w:proofErr w:type="gramEnd"/>
      <w:r>
        <w:rPr>
          <w:rFonts w:ascii="Arial" w:hAnsi="Arial" w:cs="Arial"/>
        </w:rPr>
        <w:t xml:space="preserve"> cui all'art.46 del decreto legislativo 18 aprile 2016 n. 50.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Il corri</w:t>
      </w:r>
      <w:r>
        <w:rPr>
          <w:rFonts w:ascii="Arial" w:hAnsi="Arial" w:cs="Arial"/>
        </w:rPr>
        <w:t>spettivo, costituito dal compenso e dalle spese ed oneri accessori, è stato determinato in funzione delle prestazioni professionali relative ai predetti servizi ed applicando i seguenti parametri generali per la determinazione del compenso (come previsto d</w:t>
      </w:r>
      <w:r>
        <w:rPr>
          <w:rFonts w:ascii="Arial" w:hAnsi="Arial" w:cs="Arial"/>
        </w:rPr>
        <w:t>al DM 17/06/2016):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parametro</w:t>
      </w:r>
      <w:proofErr w:type="gramEnd"/>
      <w:r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</w:rPr>
        <w:t>», dato dal costo delle singole categorie componenti l'opera;</w:t>
      </w:r>
    </w:p>
    <w:p w:rsidR="00000000" w:rsidRDefault="00013A12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parametro</w:t>
      </w:r>
      <w:proofErr w:type="gramEnd"/>
      <w:r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</w:rPr>
        <w:t>», relativo alla complessità della prestazione;</w:t>
      </w:r>
    </w:p>
    <w:p w:rsidR="00000000" w:rsidRDefault="00013A12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parametro</w:t>
      </w:r>
      <w:proofErr w:type="gramEnd"/>
      <w:r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», relativo alla specificità della prestazione;</w:t>
      </w:r>
    </w:p>
    <w:p w:rsidR="00000000" w:rsidRDefault="00013A12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parametro</w:t>
      </w:r>
      <w:proofErr w:type="gramEnd"/>
      <w:r>
        <w:rPr>
          <w:rFonts w:ascii="Arial" w:hAnsi="Arial" w:cs="Arial"/>
        </w:rPr>
        <w:t xml:space="preserve"> base «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», che si app</w:t>
      </w:r>
      <w:r>
        <w:rPr>
          <w:rFonts w:ascii="Arial" w:hAnsi="Arial" w:cs="Arial"/>
        </w:rPr>
        <w:t>lica al costo economico delle singole categorie componenti l'opera.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Il compenso «CP», con riferimento ai parametri indicati, è determinato dalla sommatoria dei prodotti tra il costo delle singole categorie componenti l’opera «V», il parametro «G»</w:t>
      </w:r>
      <w:r>
        <w:rPr>
          <w:rFonts w:ascii="Arial" w:hAnsi="Arial" w:cs="Arial"/>
        </w:rPr>
        <w:t xml:space="preserve"> corrispondente al grado di complessità delle prestazioni, il parametro «Q» corrispondente alla specificità della prestazione distinto in base alle singole categorie componenti l’opera e il parametro base «P», secondo l’espressione che segue: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CP= </w:t>
      </w:r>
      <w:r>
        <w:rPr>
          <w:rFonts w:ascii="Arial" w:hAnsi="Arial" w:cs="Arial"/>
          <w:color w:val="000000"/>
          <w:sz w:val="24"/>
          <w:szCs w:val="24"/>
        </w:rPr>
        <w:t>∑</w:t>
      </w:r>
      <w:r>
        <w:rPr>
          <w:rFonts w:ascii="Arial" w:hAnsi="Arial" w:cs="Arial"/>
          <w:color w:val="000000"/>
          <w:sz w:val="24"/>
          <w:szCs w:val="24"/>
        </w:rPr>
        <w:t>(V×G×Q×P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013A12" w:rsidP="00891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rFonts w:ascii="Arial" w:hAnsi="Arial" w:cs="Arial"/>
        </w:rPr>
        <w:t>L’importo delle spese e degli oneri accessori è calcolato in maniera forfettaria; per opere di importo fino a € 1.000.000,00 è determinato in misura non superiore al 25% del compenso; per opere di importo pari o superiore a € 25.000.000,00 è determinat</w:t>
      </w:r>
      <w:r>
        <w:rPr>
          <w:rFonts w:ascii="Arial" w:hAnsi="Arial" w:cs="Arial"/>
        </w:rPr>
        <w:t xml:space="preserve">o in misura non superiore al 10% del compenso; per opere di importo intermedio in misura massima percentuale determinata per interpolazione lineare. </w:t>
      </w:r>
    </w:p>
    <w:p w:rsidR="00000000" w:rsidRDefault="00013A12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</w:rPr>
        <w:t>UADRO ECONOMICO DELL’OPERA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OGGETTO DEI SERVIZI RELATIVI ALL’ARCHITETTURA E ALL’INGEGNERIA: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PROGETTO D</w:t>
      </w:r>
      <w:r>
        <w:rPr>
          <w:rFonts w:ascii="Arial" w:hAnsi="Arial" w:cs="Arial"/>
          <w:b/>
          <w:bCs/>
          <w:sz w:val="18"/>
          <w:szCs w:val="18"/>
        </w:rPr>
        <w:t>I RIQUALIFICAZIONE AREA EX CAMPI DA TENNIS IN LOC. VALLICELLE DA DESTINARE AD AGILITY E SGAMBATOIO CANI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3720"/>
        <w:gridCol w:w="1125"/>
        <w:gridCol w:w="1276"/>
        <w:gridCol w:w="960"/>
      </w:tblGrid>
      <w:tr w:rsidR="00891607" w:rsidTr="00891607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CATEGORIE D’OPERA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ID. OPERE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Complessità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Categorie(€)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Parametri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Base</w:t>
            </w:r>
          </w:p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</w:tr>
      <w:tr w:rsidR="00000000">
        <w:trPr>
          <w:trHeight w:val="34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Arredamenti con elementi acquistati dal mercato, Giardini, Parchi gioco, Piazze e spazi pubblici all’aperto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12,0037340600%</w:t>
            </w:r>
          </w:p>
        </w:tc>
      </w:tr>
    </w:tbl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Costo complessivo dell’opera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sz w:val="18"/>
          <w:szCs w:val="18"/>
        </w:rPr>
        <w:t>130.000,00 €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Percentuale forfettaria spese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sz w:val="18"/>
          <w:szCs w:val="18"/>
        </w:rPr>
        <w:t xml:space="preserve">25,00% 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</w:p>
    <w:p w:rsidR="00000000" w:rsidRDefault="00013A12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FASI PRESTAZIONALI PREVISTE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1356"/>
        <w:gridCol w:w="8616"/>
      </w:tblGrid>
      <w:tr w:rsidR="00891607" w:rsidTr="00891607">
        <w:tc>
          <w:tcPr>
            <w:tcW w:w="99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PROGETTAZIONE</w:t>
            </w:r>
          </w:p>
        </w:tc>
      </w:tr>
      <w:tr w:rsidR="00891607" w:rsidTr="00891607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Progettazione Preliminare</w:t>
            </w:r>
          </w:p>
        </w:tc>
      </w:tr>
      <w:tr w:rsidR="00891607" w:rsidTr="00891607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b.II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Progettazione Definitiva</w:t>
            </w:r>
          </w:p>
        </w:tc>
      </w:tr>
      <w:tr w:rsidR="00891607" w:rsidTr="00891607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b.III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Progettazione Esecutiva</w:t>
            </w:r>
          </w:p>
        </w:tc>
      </w:tr>
    </w:tbl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000" w:rsidRDefault="00013A12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SINGOLE PRESTAZIONI PREVISTE</w:t>
      </w: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000000" w:rsidRDefault="00013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Qui di seguito vengono riportate le Fasi prestazionali previste per ogni diversa Categoria d’</w:t>
      </w:r>
      <w:r>
        <w:rPr>
          <w:rFonts w:ascii="Arial" w:hAnsi="Arial" w:cs="Arial"/>
        </w:rPr>
        <w:t>Opera con la distinta analitica delle singole prestazioni e con i relativi Parametri &lt;&lt;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&gt;&gt; di incidenza, desunti dalla tavola Z-2 allegata alla vigente normativa.</w:t>
      </w:r>
    </w:p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00000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EDILIZIA – E.18  </w:t>
            </w:r>
          </w:p>
        </w:tc>
      </w:tr>
      <w:tr w:rsidR="00000000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b.I</w:t>
            </w:r>
            <w:proofErr w:type="spellEnd"/>
            <w:r>
              <w:rPr>
                <w:rFonts w:ascii="Arial" w:hAnsi="Arial" w:cs="Arial"/>
                <w:b/>
                <w:bCs/>
              </w:rPr>
              <w:t>) PROGETTAZIONE PRELIMINARE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Relazioni, planimetrie, elaborati grafici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QbI.02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Calcolo sommario spesa, quadro economico di progetto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QbI.16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 indicazioni e prescrizioni per la stesura dei Piani di Sicurezza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0,0100</w:t>
            </w: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00000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</w:rPr>
              <w:t>) PROGETTAZIONE DEFINITIVA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Relazioni generale e tecniche, Elaborati grafici, Calcolo delle strutture e degli impianti, eventuali Relazione sulla risoluzione delle interferenze e Relazione sulla gestione materie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QbII.05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Elenco prezzi unitari ed eventuali analisi, Computo metrico estimativo, Quadro economico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QbII.23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Aggiornamento delle prime indicazioni e prescrizioni per la redazione del PSC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0,0100</w:t>
            </w: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000000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</w:rPr>
              <w:t>) PROGETTAZIONE ESECUTIVA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Relazione generale e specialistiche, Elaborati grafici, Calcoli esecutivi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Particolari costruttivi e decorativi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Computo metrico estimativo, Quadro economico, Elenco prezzi e eventuale analisi, Quadro dell'incidenza percentuale della quantità di manodopera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Schema di contratto, capitolato speciale d'appalto, cronoprogramma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Piano di m</w:t>
            </w:r>
            <w:r>
              <w:rPr>
                <w:rFonts w:ascii="Arial" w:hAnsi="Arial" w:cs="Arial"/>
                <w:sz w:val="18"/>
                <w:szCs w:val="18"/>
              </w:rPr>
              <w:t>anutenzione dell'opera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0,0200</w:t>
            </w:r>
          </w:p>
        </w:tc>
      </w:tr>
      <w:tr w:rsidR="000000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QbIII.07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Piano di Sicurezza e Coordinamento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0,1000</w:t>
            </w:r>
          </w:p>
        </w:tc>
      </w:tr>
    </w:tbl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</w:pPr>
    </w:p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</w:pPr>
    </w:p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</w:pPr>
    </w:p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</w:rPr>
        <w:sectPr w:rsidR="00000000">
          <w:pgSz w:w="11909" w:h="16834"/>
          <w:pgMar w:top="1417" w:right="1134" w:bottom="1134" w:left="1134" w:header="720" w:footer="720" w:gutter="0"/>
          <w:cols w:space="720"/>
          <w:noEndnote/>
        </w:sectPr>
      </w:pPr>
    </w:p>
    <w:p w:rsidR="00000000" w:rsidRDefault="00013A12">
      <w:pPr>
        <w:pStyle w:val="Titolo1"/>
        <w:jc w:val="center"/>
        <w:rPr>
          <w:rFonts w:ascii="Arial" w:hAnsi="Arial" w:cs="Arial"/>
        </w:rPr>
      </w:pPr>
      <w:r>
        <w:rPr>
          <w:rFonts w:ascii="Arial" w:hAnsi="Arial" w:cs="Arial"/>
        </w:rPr>
        <w:t>DETERMINAZIONE CORRISPETTIVI</w:t>
      </w:r>
    </w:p>
    <w:p w:rsidR="00000000" w:rsidRDefault="00013A12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0"/>
          <w:szCs w:val="20"/>
        </w:rPr>
      </w:pPr>
      <w:r>
        <w:rPr>
          <w:i/>
          <w:iCs/>
          <w:sz w:val="22"/>
          <w:szCs w:val="22"/>
        </w:rPr>
        <w:t>Importi espressi in Euro</w:t>
      </w:r>
    </w:p>
    <w:p w:rsidR="00000000" w:rsidRDefault="00013A12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000000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00000" w:rsidRDefault="00013A1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b.I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 PROGETTAZIONE PRELIMINARE</w:t>
            </w:r>
          </w:p>
        </w:tc>
      </w:tr>
      <w:tr w:rsidR="00000000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ID.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COSTI 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 di Complessità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Sommatorie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Compensi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ed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Corrispettivi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V*G*P*</w:t>
            </w: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K=25,00%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CP+S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S=CP*K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12,0037340600%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QbI.01, QbI.02, QbI.16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1.630,71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407,68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2.038,38</w:t>
            </w:r>
          </w:p>
        </w:tc>
      </w:tr>
    </w:tbl>
    <w:p w:rsidR="00000000" w:rsidRDefault="00013A12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000000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00000" w:rsidRDefault="00013A1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 PROGETTAZIONE DEFINITIVA</w:t>
            </w:r>
          </w:p>
        </w:tc>
      </w:tr>
      <w:tr w:rsidR="00000000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ID.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COSTI 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 di Complessità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Sommatorie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Compensi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ed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Corrispettivi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V*G*P*</w:t>
            </w: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K=25,00%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CP+S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S=CP*K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12,0037340600%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QbII.01, QbII.05, QbII.23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4.595,63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1.148,91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5.744,54</w:t>
            </w:r>
          </w:p>
        </w:tc>
      </w:tr>
    </w:tbl>
    <w:p w:rsidR="00000000" w:rsidRDefault="00013A12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000000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00000" w:rsidRDefault="00013A12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 PROGETTAZIONE ESECUTIVA</w:t>
            </w:r>
          </w:p>
        </w:tc>
      </w:tr>
      <w:tr w:rsidR="00000000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ID.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COSTI 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 di Complessità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Sommatorie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Compensi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ed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Corrispettivi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V*G*P*</w:t>
            </w:r>
            <w:r>
              <w:rPr>
                <w:rFonts w:ascii="Arial" w:hAnsi="Arial" w:cs="Arial"/>
                <w:sz w:val="18"/>
                <w:szCs w:val="18"/>
              </w:rPr>
              <w:t>∑</w:t>
            </w:r>
            <w:r>
              <w:rPr>
                <w:rFonts w:ascii="Arial" w:hAnsi="Arial" w:cs="Arial"/>
                <w:sz w:val="18"/>
                <w:szCs w:val="18"/>
              </w:rPr>
              <w:t>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K=25,00%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CP+S</w:t>
            </w:r>
          </w:p>
        </w:tc>
      </w:tr>
      <w:tr w:rsidR="0000000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S=CP*K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00000" w:rsidRDefault="00013A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EDILIZIA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12,0037340600%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QbIII.01, QbIII.02, QbIII.03, QbIII.04, QbIII.05, QbIII.07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5.633,35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1.408,34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7.041,69</w:t>
            </w:r>
          </w:p>
        </w:tc>
      </w:tr>
    </w:tbl>
    <w:p w:rsidR="00000000" w:rsidRDefault="00013A12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891607" w:rsidRDefault="00891607">
      <w:pPr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000000" w:rsidRDefault="00013A12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000000">
        <w:trPr>
          <w:trHeight w:val="454"/>
        </w:trPr>
        <w:tc>
          <w:tcPr>
            <w:tcW w:w="1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 I E P I L O G O</w:t>
            </w:r>
          </w:p>
        </w:tc>
      </w:tr>
      <w:tr w:rsidR="00891607" w:rsidTr="00891607">
        <w:tblPrEx>
          <w:tblCellMar>
            <w:right w:w="10" w:type="dxa"/>
          </w:tblCellMar>
        </w:tblPrEx>
        <w:trPr>
          <w:trHeight w:val="836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FASI PRESTAZIONALI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8" w:type="dxa"/>
            </w:tcMar>
            <w:vAlign w:val="center"/>
          </w:tcPr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Corrispettivi</w:t>
            </w:r>
          </w:p>
          <w:p w:rsidR="00000000" w:rsidRDefault="00013A12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CP+S</w:t>
            </w:r>
          </w:p>
        </w:tc>
      </w:tr>
      <w:tr w:rsidR="00891607" w:rsidTr="00891607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</w:pPr>
            <w:proofErr w:type="spellStart"/>
            <w:r>
              <w:t>b.I</w:t>
            </w:r>
            <w:proofErr w:type="spellEnd"/>
            <w:r>
              <w:t>) PROGETTAZIONE PRELIMINARE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2.038,38</w:t>
            </w:r>
          </w:p>
        </w:tc>
      </w:tr>
      <w:tr w:rsidR="00891607" w:rsidTr="00891607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</w:pPr>
            <w:proofErr w:type="spellStart"/>
            <w:r>
              <w:t>b.II</w:t>
            </w:r>
            <w:proofErr w:type="spellEnd"/>
            <w:r>
              <w:t>) PROGETTAZIONE DEFINITIVA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5.744,54</w:t>
            </w:r>
          </w:p>
        </w:tc>
      </w:tr>
      <w:tr w:rsidR="00891607" w:rsidTr="00891607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</w:pPr>
            <w:proofErr w:type="spellStart"/>
            <w:r>
              <w:t>b.III</w:t>
            </w:r>
            <w:proofErr w:type="spellEnd"/>
            <w:r>
              <w:t>) PROGETTAZIONE ESECUTIVA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7.041,69</w:t>
            </w:r>
          </w:p>
        </w:tc>
      </w:tr>
      <w:tr w:rsidR="00000000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AMMONTARE COMPLESSIVO DEL CORRISPETTIVO €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013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14.824,61</w:t>
            </w:r>
          </w:p>
        </w:tc>
      </w:tr>
    </w:tbl>
    <w:p w:rsidR="00000000" w:rsidRDefault="00013A12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sectPr w:rsidR="00000000">
      <w:pgSz w:w="16832" w:h="11911" w:orient="landscape"/>
      <w:pgMar w:top="1134" w:right="141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7"/>
    <w:rsid w:val="00013A12"/>
    <w:rsid w:val="008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5857D9-82EF-4E25-82FF-EE607A91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19">
    <w:name w:val="s19"/>
    <w:basedOn w:val="Normale"/>
    <w:uiPriority w:val="99"/>
    <w:pPr>
      <w:ind w:right="223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5459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Base>C:\Users\g.botta\Desktop\ARCHIVI DI BASE\Templates\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cp:lastPrinted>2018-05-29T15:22:00Z</cp:lastPrinted>
  <dcterms:created xsi:type="dcterms:W3CDTF">2018-05-29T15:21:00Z</dcterms:created>
  <dcterms:modified xsi:type="dcterms:W3CDTF">2018-05-29T15:22:00Z</dcterms:modified>
</cp:coreProperties>
</file>