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43" w:rsidRPr="00641FC7" w:rsidRDefault="004D6CBC" w:rsidP="00961343">
      <w:pPr>
        <w:jc w:val="center"/>
        <w:rPr>
          <w:b/>
          <w:u w:val="single"/>
        </w:rPr>
      </w:pPr>
      <w:r w:rsidRPr="00961343">
        <w:rPr>
          <w:b/>
          <w:bCs/>
          <w:sz w:val="24"/>
          <w:szCs w:val="24"/>
        </w:rPr>
        <w:t>Comune di</w:t>
      </w:r>
      <w:r w:rsidRPr="00961343">
        <w:rPr>
          <w:b/>
          <w:sz w:val="24"/>
          <w:szCs w:val="24"/>
        </w:rPr>
        <w:t xml:space="preserve"> CASTEL DI LAMA (</w:t>
      </w:r>
      <w:proofErr w:type="spellStart"/>
      <w:r w:rsidRPr="00961343">
        <w:rPr>
          <w:b/>
          <w:sz w:val="24"/>
          <w:szCs w:val="24"/>
        </w:rPr>
        <w:t>Prov</w:t>
      </w:r>
      <w:proofErr w:type="spellEnd"/>
      <w:r w:rsidRPr="00961343">
        <w:rPr>
          <w:b/>
          <w:sz w:val="24"/>
          <w:szCs w:val="24"/>
        </w:rPr>
        <w:t xml:space="preserve">. </w:t>
      </w:r>
      <w:r w:rsidR="00641FC7" w:rsidRPr="00961343">
        <w:rPr>
          <w:b/>
          <w:sz w:val="24"/>
          <w:szCs w:val="24"/>
        </w:rPr>
        <w:t>Ascoli Piceno</w:t>
      </w:r>
      <w:r w:rsidRPr="00961343">
        <w:rPr>
          <w:b/>
          <w:sz w:val="24"/>
          <w:szCs w:val="24"/>
        </w:rPr>
        <w:t xml:space="preserve">) </w:t>
      </w:r>
      <w:r w:rsidRPr="00961343">
        <w:rPr>
          <w:b/>
          <w:sz w:val="24"/>
          <w:szCs w:val="24"/>
        </w:rPr>
        <w:br/>
      </w:r>
      <w:r w:rsidRPr="004D6CBC">
        <w:rPr>
          <w:b/>
        </w:rPr>
        <w:br/>
      </w:r>
      <w:r w:rsidRPr="004D6CBC">
        <w:rPr>
          <w:b/>
          <w:bCs/>
        </w:rPr>
        <w:t>Lavori di</w:t>
      </w:r>
      <w:r w:rsidRPr="004D6CBC">
        <w:rPr>
          <w:b/>
        </w:rPr>
        <w:t xml:space="preserve">: </w:t>
      </w:r>
      <w:r w:rsidR="00961343" w:rsidRPr="00961343">
        <w:rPr>
          <w:b/>
        </w:rPr>
        <w:t xml:space="preserve">Indagini e studi per il monitoraggio, analisi e verifica della stabilità del versante – </w:t>
      </w:r>
      <w:r w:rsidR="00961343" w:rsidRPr="00641FC7">
        <w:rPr>
          <w:b/>
          <w:u w:val="single"/>
        </w:rPr>
        <w:t>Indagini Geofisiche e Prove di Laboratorio</w:t>
      </w:r>
    </w:p>
    <w:p w:rsidR="00961343" w:rsidRDefault="004D6CBC" w:rsidP="004D6CBC">
      <w:pPr>
        <w:rPr>
          <w:b/>
          <w:bCs/>
        </w:rPr>
      </w:pPr>
      <w:r w:rsidRPr="004D6CBC">
        <w:rPr>
          <w:b/>
          <w:bCs/>
        </w:rPr>
        <w:t>Impresa</w:t>
      </w:r>
      <w:r w:rsidRPr="004D6CBC">
        <w:rPr>
          <w:b/>
        </w:rPr>
        <w:t xml:space="preserve">: </w:t>
      </w:r>
      <w:r w:rsidR="00961343" w:rsidRPr="00961343">
        <w:rPr>
          <w:b/>
        </w:rPr>
        <w:t xml:space="preserve">GEOSISTEM </w:t>
      </w:r>
      <w:proofErr w:type="spellStart"/>
      <w:r w:rsidR="00961343" w:rsidRPr="00961343">
        <w:rPr>
          <w:b/>
        </w:rPr>
        <w:t>srl</w:t>
      </w:r>
      <w:proofErr w:type="spellEnd"/>
      <w:r w:rsidR="00961343" w:rsidRPr="00961343">
        <w:rPr>
          <w:b/>
        </w:rPr>
        <w:t xml:space="preserve"> con sede in Ascoli Piceno, Zona </w:t>
      </w:r>
      <w:proofErr w:type="spellStart"/>
      <w:r w:rsidR="00961343" w:rsidRPr="00961343">
        <w:rPr>
          <w:b/>
        </w:rPr>
        <w:t>Ind.ale</w:t>
      </w:r>
      <w:proofErr w:type="spellEnd"/>
      <w:r w:rsidR="00961343" w:rsidRPr="00961343">
        <w:rPr>
          <w:b/>
        </w:rPr>
        <w:t xml:space="preserve"> Campolungo – Area Marini</w:t>
      </w:r>
      <w:r w:rsidRPr="004D6CBC">
        <w:rPr>
          <w:b/>
        </w:rPr>
        <w:br/>
      </w:r>
      <w:r w:rsidRPr="004D6CBC">
        <w:rPr>
          <w:b/>
          <w:bCs/>
        </w:rPr>
        <w:t xml:space="preserve">Importo </w:t>
      </w:r>
      <w:r w:rsidR="00961343">
        <w:rPr>
          <w:b/>
          <w:bCs/>
        </w:rPr>
        <w:t xml:space="preserve">originario affidato: </w:t>
      </w:r>
      <w:r w:rsidR="00961343" w:rsidRPr="00961343">
        <w:rPr>
          <w:b/>
          <w:bCs/>
        </w:rPr>
        <w:t xml:space="preserve">euro 15.829,47 al netto del ribasso d'asta del 33,5% %, di cui € 15.515,36 per lavori </w:t>
      </w:r>
      <w:proofErr w:type="gramStart"/>
      <w:r w:rsidR="00961343" w:rsidRPr="00961343">
        <w:rPr>
          <w:b/>
          <w:bCs/>
        </w:rPr>
        <w:t>ed  €</w:t>
      </w:r>
      <w:proofErr w:type="gramEnd"/>
      <w:r w:rsidR="00961343" w:rsidRPr="00961343">
        <w:rPr>
          <w:b/>
          <w:bCs/>
        </w:rPr>
        <w:t xml:space="preserve"> 314,11 </w:t>
      </w:r>
    </w:p>
    <w:p w:rsidR="00961343" w:rsidRDefault="004D6CBC" w:rsidP="004D6CBC">
      <w:pPr>
        <w:rPr>
          <w:b/>
          <w:bCs/>
        </w:rPr>
      </w:pPr>
      <w:r w:rsidRPr="004D6CBC">
        <w:rPr>
          <w:b/>
          <w:bCs/>
        </w:rPr>
        <w:t>C</w:t>
      </w:r>
      <w:r w:rsidR="00961343">
        <w:rPr>
          <w:b/>
          <w:bCs/>
        </w:rPr>
        <w:t xml:space="preserve">IG: ZD726CF47B </w:t>
      </w:r>
    </w:p>
    <w:p w:rsidR="004D6CBC" w:rsidRPr="004D6CBC" w:rsidRDefault="004D6CBC" w:rsidP="00961343">
      <w:pPr>
        <w:jc w:val="center"/>
        <w:rPr>
          <w:b/>
        </w:rPr>
      </w:pPr>
      <w:r w:rsidRPr="004D6CBC">
        <w:rPr>
          <w:b/>
          <w:bCs/>
        </w:rPr>
        <w:t xml:space="preserve">ATTO DI </w:t>
      </w:r>
      <w:proofErr w:type="gramStart"/>
      <w:r w:rsidRPr="004D6CBC">
        <w:rPr>
          <w:b/>
          <w:bCs/>
        </w:rPr>
        <w:t>SOTTOMISSIONE</w:t>
      </w:r>
      <w:r w:rsidRPr="004D6CBC">
        <w:rPr>
          <w:b/>
          <w:bCs/>
        </w:rPr>
        <w:br/>
      </w:r>
      <w:r w:rsidR="00961343">
        <w:rPr>
          <w:b/>
          <w:i/>
          <w:iCs/>
        </w:rPr>
        <w:t>(</w:t>
      </w:r>
      <w:proofErr w:type="gramEnd"/>
      <w:r w:rsidRPr="004D6CBC">
        <w:rPr>
          <w:b/>
          <w:i/>
          <w:iCs/>
        </w:rPr>
        <w:t>art.22 comma 4 D.M. 49/2018</w:t>
      </w:r>
      <w:r w:rsidR="00961343">
        <w:rPr>
          <w:b/>
          <w:i/>
          <w:iCs/>
        </w:rPr>
        <w:t>)</w:t>
      </w:r>
      <w:r w:rsidRPr="004D6CBC">
        <w:rPr>
          <w:b/>
          <w:bCs/>
        </w:rPr>
        <w:t> </w:t>
      </w:r>
    </w:p>
    <w:p w:rsidR="004D6CBC" w:rsidRPr="00961343" w:rsidRDefault="004D6CBC" w:rsidP="004D6CBC">
      <w:pPr>
        <w:rPr>
          <w:b/>
          <w:sz w:val="24"/>
          <w:szCs w:val="24"/>
        </w:rPr>
      </w:pPr>
      <w:r w:rsidRPr="004D6CBC">
        <w:rPr>
          <w:bCs/>
          <w:sz w:val="24"/>
          <w:szCs w:val="24"/>
        </w:rPr>
        <w:t>          </w:t>
      </w:r>
      <w:r w:rsidR="00FF4573">
        <w:rPr>
          <w:bCs/>
          <w:sz w:val="24"/>
          <w:szCs w:val="24"/>
        </w:rPr>
        <w:t xml:space="preserve">                </w:t>
      </w:r>
      <w:r w:rsidRPr="004D6CBC">
        <w:rPr>
          <w:bCs/>
          <w:sz w:val="24"/>
          <w:szCs w:val="24"/>
        </w:rPr>
        <w:t xml:space="preserve">  </w:t>
      </w:r>
      <w:r w:rsidRPr="00961343">
        <w:rPr>
          <w:b/>
          <w:bCs/>
          <w:sz w:val="24"/>
          <w:szCs w:val="24"/>
        </w:rPr>
        <w:t>L’anno 2019 il giorno dodici del mese di Giugno in Castel di Lama (AP)</w:t>
      </w:r>
    </w:p>
    <w:p w:rsidR="004D6CBC" w:rsidRPr="004D6CBC" w:rsidRDefault="004D6CBC" w:rsidP="004D6CBC">
      <w:pPr>
        <w:rPr>
          <w:b/>
          <w:sz w:val="24"/>
          <w:szCs w:val="24"/>
        </w:rPr>
      </w:pPr>
      <w:r w:rsidRPr="004D6CBC">
        <w:rPr>
          <w:b/>
          <w:sz w:val="24"/>
          <w:szCs w:val="24"/>
        </w:rPr>
        <w:t>PREMESSO:</w:t>
      </w:r>
    </w:p>
    <w:p w:rsidR="004D6CBC" w:rsidRPr="004D6CBC" w:rsidRDefault="004D6CBC" w:rsidP="004D6CBC">
      <w:pPr>
        <w:rPr>
          <w:sz w:val="24"/>
          <w:szCs w:val="24"/>
        </w:rPr>
      </w:pPr>
      <w:r w:rsidRPr="004D6CBC">
        <w:rPr>
          <w:sz w:val="24"/>
          <w:szCs w:val="24"/>
        </w:rPr>
        <w:t xml:space="preserve">-che con </w:t>
      </w:r>
      <w:r>
        <w:rPr>
          <w:sz w:val="24"/>
          <w:szCs w:val="24"/>
        </w:rPr>
        <w:t xml:space="preserve">la determinazione del Responsabile dell’Ufficio Tecnico n. 171 R.G. del 20 marzo 2019 sono stati affidati alla ditta GEOSISTEM </w:t>
      </w:r>
      <w:proofErr w:type="spellStart"/>
      <w:r>
        <w:rPr>
          <w:sz w:val="24"/>
          <w:szCs w:val="24"/>
        </w:rPr>
        <w:t>srl</w:t>
      </w:r>
      <w:proofErr w:type="spellEnd"/>
      <w:r>
        <w:rPr>
          <w:sz w:val="24"/>
          <w:szCs w:val="24"/>
        </w:rPr>
        <w:t xml:space="preserve"> con sede in Ascoli Piceno, Zona </w:t>
      </w:r>
      <w:proofErr w:type="spellStart"/>
      <w:r>
        <w:rPr>
          <w:sz w:val="24"/>
          <w:szCs w:val="24"/>
        </w:rPr>
        <w:t>Ind.ale</w:t>
      </w:r>
      <w:proofErr w:type="spellEnd"/>
      <w:r>
        <w:rPr>
          <w:sz w:val="24"/>
          <w:szCs w:val="24"/>
        </w:rPr>
        <w:t xml:space="preserve"> Campolungo – Area Marini, l’incarico dello svolgimento delle “Indagini e studi per il monitoraggio, analisi e verifica della stabilità del versante – Indagini Geofisiche e Prove di Laboratorio”, per l'importo di euro 15.829,47</w:t>
      </w:r>
      <w:r w:rsidRPr="004D6CBC">
        <w:rPr>
          <w:sz w:val="24"/>
          <w:szCs w:val="24"/>
        </w:rPr>
        <w:t xml:space="preserve"> al netto del ribasso d'asta del </w:t>
      </w:r>
      <w:r>
        <w:rPr>
          <w:sz w:val="24"/>
          <w:szCs w:val="24"/>
        </w:rPr>
        <w:t>33,5%</w:t>
      </w:r>
      <w:r w:rsidRPr="004D6CBC">
        <w:rPr>
          <w:sz w:val="24"/>
          <w:szCs w:val="24"/>
        </w:rPr>
        <w:t xml:space="preserve"> %, di cui € </w:t>
      </w:r>
      <w:r>
        <w:rPr>
          <w:sz w:val="24"/>
          <w:szCs w:val="24"/>
        </w:rPr>
        <w:t xml:space="preserve">15.515,36 </w:t>
      </w:r>
      <w:r w:rsidRPr="004D6CBC">
        <w:rPr>
          <w:sz w:val="24"/>
          <w:szCs w:val="24"/>
        </w:rPr>
        <w:t>per lavori e</w:t>
      </w:r>
      <w:r>
        <w:rPr>
          <w:sz w:val="24"/>
          <w:szCs w:val="24"/>
        </w:rPr>
        <w:t>d</w:t>
      </w:r>
      <w:r w:rsidRPr="004D6CBC">
        <w:rPr>
          <w:sz w:val="24"/>
          <w:szCs w:val="24"/>
        </w:rPr>
        <w:t xml:space="preserve">  € </w:t>
      </w:r>
      <w:r>
        <w:rPr>
          <w:sz w:val="24"/>
          <w:szCs w:val="24"/>
        </w:rPr>
        <w:t>314,11</w:t>
      </w:r>
      <w:r w:rsidRPr="004D6CBC">
        <w:rPr>
          <w:sz w:val="24"/>
          <w:szCs w:val="24"/>
        </w:rPr>
        <w:t xml:space="preserve"> per oneri di sicurezza non soggetti a ribasso;</w:t>
      </w:r>
    </w:p>
    <w:p w:rsidR="004D6CBC" w:rsidRPr="004D6CBC" w:rsidRDefault="004D6CBC" w:rsidP="004D6CBC">
      <w:pPr>
        <w:rPr>
          <w:sz w:val="24"/>
          <w:szCs w:val="24"/>
        </w:rPr>
      </w:pPr>
      <w:r w:rsidRPr="004D6CBC">
        <w:rPr>
          <w:sz w:val="24"/>
          <w:szCs w:val="24"/>
        </w:rPr>
        <w:t>-che per il completamento dei lavori in titolo</w:t>
      </w:r>
      <w:r w:rsidRPr="004D6CBC">
        <w:rPr>
          <w:bCs/>
          <w:sz w:val="24"/>
          <w:szCs w:val="24"/>
        </w:rPr>
        <w:t>, </w:t>
      </w:r>
      <w:r w:rsidRPr="004D6CBC">
        <w:rPr>
          <w:sz w:val="24"/>
          <w:szCs w:val="24"/>
        </w:rPr>
        <w:t>allo scopo di migliorare l’intervento e di far fronte alle nuove contingenze verificatesi in corso d’opera per cause impreviste ed imprevedibili nella fase progettuale inerenti la natura e la specificità dell’opera in appalto, occorre eseguire talune lavorazioni non comprese nel contratto e, pertanto, è stata redatta l’acclusa perizia di variante e suppletiva di cui il presente atto  è parte integrante, dell’importo complessivo per lavori  a misura di</w:t>
      </w:r>
      <w:r w:rsidR="00641FC7">
        <w:rPr>
          <w:sz w:val="24"/>
          <w:szCs w:val="24"/>
        </w:rPr>
        <w:t xml:space="preserve">   </w:t>
      </w:r>
      <w:r w:rsidR="00641FC7" w:rsidRPr="00641FC7">
        <w:rPr>
          <w:sz w:val="24"/>
          <w:szCs w:val="24"/>
        </w:rPr>
        <w:t>Є 25.991,69 (di cui € 345,38 non soggetti a ribasso in quanto relativi agli oneri sulla sicurezza), corrispondenti  a netti  € 17.400,15 dedotto il ribasso d’asta del 33,5% e compresi gli oneri stessi</w:t>
      </w:r>
      <w:bookmarkStart w:id="0" w:name="_GoBack"/>
      <w:bookmarkEnd w:id="0"/>
      <w:r w:rsidRPr="004D6CBC">
        <w:rPr>
          <w:sz w:val="24"/>
          <w:szCs w:val="24"/>
        </w:rPr>
        <w:t>;</w:t>
      </w:r>
    </w:p>
    <w:p w:rsidR="0085309E" w:rsidRDefault="004D6CBC" w:rsidP="004D6CBC">
      <w:pPr>
        <w:rPr>
          <w:sz w:val="24"/>
          <w:szCs w:val="24"/>
        </w:rPr>
      </w:pPr>
      <w:r w:rsidRPr="004D6CBC">
        <w:rPr>
          <w:sz w:val="24"/>
          <w:szCs w:val="24"/>
        </w:rPr>
        <w:t xml:space="preserve">-che tale variante trova copertura finanziaria per l'importo di Є </w:t>
      </w:r>
      <w:r w:rsidR="00613299">
        <w:rPr>
          <w:sz w:val="24"/>
          <w:szCs w:val="24"/>
        </w:rPr>
        <w:t>1.91</w:t>
      </w:r>
      <w:r w:rsidR="00FF4573">
        <w:rPr>
          <w:sz w:val="24"/>
          <w:szCs w:val="24"/>
        </w:rPr>
        <w:t>6,23</w:t>
      </w:r>
      <w:r w:rsidR="00613299">
        <w:rPr>
          <w:sz w:val="24"/>
          <w:szCs w:val="24"/>
        </w:rPr>
        <w:t xml:space="preserve"> (pari ad € 1.57</w:t>
      </w:r>
      <w:r w:rsidR="00FF4573">
        <w:rPr>
          <w:sz w:val="24"/>
          <w:szCs w:val="24"/>
        </w:rPr>
        <w:t>0,68 oltre iva 22</w:t>
      </w:r>
      <w:proofErr w:type="gramStart"/>
      <w:r w:rsidR="00FF4573">
        <w:rPr>
          <w:sz w:val="24"/>
          <w:szCs w:val="24"/>
        </w:rPr>
        <w:t xml:space="preserve">% </w:t>
      </w:r>
      <w:r w:rsidR="00613299">
        <w:rPr>
          <w:sz w:val="24"/>
          <w:szCs w:val="24"/>
        </w:rPr>
        <w:t>)</w:t>
      </w:r>
      <w:proofErr w:type="gramEnd"/>
      <w:r w:rsidR="00613299">
        <w:rPr>
          <w:sz w:val="24"/>
          <w:szCs w:val="24"/>
        </w:rPr>
        <w:t xml:space="preserve"> </w:t>
      </w:r>
      <w:r w:rsidRPr="004D6CBC">
        <w:rPr>
          <w:sz w:val="24"/>
          <w:szCs w:val="24"/>
        </w:rPr>
        <w:t xml:space="preserve">nella somma stanziata per l'esecuzione dell'opera in appalto con </w:t>
      </w:r>
      <w:r w:rsidR="0085309E">
        <w:rPr>
          <w:sz w:val="24"/>
          <w:szCs w:val="24"/>
        </w:rPr>
        <w:t>delibera di G.C. n. 2 del 15/01/2019;</w:t>
      </w:r>
    </w:p>
    <w:p w:rsidR="004D6CBC" w:rsidRPr="00961343" w:rsidRDefault="004D6CBC" w:rsidP="004D6CBC">
      <w:pPr>
        <w:rPr>
          <w:b/>
          <w:sz w:val="24"/>
          <w:szCs w:val="24"/>
        </w:rPr>
      </w:pPr>
      <w:r w:rsidRPr="00961343">
        <w:rPr>
          <w:b/>
          <w:bCs/>
          <w:sz w:val="24"/>
          <w:szCs w:val="24"/>
        </w:rPr>
        <w:t>TUTTO CIO’ PREMESSO</w:t>
      </w:r>
    </w:p>
    <w:p w:rsidR="004D6CBC" w:rsidRPr="004D6CBC" w:rsidRDefault="004D6CBC" w:rsidP="004D6CBC">
      <w:pPr>
        <w:rPr>
          <w:sz w:val="24"/>
          <w:szCs w:val="24"/>
        </w:rPr>
      </w:pPr>
      <w:r w:rsidRPr="004D6CBC">
        <w:rPr>
          <w:sz w:val="24"/>
          <w:szCs w:val="24"/>
        </w:rPr>
        <w:t xml:space="preserve">il </w:t>
      </w:r>
      <w:r w:rsidR="00FB32E9">
        <w:rPr>
          <w:sz w:val="24"/>
          <w:szCs w:val="24"/>
        </w:rPr>
        <w:t>dott.</w:t>
      </w:r>
      <w:r w:rsidR="00613299">
        <w:rPr>
          <w:sz w:val="24"/>
          <w:szCs w:val="24"/>
        </w:rPr>
        <w:t xml:space="preserve"> MASSIMO DE VECCHIS</w:t>
      </w:r>
      <w:r w:rsidRPr="004D6CBC">
        <w:rPr>
          <w:sz w:val="24"/>
          <w:szCs w:val="24"/>
        </w:rPr>
        <w:t xml:space="preserve">  nella qualità di </w:t>
      </w:r>
      <w:r w:rsidR="00613299">
        <w:rPr>
          <w:sz w:val="24"/>
          <w:szCs w:val="24"/>
        </w:rPr>
        <w:t xml:space="preserve">legale rappresentante </w:t>
      </w:r>
      <w:r w:rsidRPr="004D6CBC">
        <w:rPr>
          <w:sz w:val="24"/>
          <w:szCs w:val="24"/>
        </w:rPr>
        <w:t xml:space="preserve"> dell’Impresa </w:t>
      </w:r>
      <w:r w:rsidR="00613299" w:rsidRPr="00613299">
        <w:rPr>
          <w:sz w:val="24"/>
          <w:szCs w:val="24"/>
        </w:rPr>
        <w:t xml:space="preserve">GEOSISTEM </w:t>
      </w:r>
      <w:proofErr w:type="spellStart"/>
      <w:r w:rsidR="00613299" w:rsidRPr="00613299">
        <w:rPr>
          <w:sz w:val="24"/>
          <w:szCs w:val="24"/>
        </w:rPr>
        <w:t>srl</w:t>
      </w:r>
      <w:proofErr w:type="spellEnd"/>
      <w:r w:rsidR="00613299" w:rsidRPr="00613299">
        <w:rPr>
          <w:sz w:val="24"/>
          <w:szCs w:val="24"/>
        </w:rPr>
        <w:t xml:space="preserve"> con sede in Ascoli Piceno, Zona </w:t>
      </w:r>
      <w:proofErr w:type="spellStart"/>
      <w:r w:rsidR="00613299" w:rsidRPr="00613299">
        <w:rPr>
          <w:sz w:val="24"/>
          <w:szCs w:val="24"/>
        </w:rPr>
        <w:t>Ind.ale</w:t>
      </w:r>
      <w:proofErr w:type="spellEnd"/>
      <w:r w:rsidR="00613299" w:rsidRPr="00613299">
        <w:rPr>
          <w:sz w:val="24"/>
          <w:szCs w:val="24"/>
        </w:rPr>
        <w:t xml:space="preserve"> Ca</w:t>
      </w:r>
      <w:r w:rsidR="00613299">
        <w:rPr>
          <w:sz w:val="24"/>
          <w:szCs w:val="24"/>
        </w:rPr>
        <w:t xml:space="preserve">mpolungo, </w:t>
      </w:r>
      <w:r w:rsidRPr="004D6CBC">
        <w:rPr>
          <w:sz w:val="24"/>
          <w:szCs w:val="24"/>
        </w:rPr>
        <w:t>presa visione della predetta perizia di variante,</w:t>
      </w:r>
    </w:p>
    <w:p w:rsidR="004D6CBC" w:rsidRPr="004D6CBC" w:rsidRDefault="004D6CBC" w:rsidP="004D6CBC">
      <w:pPr>
        <w:rPr>
          <w:sz w:val="24"/>
          <w:szCs w:val="24"/>
        </w:rPr>
      </w:pPr>
      <w:r w:rsidRPr="00961343">
        <w:rPr>
          <w:b/>
          <w:bCs/>
          <w:sz w:val="24"/>
          <w:szCs w:val="24"/>
        </w:rPr>
        <w:t>DICHIARA E SI OBBLIGA</w:t>
      </w:r>
      <w:r w:rsidRPr="004D6CBC">
        <w:rPr>
          <w:bCs/>
          <w:sz w:val="24"/>
          <w:szCs w:val="24"/>
        </w:rPr>
        <w:br/>
      </w:r>
      <w:r w:rsidRPr="004D6CBC">
        <w:rPr>
          <w:sz w:val="24"/>
          <w:szCs w:val="24"/>
        </w:rPr>
        <w:t>di adempiere a quanto segue:</w:t>
      </w:r>
    </w:p>
    <w:p w:rsidR="004D6CBC" w:rsidRPr="004D6CBC" w:rsidRDefault="004D6CBC" w:rsidP="004D6CBC">
      <w:pPr>
        <w:rPr>
          <w:sz w:val="24"/>
          <w:szCs w:val="24"/>
        </w:rPr>
      </w:pPr>
      <w:r w:rsidRPr="004D6CBC">
        <w:rPr>
          <w:sz w:val="24"/>
          <w:szCs w:val="24"/>
        </w:rPr>
        <w:t>Art. 1</w:t>
      </w:r>
      <w:r w:rsidRPr="004D6CBC">
        <w:rPr>
          <w:sz w:val="24"/>
          <w:szCs w:val="24"/>
        </w:rPr>
        <w:br/>
        <w:t xml:space="preserve">l’Impresa accetta le variazioni tutte apportate al progetto originario secondo quanto previsto nella perizia di variante redatta dall’Ufficio Tecnico di </w:t>
      </w:r>
      <w:r w:rsidR="0085309E">
        <w:rPr>
          <w:sz w:val="24"/>
          <w:szCs w:val="24"/>
        </w:rPr>
        <w:t xml:space="preserve">Castel di Lama </w:t>
      </w:r>
      <w:r w:rsidRPr="004D6CBC">
        <w:rPr>
          <w:sz w:val="24"/>
          <w:szCs w:val="24"/>
        </w:rPr>
        <w:t>e si impegna ad eseguire senza alcuna eccezione di sorta i lavori variativi e le nuove categorie di lavoro contemplati nella perizia di variante prefata agli stess</w:t>
      </w:r>
      <w:r w:rsidR="0085309E">
        <w:rPr>
          <w:sz w:val="24"/>
          <w:szCs w:val="24"/>
        </w:rPr>
        <w:t>i</w:t>
      </w:r>
      <w:r w:rsidR="00613299">
        <w:rPr>
          <w:sz w:val="24"/>
          <w:szCs w:val="24"/>
        </w:rPr>
        <w:t xml:space="preserve"> prezzi, patti e condizioni dell’affidamento originario disposto con la </w:t>
      </w:r>
      <w:r w:rsidR="00613299">
        <w:rPr>
          <w:sz w:val="24"/>
          <w:szCs w:val="24"/>
        </w:rPr>
        <w:lastRenderedPageBreak/>
        <w:t xml:space="preserve">determinazione </w:t>
      </w:r>
      <w:r w:rsidRPr="004D6CBC">
        <w:rPr>
          <w:sz w:val="24"/>
          <w:szCs w:val="24"/>
        </w:rPr>
        <w:t xml:space="preserve"> </w:t>
      </w:r>
      <w:r w:rsidR="00613299" w:rsidRPr="00613299">
        <w:rPr>
          <w:sz w:val="24"/>
          <w:szCs w:val="24"/>
        </w:rPr>
        <w:t xml:space="preserve">171 R.G. del 20 marzo 2019 </w:t>
      </w:r>
      <w:r w:rsidRPr="004D6CBC">
        <w:rPr>
          <w:sz w:val="24"/>
          <w:szCs w:val="24"/>
        </w:rPr>
        <w:t>e secondo gli ulteriori nuovi prezzi di seguito elencati</w:t>
      </w:r>
      <w:r w:rsidR="00613299">
        <w:rPr>
          <w:sz w:val="24"/>
          <w:szCs w:val="24"/>
        </w:rPr>
        <w:t xml:space="preserve">, </w:t>
      </w:r>
      <w:r w:rsidRPr="004D6CBC">
        <w:rPr>
          <w:sz w:val="24"/>
          <w:szCs w:val="24"/>
        </w:rPr>
        <w:t xml:space="preserve">per l’importo complessivo dei lavori </w:t>
      </w:r>
      <w:r w:rsidR="00613299">
        <w:rPr>
          <w:sz w:val="24"/>
          <w:szCs w:val="24"/>
        </w:rPr>
        <w:t xml:space="preserve">indicato tra le premesse, </w:t>
      </w:r>
      <w:r w:rsidRPr="004D6CBC">
        <w:rPr>
          <w:sz w:val="24"/>
          <w:szCs w:val="24"/>
        </w:rPr>
        <w:t xml:space="preserve"> rinunciando altresì ad ogni pretesa di maggiori compensi in qualsiasi forma, tempo e luogo. Pertanto, tutte le norme e prescrizioni del contratto originario e del capitolato speciale di appalto vengono integralmente recepite ed accettate con il presente atto </w:t>
      </w:r>
      <w:r w:rsidR="00613299">
        <w:rPr>
          <w:iCs/>
          <w:sz w:val="24"/>
          <w:szCs w:val="24"/>
        </w:rPr>
        <w:t>per rela</w:t>
      </w:r>
      <w:r w:rsidR="00556DCA">
        <w:rPr>
          <w:iCs/>
          <w:sz w:val="24"/>
          <w:szCs w:val="24"/>
        </w:rPr>
        <w:t>z</w:t>
      </w:r>
      <w:r w:rsidRPr="00613299">
        <w:rPr>
          <w:iCs/>
          <w:sz w:val="24"/>
          <w:szCs w:val="24"/>
        </w:rPr>
        <w:t>ione</w:t>
      </w:r>
      <w:r w:rsidR="00613299">
        <w:rPr>
          <w:iCs/>
          <w:sz w:val="24"/>
          <w:szCs w:val="24"/>
        </w:rPr>
        <w:t>.</w:t>
      </w:r>
    </w:p>
    <w:p w:rsidR="00613299" w:rsidRDefault="004D6CBC" w:rsidP="004D6CBC">
      <w:pPr>
        <w:rPr>
          <w:sz w:val="24"/>
          <w:szCs w:val="24"/>
        </w:rPr>
      </w:pPr>
      <w:r w:rsidRPr="004D6CBC">
        <w:rPr>
          <w:sz w:val="24"/>
          <w:szCs w:val="24"/>
        </w:rPr>
        <w:t>Art. 2</w:t>
      </w:r>
      <w:r w:rsidRPr="004D6CBC">
        <w:rPr>
          <w:sz w:val="24"/>
          <w:szCs w:val="24"/>
        </w:rPr>
        <w:br/>
        <w:t>I lavori oggetto del presente atto di sottomissione saranno pagati per stati di avanzamento secondo le modalità previste dall</w:t>
      </w:r>
      <w:r w:rsidR="00613299">
        <w:rPr>
          <w:sz w:val="24"/>
          <w:szCs w:val="24"/>
        </w:rPr>
        <w:t xml:space="preserve">a convenzione stipulata tra le parti. </w:t>
      </w:r>
    </w:p>
    <w:p w:rsidR="004D6CBC" w:rsidRPr="004D6CBC" w:rsidRDefault="004D6CBC" w:rsidP="004D6CBC">
      <w:pPr>
        <w:rPr>
          <w:sz w:val="24"/>
          <w:szCs w:val="24"/>
        </w:rPr>
      </w:pPr>
      <w:r w:rsidRPr="004D6CBC">
        <w:rPr>
          <w:sz w:val="24"/>
          <w:szCs w:val="24"/>
        </w:rPr>
        <w:t>Art. 3</w:t>
      </w:r>
      <w:r w:rsidRPr="004D6CBC">
        <w:rPr>
          <w:sz w:val="24"/>
          <w:szCs w:val="24"/>
        </w:rPr>
        <w:br/>
        <w:t xml:space="preserve">I lavori relativi al presente atto di sottomissione comportano un aumento di spesa di </w:t>
      </w:r>
      <w:proofErr w:type="gramStart"/>
      <w:r w:rsidRPr="004D6CBC">
        <w:rPr>
          <w:sz w:val="24"/>
          <w:szCs w:val="24"/>
        </w:rPr>
        <w:t xml:space="preserve">nette  </w:t>
      </w:r>
      <w:proofErr w:type="spellStart"/>
      <w:r w:rsidR="00FF4573">
        <w:rPr>
          <w:sz w:val="24"/>
          <w:szCs w:val="24"/>
        </w:rPr>
        <w:t>Є</w:t>
      </w:r>
      <w:proofErr w:type="spellEnd"/>
      <w:proofErr w:type="gramEnd"/>
      <w:r w:rsidR="00FF4573">
        <w:rPr>
          <w:sz w:val="24"/>
          <w:szCs w:val="24"/>
        </w:rPr>
        <w:t xml:space="preserve"> 1.916,23</w:t>
      </w:r>
      <w:r w:rsidR="00961343" w:rsidRPr="00961343">
        <w:rPr>
          <w:sz w:val="24"/>
          <w:szCs w:val="24"/>
        </w:rPr>
        <w:t xml:space="preserve"> </w:t>
      </w:r>
      <w:r w:rsidR="00961343" w:rsidRPr="004D6CBC">
        <w:rPr>
          <w:sz w:val="24"/>
          <w:szCs w:val="24"/>
        </w:rPr>
        <w:t>per lavori a misura</w:t>
      </w:r>
      <w:r w:rsidR="00961343" w:rsidRPr="00961343">
        <w:rPr>
          <w:sz w:val="24"/>
          <w:szCs w:val="24"/>
        </w:rPr>
        <w:t xml:space="preserve"> (pari ad € 1.57</w:t>
      </w:r>
      <w:r w:rsidR="00FF4573">
        <w:rPr>
          <w:sz w:val="24"/>
          <w:szCs w:val="24"/>
        </w:rPr>
        <w:t xml:space="preserve">0,68 </w:t>
      </w:r>
      <w:r w:rsidR="00961343" w:rsidRPr="00961343">
        <w:rPr>
          <w:sz w:val="24"/>
          <w:szCs w:val="24"/>
        </w:rPr>
        <w:t xml:space="preserve">oltre iva 22% </w:t>
      </w:r>
      <w:r w:rsidR="00FF4573">
        <w:rPr>
          <w:sz w:val="24"/>
          <w:szCs w:val="24"/>
        </w:rPr>
        <w:t xml:space="preserve">) </w:t>
      </w:r>
      <w:r w:rsidR="00961343">
        <w:rPr>
          <w:sz w:val="24"/>
          <w:szCs w:val="24"/>
        </w:rPr>
        <w:t xml:space="preserve">rispetto a quelli originari affidati, </w:t>
      </w:r>
      <w:r w:rsidRPr="004D6CBC">
        <w:rPr>
          <w:sz w:val="24"/>
          <w:szCs w:val="24"/>
        </w:rPr>
        <w:t xml:space="preserve">il tutto pari ad un complessivo incremento percentuale del </w:t>
      </w:r>
      <w:r w:rsidR="00961343">
        <w:rPr>
          <w:sz w:val="24"/>
          <w:szCs w:val="24"/>
        </w:rPr>
        <w:t>9,9%</w:t>
      </w:r>
      <w:r w:rsidRPr="004D6CBC">
        <w:rPr>
          <w:sz w:val="24"/>
          <w:szCs w:val="24"/>
        </w:rPr>
        <w:t xml:space="preserve"> contenuto nel </w:t>
      </w:r>
      <w:r w:rsidR="00961343">
        <w:rPr>
          <w:sz w:val="24"/>
          <w:szCs w:val="24"/>
        </w:rPr>
        <w:t>quinto (1/5)</w:t>
      </w:r>
      <w:r w:rsidR="00FF4573">
        <w:rPr>
          <w:sz w:val="24"/>
          <w:szCs w:val="24"/>
        </w:rPr>
        <w:t xml:space="preserve"> d'obbligo contrattuale; </w:t>
      </w:r>
      <w:r w:rsidR="00FF4573" w:rsidRPr="00FF4573">
        <w:rPr>
          <w:sz w:val="24"/>
          <w:szCs w:val="24"/>
        </w:rPr>
        <w:t xml:space="preserve">tale variante trova copertura finanziaria all’interno del finanziamento qui in ordine; </w:t>
      </w:r>
    </w:p>
    <w:p w:rsidR="004D6CBC" w:rsidRPr="004D6CBC" w:rsidRDefault="004D6CBC" w:rsidP="004D6CBC">
      <w:pPr>
        <w:rPr>
          <w:sz w:val="24"/>
          <w:szCs w:val="24"/>
        </w:rPr>
      </w:pPr>
      <w:r w:rsidRPr="004D6CBC">
        <w:rPr>
          <w:sz w:val="24"/>
          <w:szCs w:val="24"/>
        </w:rPr>
        <w:t>Art. 4</w:t>
      </w:r>
      <w:r w:rsidRPr="004D6CBC">
        <w:rPr>
          <w:sz w:val="24"/>
          <w:szCs w:val="24"/>
        </w:rPr>
        <w:br/>
        <w:t xml:space="preserve">Per effetto dei lavori variativi e suppletivi di cui alla perizia di variante in disamina, il tempo utile per l’esecuzione dei lavori </w:t>
      </w:r>
      <w:r w:rsidR="00961343">
        <w:rPr>
          <w:sz w:val="24"/>
          <w:szCs w:val="24"/>
        </w:rPr>
        <w:t xml:space="preserve">resta invariato. </w:t>
      </w:r>
    </w:p>
    <w:p w:rsidR="004D6CBC" w:rsidRPr="004D6CBC" w:rsidRDefault="004D6CBC" w:rsidP="004D6CBC">
      <w:pPr>
        <w:rPr>
          <w:sz w:val="24"/>
          <w:szCs w:val="24"/>
        </w:rPr>
      </w:pPr>
      <w:r w:rsidRPr="004D6CBC">
        <w:rPr>
          <w:sz w:val="24"/>
          <w:szCs w:val="24"/>
        </w:rPr>
        <w:t>Art. 5</w:t>
      </w:r>
      <w:r w:rsidRPr="004D6CBC">
        <w:rPr>
          <w:sz w:val="24"/>
          <w:szCs w:val="24"/>
        </w:rPr>
        <w:br/>
        <w:t>Il presente atto è fin d’ora impegnativo per l’Impresa, mentre lo sarà per la Stazione Appaltante soltanto dopo che siano intervenute le relative approvazioni di legge.</w:t>
      </w:r>
    </w:p>
    <w:p w:rsidR="004D6CBC" w:rsidRPr="004D6CBC" w:rsidRDefault="004D6CBC" w:rsidP="004D6CBC">
      <w:pPr>
        <w:rPr>
          <w:sz w:val="24"/>
          <w:szCs w:val="24"/>
        </w:rPr>
      </w:pPr>
      <w:r w:rsidRPr="004D6CBC">
        <w:rPr>
          <w:sz w:val="24"/>
          <w:szCs w:val="24"/>
        </w:rPr>
        <w:t>Art. 6</w:t>
      </w:r>
      <w:r w:rsidRPr="004D6CBC">
        <w:rPr>
          <w:sz w:val="24"/>
          <w:szCs w:val="24"/>
        </w:rPr>
        <w:br/>
        <w:t>Ai sensi e per gli effetti dell’art. 22 del D.M. 49/2018 vengono concordati i seguenti nuovi prezzi ragguagliati a quelli contrattuali, di cui all'accluso elenco.</w:t>
      </w:r>
    </w:p>
    <w:p w:rsidR="004D6CBC" w:rsidRPr="004D6CBC" w:rsidRDefault="004D6CBC" w:rsidP="004D6CBC">
      <w:pPr>
        <w:rPr>
          <w:sz w:val="24"/>
          <w:szCs w:val="24"/>
        </w:rPr>
      </w:pPr>
      <w:r w:rsidRPr="004D6CBC">
        <w:rPr>
          <w:sz w:val="24"/>
          <w:szCs w:val="24"/>
        </w:rPr>
        <w:t>De che si è redatto il presente atto che previa lettura e conferma viene sottoscritto in segno di accettazione.</w:t>
      </w:r>
    </w:p>
    <w:p w:rsidR="004D6CBC" w:rsidRPr="004D6CBC" w:rsidRDefault="004D6CBC" w:rsidP="004D6CBC">
      <w:pPr>
        <w:rPr>
          <w:sz w:val="24"/>
          <w:szCs w:val="24"/>
        </w:rPr>
      </w:pPr>
      <w:r w:rsidRPr="004D6CBC">
        <w:rPr>
          <w:bCs/>
          <w:i/>
          <w:iCs/>
          <w:sz w:val="24"/>
          <w:szCs w:val="24"/>
        </w:rPr>
        <w:t>(</w:t>
      </w:r>
      <w:proofErr w:type="gramStart"/>
      <w:r w:rsidRPr="004D6CBC">
        <w:rPr>
          <w:bCs/>
          <w:i/>
          <w:iCs/>
          <w:sz w:val="24"/>
          <w:szCs w:val="24"/>
        </w:rPr>
        <w:t>segue</w:t>
      </w:r>
      <w:proofErr w:type="gramEnd"/>
      <w:r w:rsidRPr="004D6CBC">
        <w:rPr>
          <w:bCs/>
          <w:i/>
          <w:iCs/>
          <w:sz w:val="24"/>
          <w:szCs w:val="24"/>
        </w:rPr>
        <w:t xml:space="preserve"> “elenco nuovi prezzi”)</w:t>
      </w:r>
    </w:p>
    <w:p w:rsidR="004D6CBC" w:rsidRDefault="004D6CBC" w:rsidP="004D6CBC">
      <w:pPr>
        <w:rPr>
          <w:sz w:val="24"/>
          <w:szCs w:val="24"/>
        </w:rPr>
      </w:pPr>
    </w:p>
    <w:p w:rsidR="00345E51" w:rsidRDefault="00961343">
      <w:pPr>
        <w:rPr>
          <w:b/>
        </w:rPr>
      </w:pPr>
      <w:r>
        <w:rPr>
          <w:b/>
        </w:rPr>
        <w:t>ELENCO NUO</w:t>
      </w:r>
      <w:r w:rsidR="004D6CBC">
        <w:rPr>
          <w:b/>
        </w:rPr>
        <w:t>VI PREZZI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5"/>
        <w:gridCol w:w="5775"/>
        <w:gridCol w:w="645"/>
        <w:gridCol w:w="984"/>
        <w:gridCol w:w="1109"/>
      </w:tblGrid>
      <w:tr w:rsidR="00345E51" w:rsidTr="00345E51">
        <w:tc>
          <w:tcPr>
            <w:tcW w:w="846" w:type="dxa"/>
          </w:tcPr>
          <w:p w:rsidR="00345E51" w:rsidRPr="00A27274" w:rsidRDefault="00345E51" w:rsidP="00A27274">
            <w:pPr>
              <w:jc w:val="center"/>
              <w:rPr>
                <w:b/>
                <w:sz w:val="24"/>
                <w:szCs w:val="24"/>
              </w:rPr>
            </w:pPr>
            <w:r w:rsidRPr="00A27274">
              <w:rPr>
                <w:b/>
                <w:sz w:val="24"/>
                <w:szCs w:val="24"/>
              </w:rPr>
              <w:t>Codice</w:t>
            </w:r>
          </w:p>
        </w:tc>
        <w:tc>
          <w:tcPr>
            <w:tcW w:w="6053" w:type="dxa"/>
          </w:tcPr>
          <w:p w:rsidR="00345E51" w:rsidRPr="00A27274" w:rsidRDefault="00345E51" w:rsidP="00A27274">
            <w:pPr>
              <w:jc w:val="center"/>
              <w:rPr>
                <w:b/>
                <w:sz w:val="24"/>
                <w:szCs w:val="24"/>
              </w:rPr>
            </w:pPr>
            <w:r w:rsidRPr="00A27274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609" w:type="dxa"/>
          </w:tcPr>
          <w:p w:rsidR="00345E51" w:rsidRPr="00A27274" w:rsidRDefault="00345E51" w:rsidP="00A27274">
            <w:pPr>
              <w:jc w:val="center"/>
              <w:rPr>
                <w:b/>
                <w:sz w:val="24"/>
                <w:szCs w:val="24"/>
              </w:rPr>
            </w:pPr>
            <w:r w:rsidRPr="00A27274">
              <w:rPr>
                <w:b/>
                <w:sz w:val="24"/>
                <w:szCs w:val="24"/>
              </w:rPr>
              <w:t xml:space="preserve">Un. </w:t>
            </w:r>
            <w:proofErr w:type="spellStart"/>
            <w:r w:rsidRPr="00A27274">
              <w:rPr>
                <w:b/>
                <w:sz w:val="24"/>
                <w:szCs w:val="24"/>
              </w:rPr>
              <w:t>Mis</w:t>
            </w:r>
            <w:proofErr w:type="spellEnd"/>
            <w:r w:rsidRPr="00A272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45E51" w:rsidRPr="00A27274" w:rsidRDefault="00345E51" w:rsidP="00A27274">
            <w:pPr>
              <w:jc w:val="center"/>
              <w:rPr>
                <w:b/>
                <w:sz w:val="24"/>
                <w:szCs w:val="24"/>
              </w:rPr>
            </w:pPr>
            <w:r w:rsidRPr="00A27274">
              <w:rPr>
                <w:b/>
                <w:sz w:val="24"/>
                <w:szCs w:val="24"/>
              </w:rPr>
              <w:t>Prezzo</w:t>
            </w:r>
          </w:p>
        </w:tc>
        <w:tc>
          <w:tcPr>
            <w:tcW w:w="1128" w:type="dxa"/>
          </w:tcPr>
          <w:p w:rsidR="00345E51" w:rsidRPr="00345E51" w:rsidRDefault="00345E51" w:rsidP="00A27274">
            <w:pPr>
              <w:jc w:val="center"/>
              <w:rPr>
                <w:b/>
                <w:sz w:val="16"/>
                <w:szCs w:val="16"/>
              </w:rPr>
            </w:pPr>
            <w:r w:rsidRPr="00345E51">
              <w:rPr>
                <w:b/>
                <w:sz w:val="16"/>
                <w:szCs w:val="16"/>
              </w:rPr>
              <w:t>Sicurezza inclusa nel prezzo</w:t>
            </w:r>
          </w:p>
        </w:tc>
      </w:tr>
      <w:tr w:rsidR="00345E51" w:rsidTr="00345E51">
        <w:tc>
          <w:tcPr>
            <w:tcW w:w="846" w:type="dxa"/>
          </w:tcPr>
          <w:p w:rsidR="00345E51" w:rsidRPr="00A27274" w:rsidRDefault="00345E51">
            <w:pPr>
              <w:rPr>
                <w:b/>
                <w:sz w:val="20"/>
                <w:szCs w:val="20"/>
              </w:rPr>
            </w:pPr>
            <w:r w:rsidRPr="00A27274">
              <w:rPr>
                <w:b/>
                <w:sz w:val="20"/>
                <w:szCs w:val="20"/>
              </w:rPr>
              <w:t>01.07.002</w:t>
            </w:r>
            <w:r w:rsidRPr="00A27274">
              <w:rPr>
                <w:b/>
                <w:sz w:val="20"/>
                <w:szCs w:val="20"/>
              </w:rPr>
              <w:tab/>
            </w:r>
          </w:p>
        </w:tc>
        <w:tc>
          <w:tcPr>
            <w:tcW w:w="6053" w:type="dxa"/>
          </w:tcPr>
          <w:p w:rsidR="00345E51" w:rsidRDefault="00345E51">
            <w:pPr>
              <w:rPr>
                <w:b/>
              </w:rPr>
            </w:pPr>
            <w:r w:rsidRPr="00D45588">
              <w:t xml:space="preserve">Determinazione peso specifico apparente del terreno allo stato naturale. Determinazione del peso specifico apparente su provino con diametro minore di mm </w:t>
            </w:r>
            <w:proofErr w:type="gramStart"/>
            <w:r w:rsidRPr="00D45588">
              <w:t>40.</w:t>
            </w:r>
            <w:r w:rsidRPr="00D45588">
              <w:tab/>
            </w:r>
            <w:proofErr w:type="gramEnd"/>
          </w:p>
        </w:tc>
        <w:tc>
          <w:tcPr>
            <w:tcW w:w="609" w:type="dxa"/>
          </w:tcPr>
          <w:p w:rsidR="00345E51" w:rsidRDefault="00345E51">
            <w:pPr>
              <w:rPr>
                <w:b/>
              </w:rPr>
            </w:pPr>
            <w:proofErr w:type="spellStart"/>
            <w:proofErr w:type="gramStart"/>
            <w:r w:rsidRPr="00D45588">
              <w:t>cad</w:t>
            </w:r>
            <w:proofErr w:type="spellEnd"/>
            <w:proofErr w:type="gramEnd"/>
          </w:p>
        </w:tc>
        <w:tc>
          <w:tcPr>
            <w:tcW w:w="992" w:type="dxa"/>
          </w:tcPr>
          <w:p w:rsidR="00345E51" w:rsidRDefault="00345E51">
            <w:pPr>
              <w:rPr>
                <w:b/>
              </w:rPr>
            </w:pPr>
            <w:r w:rsidRPr="00D45588">
              <w:t>11,56</w:t>
            </w:r>
          </w:p>
        </w:tc>
        <w:tc>
          <w:tcPr>
            <w:tcW w:w="1128" w:type="dxa"/>
          </w:tcPr>
          <w:p w:rsidR="00345E51" w:rsidRDefault="00345E51">
            <w:pPr>
              <w:rPr>
                <w:b/>
              </w:rPr>
            </w:pPr>
            <w:r w:rsidRPr="00D45588">
              <w:t>0,16</w:t>
            </w:r>
          </w:p>
        </w:tc>
      </w:tr>
      <w:tr w:rsidR="00345E51" w:rsidTr="00345E51">
        <w:tc>
          <w:tcPr>
            <w:tcW w:w="846" w:type="dxa"/>
          </w:tcPr>
          <w:p w:rsidR="00345E51" w:rsidRDefault="00345E51">
            <w:pPr>
              <w:rPr>
                <w:b/>
              </w:rPr>
            </w:pPr>
            <w:r w:rsidRPr="002A7E8A">
              <w:rPr>
                <w:b/>
              </w:rPr>
              <w:t>01.08.004</w:t>
            </w:r>
          </w:p>
        </w:tc>
        <w:tc>
          <w:tcPr>
            <w:tcW w:w="6053" w:type="dxa"/>
          </w:tcPr>
          <w:p w:rsidR="00345E51" w:rsidRDefault="00345E51">
            <w:pPr>
              <w:rPr>
                <w:b/>
              </w:rPr>
            </w:pPr>
            <w:r w:rsidRPr="002A7E8A">
              <w:t xml:space="preserve">Analisi granulometrica mediante aerometria. Analisi granulometrica mediante aerometria. Sono compresi: la determinazione del peso specifico assoluto; la determinazione della percentuale passante al setaccio ASTM 200 </w:t>
            </w:r>
            <w:proofErr w:type="spellStart"/>
            <w:r w:rsidRPr="002A7E8A">
              <w:t>mesh</w:t>
            </w:r>
            <w:proofErr w:type="spellEnd"/>
            <w:r w:rsidRPr="002A7E8A">
              <w:t xml:space="preserve"> (apertura maglie = mm 0,075). E' inoltre compreso quanto altro occorre per dare l'analisi completa.</w:t>
            </w:r>
          </w:p>
        </w:tc>
        <w:tc>
          <w:tcPr>
            <w:tcW w:w="609" w:type="dxa"/>
          </w:tcPr>
          <w:p w:rsidR="00345E51" w:rsidRDefault="00345E51">
            <w:pPr>
              <w:rPr>
                <w:b/>
              </w:rPr>
            </w:pPr>
            <w:proofErr w:type="spellStart"/>
            <w:proofErr w:type="gramStart"/>
            <w:r w:rsidRPr="002A7E8A">
              <w:t>cad</w:t>
            </w:r>
            <w:proofErr w:type="spellEnd"/>
            <w:proofErr w:type="gramEnd"/>
          </w:p>
        </w:tc>
        <w:tc>
          <w:tcPr>
            <w:tcW w:w="992" w:type="dxa"/>
          </w:tcPr>
          <w:p w:rsidR="00345E51" w:rsidRDefault="00345E51">
            <w:pPr>
              <w:rPr>
                <w:b/>
              </w:rPr>
            </w:pPr>
            <w:r w:rsidRPr="002A7E8A">
              <w:t>87,74</w:t>
            </w:r>
          </w:p>
        </w:tc>
        <w:tc>
          <w:tcPr>
            <w:tcW w:w="1128" w:type="dxa"/>
          </w:tcPr>
          <w:p w:rsidR="00345E51" w:rsidRDefault="00345E51">
            <w:pPr>
              <w:rPr>
                <w:b/>
              </w:rPr>
            </w:pPr>
            <w:r w:rsidRPr="002A7E8A">
              <w:t>1,24</w:t>
            </w:r>
          </w:p>
        </w:tc>
      </w:tr>
      <w:tr w:rsidR="00345E51" w:rsidTr="00345E51">
        <w:tc>
          <w:tcPr>
            <w:tcW w:w="846" w:type="dxa"/>
          </w:tcPr>
          <w:p w:rsidR="00345E51" w:rsidRDefault="00345E51">
            <w:pPr>
              <w:rPr>
                <w:b/>
              </w:rPr>
            </w:pPr>
            <w:r w:rsidRPr="002A7E8A">
              <w:rPr>
                <w:b/>
              </w:rPr>
              <w:t>01.13.001</w:t>
            </w:r>
          </w:p>
          <w:p w:rsidR="00345E51" w:rsidRDefault="00345E51">
            <w:pPr>
              <w:rPr>
                <w:b/>
              </w:rPr>
            </w:pPr>
            <w:r w:rsidRPr="002A7E8A">
              <w:rPr>
                <w:b/>
              </w:rPr>
              <w:t>001</w:t>
            </w:r>
          </w:p>
        </w:tc>
        <w:tc>
          <w:tcPr>
            <w:tcW w:w="6053" w:type="dxa"/>
          </w:tcPr>
          <w:p w:rsidR="00345E51" w:rsidRDefault="00345E51" w:rsidP="00345E51">
            <w:r>
              <w:t>Prova triassiale non consolidata e non drenata. Prova triassiale non consolidata e non drenata (</w:t>
            </w:r>
            <w:proofErr w:type="spellStart"/>
            <w:r>
              <w:t>u.u</w:t>
            </w:r>
            <w:proofErr w:type="spellEnd"/>
            <w:r>
              <w:t xml:space="preserve">.) effettuata su tre provini di diametro minore o uguale a mm 40 ed altezza </w:t>
            </w:r>
            <w:r>
              <w:lastRenderedPageBreak/>
              <w:t xml:space="preserve">minore o uguale a mm 80. E' compreso quanto occorre per dare la prova completa, con la preparazione dei diagrammi sforzi-deformazione e di inviluppo a rottura. Cadauna prova costituita da tre provini. </w:t>
            </w:r>
          </w:p>
          <w:p w:rsidR="00345E51" w:rsidRDefault="00345E51" w:rsidP="00345E51">
            <w:pPr>
              <w:rPr>
                <w:b/>
              </w:rPr>
            </w:pPr>
            <w:r>
              <w:t>Senza saturazione preliminare, per tre provini.</w:t>
            </w:r>
          </w:p>
        </w:tc>
        <w:tc>
          <w:tcPr>
            <w:tcW w:w="609" w:type="dxa"/>
          </w:tcPr>
          <w:p w:rsidR="00345E51" w:rsidRDefault="00A27274">
            <w:pPr>
              <w:rPr>
                <w:b/>
              </w:rPr>
            </w:pPr>
            <w:proofErr w:type="spellStart"/>
            <w:proofErr w:type="gramStart"/>
            <w:r>
              <w:lastRenderedPageBreak/>
              <w:t>cad</w:t>
            </w:r>
            <w:proofErr w:type="spellEnd"/>
            <w:proofErr w:type="gramEnd"/>
          </w:p>
        </w:tc>
        <w:tc>
          <w:tcPr>
            <w:tcW w:w="992" w:type="dxa"/>
          </w:tcPr>
          <w:p w:rsidR="00345E51" w:rsidRDefault="00A27274">
            <w:pPr>
              <w:rPr>
                <w:b/>
              </w:rPr>
            </w:pPr>
            <w:r>
              <w:t>147,00</w:t>
            </w:r>
            <w:r>
              <w:tab/>
            </w:r>
          </w:p>
        </w:tc>
        <w:tc>
          <w:tcPr>
            <w:tcW w:w="1128" w:type="dxa"/>
          </w:tcPr>
          <w:p w:rsidR="00345E51" w:rsidRDefault="00A27274">
            <w:pPr>
              <w:rPr>
                <w:b/>
              </w:rPr>
            </w:pPr>
            <w:r>
              <w:t>2,09</w:t>
            </w:r>
          </w:p>
        </w:tc>
      </w:tr>
      <w:tr w:rsidR="00345E51" w:rsidTr="00345E51">
        <w:tc>
          <w:tcPr>
            <w:tcW w:w="846" w:type="dxa"/>
          </w:tcPr>
          <w:p w:rsidR="00345E51" w:rsidRDefault="00A27274" w:rsidP="00A27274">
            <w:pPr>
              <w:rPr>
                <w:b/>
              </w:rPr>
            </w:pPr>
            <w:r>
              <w:rPr>
                <w:b/>
              </w:rPr>
              <w:t>01.13.001 002</w:t>
            </w:r>
          </w:p>
        </w:tc>
        <w:tc>
          <w:tcPr>
            <w:tcW w:w="6053" w:type="dxa"/>
          </w:tcPr>
          <w:p w:rsidR="00345E51" w:rsidRDefault="00A27274" w:rsidP="008C5B7C">
            <w:pPr>
              <w:rPr>
                <w:b/>
              </w:rPr>
            </w:pPr>
            <w:r w:rsidRPr="008C5B7C">
              <w:t xml:space="preserve">Come alla voce precedente ma con </w:t>
            </w:r>
            <w:r>
              <w:t>saturazione preliminare per mezzo di back pressure, per tre provini.</w:t>
            </w:r>
          </w:p>
        </w:tc>
        <w:tc>
          <w:tcPr>
            <w:tcW w:w="609" w:type="dxa"/>
          </w:tcPr>
          <w:p w:rsidR="00345E51" w:rsidRDefault="00A27274">
            <w:pPr>
              <w:rPr>
                <w:b/>
              </w:rPr>
            </w:pPr>
            <w:proofErr w:type="spellStart"/>
            <w:proofErr w:type="gramStart"/>
            <w:r>
              <w:t>cad</w:t>
            </w:r>
            <w:proofErr w:type="spellEnd"/>
            <w:proofErr w:type="gramEnd"/>
          </w:p>
        </w:tc>
        <w:tc>
          <w:tcPr>
            <w:tcW w:w="992" w:type="dxa"/>
          </w:tcPr>
          <w:p w:rsidR="00345E51" w:rsidRDefault="00A27274">
            <w:pPr>
              <w:rPr>
                <w:b/>
              </w:rPr>
            </w:pPr>
            <w:r>
              <w:t>233,18</w:t>
            </w:r>
          </w:p>
        </w:tc>
        <w:tc>
          <w:tcPr>
            <w:tcW w:w="1128" w:type="dxa"/>
          </w:tcPr>
          <w:p w:rsidR="00345E51" w:rsidRDefault="00A27274">
            <w:pPr>
              <w:rPr>
                <w:b/>
              </w:rPr>
            </w:pPr>
            <w:r>
              <w:t>3,32</w:t>
            </w:r>
          </w:p>
        </w:tc>
      </w:tr>
      <w:tr w:rsidR="00345E51" w:rsidTr="00345E51">
        <w:tc>
          <w:tcPr>
            <w:tcW w:w="846" w:type="dxa"/>
          </w:tcPr>
          <w:p w:rsidR="00345E51" w:rsidRDefault="00A27274">
            <w:pPr>
              <w:rPr>
                <w:b/>
              </w:rPr>
            </w:pPr>
            <w:r w:rsidRPr="00345E51">
              <w:rPr>
                <w:b/>
              </w:rPr>
              <w:t>01.02.001</w:t>
            </w:r>
          </w:p>
        </w:tc>
        <w:tc>
          <w:tcPr>
            <w:tcW w:w="6053" w:type="dxa"/>
          </w:tcPr>
          <w:p w:rsidR="00345E51" w:rsidRDefault="008C5B7C">
            <w:pPr>
              <w:rPr>
                <w:b/>
              </w:rPr>
            </w:pPr>
            <w:r>
              <w:t xml:space="preserve">Prove </w:t>
            </w:r>
            <w:proofErr w:type="spellStart"/>
            <w:r>
              <w:t>penetrometriche</w:t>
            </w:r>
            <w:proofErr w:type="spellEnd"/>
            <w:r>
              <w:t xml:space="preserve"> statiche: </w:t>
            </w:r>
            <w:r w:rsidR="00A27274" w:rsidRPr="00345E51">
              <w:t xml:space="preserve">Trasporto e approntamento delle attrezzature per prova </w:t>
            </w:r>
            <w:proofErr w:type="spellStart"/>
            <w:r w:rsidR="00A27274" w:rsidRPr="00345E51">
              <w:t>penetrometrica</w:t>
            </w:r>
            <w:proofErr w:type="spellEnd"/>
            <w:r w:rsidR="00A27274" w:rsidRPr="00345E51">
              <w:t xml:space="preserve"> statica. Trasporto delle attrezzature per prova </w:t>
            </w:r>
            <w:proofErr w:type="spellStart"/>
            <w:r w:rsidR="00A27274" w:rsidRPr="00345E51">
              <w:t>penetrometrica</w:t>
            </w:r>
            <w:proofErr w:type="spellEnd"/>
            <w:r w:rsidR="00A27274" w:rsidRPr="00345E51">
              <w:t xml:space="preserve"> statica. Sono compresi: il carico, lo scarico; il trasporto di andata e ritorno; l'approntamento delle attrezzatura da t 10-20, per prova </w:t>
            </w:r>
            <w:proofErr w:type="spellStart"/>
            <w:r w:rsidR="00A27274" w:rsidRPr="00345E51">
              <w:t>penetrometrica</w:t>
            </w:r>
            <w:proofErr w:type="spellEnd"/>
            <w:r w:rsidR="00A27274" w:rsidRPr="00345E51">
              <w:t xml:space="preserve"> statica; il personale necessario.</w:t>
            </w:r>
          </w:p>
        </w:tc>
        <w:tc>
          <w:tcPr>
            <w:tcW w:w="609" w:type="dxa"/>
          </w:tcPr>
          <w:p w:rsidR="00345E51" w:rsidRDefault="00A27274">
            <w:pPr>
              <w:rPr>
                <w:b/>
              </w:rPr>
            </w:pPr>
            <w:proofErr w:type="spellStart"/>
            <w:r>
              <w:t>C</w:t>
            </w:r>
            <w:r w:rsidRPr="00345E51">
              <w:t>ad</w:t>
            </w:r>
            <w:proofErr w:type="spellEnd"/>
          </w:p>
        </w:tc>
        <w:tc>
          <w:tcPr>
            <w:tcW w:w="992" w:type="dxa"/>
          </w:tcPr>
          <w:p w:rsidR="00345E51" w:rsidRDefault="00A27274">
            <w:pPr>
              <w:rPr>
                <w:b/>
              </w:rPr>
            </w:pPr>
            <w:r w:rsidRPr="00345E51">
              <w:t>496,12</w:t>
            </w:r>
          </w:p>
        </w:tc>
        <w:tc>
          <w:tcPr>
            <w:tcW w:w="1128" w:type="dxa"/>
          </w:tcPr>
          <w:p w:rsidR="00345E51" w:rsidRDefault="00A27274">
            <w:pPr>
              <w:rPr>
                <w:b/>
              </w:rPr>
            </w:pPr>
            <w:r w:rsidRPr="00345E51">
              <w:t>7,06</w:t>
            </w:r>
          </w:p>
        </w:tc>
      </w:tr>
      <w:tr w:rsidR="00345E51" w:rsidTr="00345E51">
        <w:tc>
          <w:tcPr>
            <w:tcW w:w="846" w:type="dxa"/>
          </w:tcPr>
          <w:p w:rsidR="00345E51" w:rsidRDefault="00A27274">
            <w:pPr>
              <w:rPr>
                <w:b/>
              </w:rPr>
            </w:pPr>
            <w:r>
              <w:rPr>
                <w:b/>
              </w:rPr>
              <w:t>0</w:t>
            </w:r>
            <w:r w:rsidRPr="00345E51">
              <w:rPr>
                <w:b/>
              </w:rPr>
              <w:t>1.02.002</w:t>
            </w:r>
          </w:p>
        </w:tc>
        <w:tc>
          <w:tcPr>
            <w:tcW w:w="6053" w:type="dxa"/>
          </w:tcPr>
          <w:p w:rsidR="00345E51" w:rsidRDefault="008C5B7C">
            <w:pPr>
              <w:rPr>
                <w:b/>
              </w:rPr>
            </w:pPr>
            <w:r w:rsidRPr="008C5B7C">
              <w:t xml:space="preserve">Prove </w:t>
            </w:r>
            <w:proofErr w:type="spellStart"/>
            <w:r w:rsidRPr="008C5B7C">
              <w:t>penetrometriche</w:t>
            </w:r>
            <w:proofErr w:type="spellEnd"/>
            <w:r w:rsidRPr="008C5B7C">
              <w:t xml:space="preserve"> </w:t>
            </w:r>
            <w:proofErr w:type="gramStart"/>
            <w:r w:rsidRPr="008C5B7C">
              <w:t xml:space="preserve">statiche </w:t>
            </w:r>
            <w:r>
              <w:t>:</w:t>
            </w:r>
            <w:proofErr w:type="gramEnd"/>
            <w:r>
              <w:t xml:space="preserve"> </w:t>
            </w:r>
            <w:r w:rsidR="00A27274" w:rsidRPr="00345E51">
              <w:t xml:space="preserve">Installazione delle attrezzature per prova </w:t>
            </w:r>
            <w:proofErr w:type="spellStart"/>
            <w:r w:rsidR="00A27274" w:rsidRPr="00345E51">
              <w:t>penetrometrica</w:t>
            </w:r>
            <w:proofErr w:type="spellEnd"/>
            <w:r w:rsidR="00A27274" w:rsidRPr="00345E51">
              <w:t xml:space="preserve">. Installazione delle attrezzature per prova </w:t>
            </w:r>
            <w:proofErr w:type="spellStart"/>
            <w:r w:rsidR="00A27274" w:rsidRPr="00345E51">
              <w:t>penetrometrica</w:t>
            </w:r>
            <w:proofErr w:type="spellEnd"/>
            <w:r w:rsidR="00A27274" w:rsidRPr="00345E51">
              <w:t xml:space="preserve"> statica, effettuata anche con penetrometro elettrico, su ciascuna verticale di prova da contabilizzare una volta sola per verticale anche nel caso di ripresa di prova dopo </w:t>
            </w:r>
            <w:proofErr w:type="spellStart"/>
            <w:r w:rsidR="00A27274" w:rsidRPr="00345E51">
              <w:t>preforo</w:t>
            </w:r>
            <w:proofErr w:type="spellEnd"/>
            <w:r w:rsidR="00A27274" w:rsidRPr="00345E51">
              <w:t xml:space="preserve">, spostamenti compresi. E' compreso quanto altro occorre per dare l'installazione </w:t>
            </w:r>
            <w:proofErr w:type="gramStart"/>
            <w:r w:rsidR="00A27274" w:rsidRPr="00345E51">
              <w:t>completa.</w:t>
            </w:r>
            <w:r w:rsidR="00A27274" w:rsidRPr="00345E51">
              <w:tab/>
            </w:r>
            <w:proofErr w:type="gramEnd"/>
          </w:p>
        </w:tc>
        <w:tc>
          <w:tcPr>
            <w:tcW w:w="609" w:type="dxa"/>
          </w:tcPr>
          <w:p w:rsidR="00345E51" w:rsidRDefault="00A27274">
            <w:pPr>
              <w:rPr>
                <w:b/>
              </w:rPr>
            </w:pPr>
            <w:proofErr w:type="spellStart"/>
            <w:proofErr w:type="gramStart"/>
            <w:r w:rsidRPr="00345E51">
              <w:t>cad</w:t>
            </w:r>
            <w:proofErr w:type="spellEnd"/>
            <w:proofErr w:type="gramEnd"/>
          </w:p>
        </w:tc>
        <w:tc>
          <w:tcPr>
            <w:tcW w:w="992" w:type="dxa"/>
          </w:tcPr>
          <w:p w:rsidR="00345E51" w:rsidRDefault="00A27274">
            <w:pPr>
              <w:rPr>
                <w:b/>
              </w:rPr>
            </w:pPr>
            <w:r w:rsidRPr="00345E51">
              <w:t>112,46</w:t>
            </w:r>
          </w:p>
        </w:tc>
        <w:tc>
          <w:tcPr>
            <w:tcW w:w="1128" w:type="dxa"/>
          </w:tcPr>
          <w:p w:rsidR="00345E51" w:rsidRDefault="00A27274">
            <w:pPr>
              <w:rPr>
                <w:b/>
              </w:rPr>
            </w:pPr>
            <w:r w:rsidRPr="00345E51">
              <w:t>1,60</w:t>
            </w:r>
          </w:p>
        </w:tc>
      </w:tr>
      <w:tr w:rsidR="00345E51" w:rsidTr="00345E51">
        <w:tc>
          <w:tcPr>
            <w:tcW w:w="846" w:type="dxa"/>
          </w:tcPr>
          <w:p w:rsidR="00345E51" w:rsidRDefault="00A27274">
            <w:pPr>
              <w:rPr>
                <w:b/>
              </w:rPr>
            </w:pPr>
            <w:r w:rsidRPr="00345E51">
              <w:rPr>
                <w:b/>
              </w:rPr>
              <w:t>01.02.003</w:t>
            </w:r>
          </w:p>
        </w:tc>
        <w:tc>
          <w:tcPr>
            <w:tcW w:w="6053" w:type="dxa"/>
          </w:tcPr>
          <w:p w:rsidR="00345E51" w:rsidRDefault="00A27274">
            <w:pPr>
              <w:rPr>
                <w:b/>
              </w:rPr>
            </w:pPr>
            <w:r w:rsidRPr="00345E51">
              <w:t xml:space="preserve">Prova </w:t>
            </w:r>
            <w:proofErr w:type="spellStart"/>
            <w:r w:rsidRPr="00345E51">
              <w:t>penetrometrica</w:t>
            </w:r>
            <w:proofErr w:type="spellEnd"/>
            <w:r w:rsidRPr="00345E51">
              <w:t xml:space="preserve"> statica. Prova </w:t>
            </w:r>
            <w:proofErr w:type="spellStart"/>
            <w:r w:rsidRPr="00345E51">
              <w:t>penetrometrica</w:t>
            </w:r>
            <w:proofErr w:type="spellEnd"/>
            <w:r w:rsidRPr="00345E51">
              <w:t xml:space="preserve"> statica fino alla profondità richiesta o fino al rifiuto. E' compreso quanto occorre per dare la prova completa.</w:t>
            </w:r>
          </w:p>
        </w:tc>
        <w:tc>
          <w:tcPr>
            <w:tcW w:w="609" w:type="dxa"/>
          </w:tcPr>
          <w:p w:rsidR="00345E51" w:rsidRDefault="00A27274">
            <w:pPr>
              <w:rPr>
                <w:b/>
              </w:rPr>
            </w:pPr>
            <w:proofErr w:type="gramStart"/>
            <w:r w:rsidRPr="00345E51">
              <w:t>m</w:t>
            </w:r>
            <w:proofErr w:type="gramEnd"/>
          </w:p>
        </w:tc>
        <w:tc>
          <w:tcPr>
            <w:tcW w:w="992" w:type="dxa"/>
          </w:tcPr>
          <w:p w:rsidR="00345E51" w:rsidRDefault="00A27274">
            <w:pPr>
              <w:rPr>
                <w:b/>
              </w:rPr>
            </w:pPr>
            <w:r w:rsidRPr="00345E51">
              <w:t>16,54</w:t>
            </w:r>
          </w:p>
        </w:tc>
        <w:tc>
          <w:tcPr>
            <w:tcW w:w="1128" w:type="dxa"/>
          </w:tcPr>
          <w:p w:rsidR="00345E51" w:rsidRDefault="00A27274">
            <w:pPr>
              <w:rPr>
                <w:b/>
              </w:rPr>
            </w:pPr>
            <w:r w:rsidRPr="00345E51">
              <w:t>0,24</w:t>
            </w:r>
          </w:p>
        </w:tc>
      </w:tr>
    </w:tbl>
    <w:p w:rsidR="00345E51" w:rsidRDefault="00345E51">
      <w:pPr>
        <w:rPr>
          <w:b/>
        </w:rPr>
      </w:pPr>
    </w:p>
    <w:p w:rsidR="00961343" w:rsidRDefault="004D6CBC" w:rsidP="004D6CBC">
      <w:r w:rsidRPr="004D6CBC">
        <w:t>L’Esecutore ........................................</w:t>
      </w:r>
    </w:p>
    <w:p w:rsidR="00961343" w:rsidRDefault="004D6CBC" w:rsidP="004D6CBC">
      <w:r w:rsidRPr="004D6CBC">
        <w:br/>
        <w:t>Il Direttore dei Lavori ........................................</w:t>
      </w:r>
    </w:p>
    <w:p w:rsidR="004D6CBC" w:rsidRPr="004D6CBC" w:rsidRDefault="004D6CBC" w:rsidP="004D6CBC">
      <w:r w:rsidRPr="004D6CBC">
        <w:br/>
      </w:r>
      <w:proofErr w:type="gramStart"/>
      <w:r w:rsidRPr="004D6CBC">
        <w:t>il</w:t>
      </w:r>
      <w:proofErr w:type="gramEnd"/>
      <w:r w:rsidRPr="004D6CBC">
        <w:t xml:space="preserve"> Responsabile del procedimento ........................................</w:t>
      </w:r>
    </w:p>
    <w:p w:rsidR="002A7E8A" w:rsidRDefault="002A7E8A" w:rsidP="002A7E8A"/>
    <w:p w:rsidR="002A7E8A" w:rsidRDefault="002A7E8A" w:rsidP="002A7E8A">
      <w:r>
        <w:t xml:space="preserve">                                                                                                                           </w:t>
      </w:r>
      <w:r>
        <w:tab/>
      </w:r>
      <w:r>
        <w:tab/>
        <w:t xml:space="preserve">    </w:t>
      </w:r>
    </w:p>
    <w:p w:rsidR="00345E51" w:rsidRDefault="00345E51" w:rsidP="002A7E8A"/>
    <w:p w:rsidR="00345E51" w:rsidRDefault="00345E51" w:rsidP="002A7E8A">
      <w:r w:rsidRPr="00345E51">
        <w:tab/>
      </w:r>
      <w:r w:rsidRPr="00345E51">
        <w:tab/>
      </w:r>
      <w:r w:rsidRPr="00345E51">
        <w:tab/>
      </w:r>
      <w:r>
        <w:t xml:space="preserve">                                                                    </w:t>
      </w:r>
      <w:r w:rsidRPr="00345E51">
        <w:tab/>
      </w:r>
      <w:r w:rsidRPr="00345E51">
        <w:tab/>
      </w:r>
      <w:r w:rsidRPr="00345E51">
        <w:tab/>
      </w:r>
    </w:p>
    <w:p w:rsidR="00345E51" w:rsidRDefault="00345E51" w:rsidP="002A7E8A"/>
    <w:p w:rsidR="00345E51" w:rsidRDefault="00345E51" w:rsidP="002A7E8A">
      <w:r w:rsidRPr="00345E51">
        <w:tab/>
      </w:r>
      <w:r w:rsidRPr="00345E51">
        <w:tab/>
      </w:r>
    </w:p>
    <w:p w:rsidR="00345E51" w:rsidRDefault="00345E51" w:rsidP="002A7E8A">
      <w:r>
        <w:t xml:space="preserve">                                                                                                                          </w:t>
      </w:r>
      <w:r w:rsidRPr="00345E51">
        <w:tab/>
      </w:r>
      <w:r w:rsidRPr="00345E51">
        <w:tab/>
      </w:r>
      <w:r w:rsidRPr="00345E51">
        <w:tab/>
      </w:r>
    </w:p>
    <w:p w:rsidR="00345E51" w:rsidRDefault="00345E51" w:rsidP="002A7E8A"/>
    <w:p w:rsidR="00345E51" w:rsidRDefault="00345E51" w:rsidP="002A7E8A">
      <w:r w:rsidRPr="00345E51">
        <w:tab/>
      </w:r>
      <w:r w:rsidRPr="00345E51">
        <w:tab/>
      </w:r>
      <w:r w:rsidRPr="00345E51">
        <w:tab/>
      </w:r>
    </w:p>
    <w:p w:rsidR="00345E51" w:rsidRDefault="00345E51" w:rsidP="002A7E8A">
      <w:r>
        <w:t xml:space="preserve">                                                                                                                           </w:t>
      </w:r>
      <w:r w:rsidRPr="00345E51">
        <w:tab/>
      </w:r>
      <w:r w:rsidRPr="00345E51">
        <w:tab/>
      </w:r>
      <w:r w:rsidRPr="00345E51">
        <w:tab/>
      </w:r>
    </w:p>
    <w:sectPr w:rsidR="00345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88"/>
    <w:rsid w:val="002A7E8A"/>
    <w:rsid w:val="00326BBA"/>
    <w:rsid w:val="00345E51"/>
    <w:rsid w:val="004D6CBC"/>
    <w:rsid w:val="00556DCA"/>
    <w:rsid w:val="00613299"/>
    <w:rsid w:val="00641FC7"/>
    <w:rsid w:val="0085309E"/>
    <w:rsid w:val="008C5B7C"/>
    <w:rsid w:val="00943DC8"/>
    <w:rsid w:val="00961343"/>
    <w:rsid w:val="00A27274"/>
    <w:rsid w:val="00C134F3"/>
    <w:rsid w:val="00D45588"/>
    <w:rsid w:val="00DB3C8D"/>
    <w:rsid w:val="00FB32E9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11883-8B22-4F82-AAEC-38166A0F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Tommaso.Cavezzi</dc:creator>
  <cp:keywords/>
  <dc:description/>
  <cp:lastModifiedBy>Tommaso.Cavezzi</cp:lastModifiedBy>
  <cp:revision>10</cp:revision>
  <dcterms:created xsi:type="dcterms:W3CDTF">2019-06-12T09:36:00Z</dcterms:created>
  <dcterms:modified xsi:type="dcterms:W3CDTF">2019-06-14T08:45:00Z</dcterms:modified>
</cp:coreProperties>
</file>