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6ED70" w14:textId="77777777" w:rsidR="005149BD" w:rsidRDefault="005149BD">
      <w:pPr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61AFA50C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i/>
          <w:color w:val="000000"/>
          <w:sz w:val="36"/>
          <w:szCs w:val="36"/>
        </w:rPr>
        <w:t>Allegato A - disciplinare</w:t>
      </w:r>
    </w:p>
    <w:p w14:paraId="2A5BA284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18765DAC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FF46069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D235637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FAF4D0E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32BDA18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45A938E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1DB50FB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5BE6EF8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5B40C5E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74B37C3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BA6DD7F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B8C5109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10DC8DE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8DFDD91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F43D33F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80"/>
        <w:gridCol w:w="9279"/>
      </w:tblGrid>
      <w:tr w:rsidR="005149BD" w14:paraId="3784C366" w14:textId="77777777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80C1458" w14:textId="77777777" w:rsidR="005149BD" w:rsidRDefault="005149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-360" w:right="-340" w:firstLine="360"/>
              <w:rPr>
                <w:rFonts w:ascii="Arial" w:eastAsia="Arial" w:hAnsi="Arial" w:cs="Arial"/>
                <w:color w:val="000000"/>
                <w:u w:val="single"/>
              </w:rPr>
            </w:pPr>
          </w:p>
        </w:tc>
        <w:tc>
          <w:tcPr>
            <w:tcW w:w="9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75427F" w14:textId="77777777" w:rsidR="005149BD" w:rsidRDefault="0020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56"/>
                <w:szCs w:val="56"/>
              </w:rPr>
            </w:pPr>
            <w:bookmarkStart w:id="0" w:name="_Hlk36643369"/>
            <w:r>
              <w:rPr>
                <w:rFonts w:ascii="Arial" w:eastAsia="Arial" w:hAnsi="Arial" w:cs="Arial"/>
                <w:b/>
                <w:color w:val="000000"/>
                <w:sz w:val="56"/>
                <w:szCs w:val="56"/>
              </w:rPr>
              <w:t>DISCIPLINARE PER LA CONCESSIONE DEL BUONO SPESA DI CUI ALL’OCDPC N. 658 DEL 29/03/2020</w:t>
            </w:r>
            <w:bookmarkEnd w:id="0"/>
          </w:p>
        </w:tc>
      </w:tr>
      <w:tr w:rsidR="005149BD" w14:paraId="04E8150E" w14:textId="77777777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901E8" w14:textId="77777777" w:rsidR="005149BD" w:rsidRDefault="00514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ADB2A07" w14:textId="77777777" w:rsidR="005149BD" w:rsidRDefault="00514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</w:tbl>
    <w:p w14:paraId="567C6AA3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E13E406" w14:textId="77777777" w:rsidR="005149BD" w:rsidRDefault="002055C7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14:paraId="5C1FC133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ab/>
        <w:t>I N D I C E</w:t>
      </w:r>
    </w:p>
    <w:p w14:paraId="4943A7A8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highlight w:val="green"/>
        </w:rPr>
      </w:pPr>
    </w:p>
    <w:p w14:paraId="4383A19C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2BDBC5C0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1 – Oggetto</w:t>
      </w:r>
    </w:p>
    <w:p w14:paraId="293E15B1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2 – Definizioni</w:t>
      </w:r>
    </w:p>
    <w:p w14:paraId="4DD2F0F4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3 – Importo del buono spesa</w:t>
      </w:r>
    </w:p>
    <w:p w14:paraId="3072AFB0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4 – Modalità di concessione del buono spesa ed individuazione dei beneficiari</w:t>
      </w:r>
    </w:p>
    <w:p w14:paraId="3ACAADC2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5 – Procedura per la concessione del buono spesa</w:t>
      </w:r>
    </w:p>
    <w:p w14:paraId="0C78B582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6 – Modalità di utilizzo del buono spesa</w:t>
      </w:r>
    </w:p>
    <w:p w14:paraId="0DD80164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7 – Verifica dell’utilizzo del buono</w:t>
      </w:r>
    </w:p>
    <w:p w14:paraId="32B9FF8B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8 – Rapporti con gli eserc</w:t>
      </w:r>
      <w:r>
        <w:rPr>
          <w:rFonts w:ascii="Arial" w:eastAsia="Arial" w:hAnsi="Arial" w:cs="Arial"/>
          <w:color w:val="000000"/>
          <w:sz w:val="24"/>
          <w:szCs w:val="24"/>
        </w:rPr>
        <w:t>izi commerciali</w:t>
      </w:r>
    </w:p>
    <w:p w14:paraId="248D4367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9 – Adempimenti in materia di pubblicità, trasparenza e Informazione e rapporto con la tutela della riservatezza</w:t>
      </w:r>
    </w:p>
    <w:p w14:paraId="5A5F79F8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10 - Disposizioni finali</w:t>
      </w:r>
    </w:p>
    <w:p w14:paraId="1BD6F7BD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20EABC91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6850D546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14:paraId="0012CD07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Art. 1 – Oggetto</w:t>
      </w:r>
      <w:bookmarkStart w:id="1" w:name="_GoBack"/>
      <w:bookmarkEnd w:id="1"/>
    </w:p>
    <w:p w14:paraId="6C503CEA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D3DBFC3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Il presente disciplinare </w:t>
      </w:r>
      <w:r>
        <w:rPr>
          <w:rFonts w:ascii="Arial" w:eastAsia="Arial" w:hAnsi="Arial" w:cs="Arial"/>
          <w:color w:val="000000"/>
          <w:sz w:val="24"/>
          <w:szCs w:val="24"/>
        </w:rPr>
        <w:t>regola i criteri e le modalità per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la concessione dei buoni spesa di cui all’Ordinanza del Capo del Dipartimento della Protezione Civile n. 658 del 29/03/2020, adottata al fine di fronteggiare i bisogni alimentari dei nuclei fam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iliari privi della possibilità di approvvigionarsi di generi di prima necessità, a causa dell’emergenza derivante dall’epidemia COVID-19. </w:t>
      </w:r>
    </w:p>
    <w:p w14:paraId="24F292E7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Le disposizioni del presente disciplinare costituiscono quadro attuativo degli elementi di principio stabiliti dal</w:t>
      </w:r>
      <w:r>
        <w:rPr>
          <w:rFonts w:ascii="Arial" w:eastAsia="Arial" w:hAnsi="Arial" w:cs="Arial"/>
          <w:color w:val="000000"/>
          <w:sz w:val="24"/>
          <w:szCs w:val="24"/>
        </w:rPr>
        <w:t>l’art. 12 della legge 241/1990 e degli obblighi di pubblicità stabiliti dagli artt. 26 e 27 del d.lgs. 33/2013.</w:t>
      </w:r>
    </w:p>
    <w:p w14:paraId="08FA7373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0B2BB9DA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2 – Definizioni</w:t>
      </w:r>
    </w:p>
    <w:p w14:paraId="2785A714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D677DA9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Ai fini del presente regolamento si intendono:</w:t>
      </w:r>
    </w:p>
    <w:p w14:paraId="164C9C9B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per “generi alimentari” si intendono i soli prodotti alimentari, esclusi alcolici e superalcolici.</w:t>
      </w:r>
    </w:p>
    <w:p w14:paraId="1420A27B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per “prodotti di prima necessità” si intendono i prodotti per l’igiene personale - ivi compresi pannolini, pannoloni, assorbenti – e prodotti per l’igi</w:t>
      </w:r>
      <w:r>
        <w:rPr>
          <w:rFonts w:ascii="Arial" w:eastAsia="Arial" w:hAnsi="Arial" w:cs="Arial"/>
          <w:sz w:val="24"/>
          <w:szCs w:val="24"/>
        </w:rPr>
        <w:t>ene della casa</w:t>
      </w:r>
    </w:p>
    <w:p w14:paraId="4305F6B1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per “soggetti beneficiari”, le persone fisiche in possesso dei requisiti di cui all’art. 4 del presente disciplinare;</w:t>
      </w:r>
    </w:p>
    <w:p w14:paraId="56D5AC02" w14:textId="3C4CB356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per “buono spesa,” il titolo spendibile negli esercizi commerciali aderenti nel Comune di C</w:t>
      </w:r>
      <w:r w:rsidR="0068576A">
        <w:rPr>
          <w:rFonts w:ascii="Arial" w:eastAsia="Arial" w:hAnsi="Arial" w:cs="Arial"/>
          <w:sz w:val="24"/>
          <w:szCs w:val="24"/>
        </w:rPr>
        <w:t>ASTEL DI LAMA</w:t>
      </w:r>
      <w:r>
        <w:rPr>
          <w:rFonts w:ascii="Arial" w:eastAsia="Arial" w:hAnsi="Arial" w:cs="Arial"/>
          <w:sz w:val="24"/>
          <w:szCs w:val="24"/>
        </w:rPr>
        <w:t xml:space="preserve"> pubblicati sul s</w:t>
      </w:r>
      <w:r>
        <w:rPr>
          <w:rFonts w:ascii="Arial" w:eastAsia="Arial" w:hAnsi="Arial" w:cs="Arial"/>
          <w:sz w:val="24"/>
          <w:szCs w:val="24"/>
        </w:rPr>
        <w:t>ito internet comunale;</w:t>
      </w:r>
    </w:p>
    <w:p w14:paraId="5E349C0C" w14:textId="161D1B24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 per “servizi sociali”, l’ATS XXIII, ente d’ambito gestore dei servizi sociali e l’ufficio servizi sociali del Comune</w:t>
      </w:r>
      <w:r w:rsidR="0068576A">
        <w:rPr>
          <w:rFonts w:ascii="Arial" w:eastAsia="Arial" w:hAnsi="Arial" w:cs="Arial"/>
          <w:sz w:val="24"/>
          <w:szCs w:val="24"/>
        </w:rPr>
        <w:t xml:space="preserve"> di Castel di Lama</w:t>
      </w:r>
    </w:p>
    <w:p w14:paraId="2353519A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E6E413C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3 – Importo del buono spesa</w:t>
      </w:r>
    </w:p>
    <w:p w14:paraId="76C96ECA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8AC2CFA" w14:textId="6588BBC3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2" w:name="_gjdgxs" w:colFirst="0" w:colLast="0"/>
      <w:bookmarkEnd w:id="2"/>
      <w:r>
        <w:rPr>
          <w:rFonts w:ascii="Arial" w:eastAsia="Arial" w:hAnsi="Arial" w:cs="Arial"/>
          <w:sz w:val="24"/>
          <w:szCs w:val="24"/>
        </w:rPr>
        <w:t>1.L’erogazione dei buoni spesa, del valore nominale di €. 25,00 ciascuno,</w:t>
      </w:r>
      <w:r>
        <w:rPr>
          <w:rFonts w:ascii="Arial" w:eastAsia="Arial" w:hAnsi="Arial" w:cs="Arial"/>
          <w:sz w:val="24"/>
          <w:szCs w:val="24"/>
        </w:rPr>
        <w:t xml:space="preserve"> è </w:t>
      </w:r>
      <w:r>
        <w:rPr>
          <w:rFonts w:ascii="Arial" w:eastAsia="Arial" w:hAnsi="Arial" w:cs="Arial"/>
          <w:i/>
          <w:sz w:val="24"/>
          <w:szCs w:val="24"/>
        </w:rPr>
        <w:t>una tantum</w:t>
      </w:r>
      <w:r>
        <w:rPr>
          <w:rFonts w:ascii="Arial" w:eastAsia="Arial" w:hAnsi="Arial" w:cs="Arial"/>
          <w:sz w:val="24"/>
          <w:szCs w:val="24"/>
        </w:rPr>
        <w:t xml:space="preserve"> e l’importo complessivo massimo spettante a ciascun nucleo familiare avente diritto è determinato come segue:</w:t>
      </w:r>
    </w:p>
    <w:p w14:paraId="70463461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5149BD" w14:paraId="622C00F2" w14:textId="77777777">
        <w:tc>
          <w:tcPr>
            <w:tcW w:w="4889" w:type="dxa"/>
          </w:tcPr>
          <w:p w14:paraId="50546AF8" w14:textId="77777777" w:rsidR="005149BD" w:rsidRDefault="0020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COMPOSIZIONE DEL NUCLEO FAMILIARE</w:t>
            </w:r>
          </w:p>
        </w:tc>
        <w:tc>
          <w:tcPr>
            <w:tcW w:w="4889" w:type="dxa"/>
          </w:tcPr>
          <w:p w14:paraId="51987E24" w14:textId="77777777" w:rsidR="005149BD" w:rsidRDefault="0020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IMPORTO</w:t>
            </w:r>
          </w:p>
        </w:tc>
      </w:tr>
      <w:tr w:rsidR="005149BD" w14:paraId="07C55172" w14:textId="77777777">
        <w:tc>
          <w:tcPr>
            <w:tcW w:w="4889" w:type="dxa"/>
          </w:tcPr>
          <w:p w14:paraId="4D2D23E6" w14:textId="77777777" w:rsidR="005149BD" w:rsidRDefault="0020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NUCLEI con 1 persona </w:t>
            </w:r>
          </w:p>
        </w:tc>
        <w:tc>
          <w:tcPr>
            <w:tcW w:w="4889" w:type="dxa"/>
          </w:tcPr>
          <w:p w14:paraId="57C6FC2E" w14:textId="77777777" w:rsidR="005149BD" w:rsidRDefault="0020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€ 175,00</w:t>
            </w:r>
          </w:p>
        </w:tc>
      </w:tr>
      <w:tr w:rsidR="005149BD" w14:paraId="5CE9AB02" w14:textId="77777777">
        <w:tc>
          <w:tcPr>
            <w:tcW w:w="4889" w:type="dxa"/>
          </w:tcPr>
          <w:p w14:paraId="37D248FF" w14:textId="77777777" w:rsidR="005149BD" w:rsidRDefault="0020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NUCLEI con 2 persone </w:t>
            </w:r>
          </w:p>
        </w:tc>
        <w:tc>
          <w:tcPr>
            <w:tcW w:w="4889" w:type="dxa"/>
          </w:tcPr>
          <w:p w14:paraId="19473C86" w14:textId="77777777" w:rsidR="005149BD" w:rsidRDefault="0020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€ 275,00</w:t>
            </w:r>
          </w:p>
        </w:tc>
      </w:tr>
      <w:tr w:rsidR="005149BD" w14:paraId="0D5FEE3B" w14:textId="77777777">
        <w:tc>
          <w:tcPr>
            <w:tcW w:w="4889" w:type="dxa"/>
          </w:tcPr>
          <w:p w14:paraId="0B524CC3" w14:textId="77777777" w:rsidR="005149BD" w:rsidRDefault="0020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NUCLEI con 3 persone</w:t>
            </w:r>
          </w:p>
        </w:tc>
        <w:tc>
          <w:tcPr>
            <w:tcW w:w="4889" w:type="dxa"/>
          </w:tcPr>
          <w:p w14:paraId="6F5790EE" w14:textId="77777777" w:rsidR="005149BD" w:rsidRDefault="0020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€. 325,00</w:t>
            </w:r>
          </w:p>
        </w:tc>
      </w:tr>
      <w:tr w:rsidR="005149BD" w14:paraId="71CA5926" w14:textId="77777777">
        <w:tc>
          <w:tcPr>
            <w:tcW w:w="4889" w:type="dxa"/>
          </w:tcPr>
          <w:p w14:paraId="3442F2F9" w14:textId="77777777" w:rsidR="005149BD" w:rsidRDefault="0020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NUCLEI con 4 persone</w:t>
            </w:r>
          </w:p>
        </w:tc>
        <w:tc>
          <w:tcPr>
            <w:tcW w:w="4889" w:type="dxa"/>
          </w:tcPr>
          <w:p w14:paraId="07701460" w14:textId="77777777" w:rsidR="005149BD" w:rsidRDefault="0020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€. 375,00</w:t>
            </w:r>
          </w:p>
        </w:tc>
      </w:tr>
      <w:tr w:rsidR="005149BD" w14:paraId="21260BEF" w14:textId="77777777">
        <w:tc>
          <w:tcPr>
            <w:tcW w:w="4889" w:type="dxa"/>
          </w:tcPr>
          <w:p w14:paraId="7ACB026F" w14:textId="77777777" w:rsidR="005149BD" w:rsidRDefault="0020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Nuclei con 5 persone o più</w:t>
            </w:r>
          </w:p>
        </w:tc>
        <w:tc>
          <w:tcPr>
            <w:tcW w:w="4889" w:type="dxa"/>
          </w:tcPr>
          <w:p w14:paraId="59295170" w14:textId="77777777" w:rsidR="005149BD" w:rsidRDefault="0020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€ 425,00</w:t>
            </w:r>
          </w:p>
        </w:tc>
      </w:tr>
    </w:tbl>
    <w:p w14:paraId="4BA485EC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1B28E1F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 buoni spesa vengono assegnati con priorità ai nuclei familiari non già assegnatari di sostegno pubblico, come disposto all’articolo 2 comma 6 dell’OCDPC n. 654 del 29/03/2020.</w:t>
      </w:r>
    </w:p>
    <w:p w14:paraId="3A02F781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Una volta soddisfatti gli aventi diritto con priorità si procederà a ripartire</w:t>
      </w:r>
      <w:r>
        <w:rPr>
          <w:rFonts w:ascii="Arial" w:eastAsia="Arial" w:hAnsi="Arial" w:cs="Arial"/>
          <w:sz w:val="24"/>
          <w:szCs w:val="24"/>
        </w:rPr>
        <w:t xml:space="preserve"> i buoni residui tra gli altri aventi diritto, riproporzionando, eventualmente, gli importi di cui in tabella nel caso di domande ammissibili complessivamente di importo superiore alla somma residua a disposizione del Comune.</w:t>
      </w:r>
    </w:p>
    <w:p w14:paraId="1EDDEB35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295047B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Art. 4 – Modalità di concessione del buono spesa ed individuazione dei beneficiari</w:t>
      </w:r>
    </w:p>
    <w:p w14:paraId="69D9AD4F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EDAAC9A" w14:textId="77777777" w:rsidR="005149BD" w:rsidRDefault="002055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 beneficiari sono individuati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su istanza di parte</w:t>
      </w:r>
      <w:r>
        <w:rPr>
          <w:rFonts w:ascii="Arial" w:eastAsia="Arial" w:hAnsi="Arial" w:cs="Arial"/>
          <w:color w:val="000000"/>
          <w:sz w:val="24"/>
          <w:szCs w:val="24"/>
        </w:rPr>
        <w:t>, in coerenza ai principi definiti dall’OCDPC n. 658 del 29/03/2020 e, pertanto, tenendo conto dei nuclei familiari più e</w:t>
      </w:r>
      <w:r>
        <w:rPr>
          <w:rFonts w:ascii="Arial" w:eastAsia="Arial" w:hAnsi="Arial" w:cs="Arial"/>
          <w:color w:val="000000"/>
          <w:sz w:val="24"/>
          <w:szCs w:val="24"/>
        </w:rPr>
        <w:t>sposti ai rischi economici derivanti dall’emergenza epidemiologica da virus COVID-19; e di quanto di cui al presente disciplinare.</w:t>
      </w:r>
    </w:p>
    <w:p w14:paraId="061C8849" w14:textId="59BDA616" w:rsidR="005149BD" w:rsidRPr="00517FCE" w:rsidRDefault="002055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17FCE">
        <w:rPr>
          <w:rFonts w:ascii="Arial" w:eastAsia="Arial" w:hAnsi="Arial" w:cs="Arial"/>
          <w:color w:val="000000"/>
          <w:sz w:val="24"/>
          <w:szCs w:val="24"/>
        </w:rPr>
        <w:t xml:space="preserve">Per poter presentare istanza è necessario avere la residenza anagrafica nel Comune di </w:t>
      </w:r>
      <w:r w:rsidR="00517FCE" w:rsidRPr="00517FCE">
        <w:rPr>
          <w:rFonts w:ascii="Arial" w:eastAsia="Arial" w:hAnsi="Arial" w:cs="Arial"/>
          <w:color w:val="000000"/>
          <w:sz w:val="24"/>
          <w:szCs w:val="24"/>
        </w:rPr>
        <w:t>Castel di Lama.</w:t>
      </w:r>
    </w:p>
    <w:p w14:paraId="0FA5010F" w14:textId="77777777" w:rsidR="005149BD" w:rsidRDefault="002055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Ai fini dell’assegnazione dei buoni spesa, è la presentazione di una autocertificazione ai sensi del D.P.R. n. 445/2000 in cui si dichiari:</w:t>
      </w:r>
    </w:p>
    <w:p w14:paraId="48265A31" w14:textId="03F7103C" w:rsidR="005149BD" w:rsidRPr="00517FCE" w:rsidRDefault="002055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517FCE">
        <w:rPr>
          <w:rFonts w:ascii="Arial" w:eastAsia="Arial" w:hAnsi="Arial" w:cs="Arial"/>
          <w:color w:val="000000"/>
          <w:sz w:val="24"/>
          <w:szCs w:val="24"/>
        </w:rPr>
        <w:t xml:space="preserve">Di essere residente nel Comune di </w:t>
      </w:r>
      <w:r w:rsidR="00517FCE" w:rsidRPr="00517FCE">
        <w:rPr>
          <w:rFonts w:ascii="Arial" w:eastAsia="Arial" w:hAnsi="Arial" w:cs="Arial"/>
          <w:color w:val="000000"/>
          <w:sz w:val="24"/>
          <w:szCs w:val="24"/>
        </w:rPr>
        <w:t>Castel di Lama</w:t>
      </w:r>
    </w:p>
    <w:p w14:paraId="025ED70E" w14:textId="77777777" w:rsidR="005149BD" w:rsidRDefault="002055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propria condizione di disagio conseg</w:t>
      </w:r>
      <w:r>
        <w:rPr>
          <w:rFonts w:ascii="Arial" w:eastAsia="Arial" w:hAnsi="Arial" w:cs="Arial"/>
          <w:color w:val="000000"/>
          <w:sz w:val="24"/>
          <w:szCs w:val="24"/>
        </w:rPr>
        <w:t>uente all’attuale emergenza, illustrando sinteticamente le motivazioni delle condizioni economiche svantaggiate che saranno valutate ai fini della definizione della partecipazione</w:t>
      </w:r>
    </w:p>
    <w:p w14:paraId="0B6CF1FB" w14:textId="77777777" w:rsidR="005149BD" w:rsidRDefault="002055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L’importo delle entrate di qualsiasi genere (stipendio, pensione, pensione s</w:t>
      </w:r>
      <w:r>
        <w:rPr>
          <w:rFonts w:ascii="Arial" w:eastAsia="Arial" w:hAnsi="Arial" w:cs="Arial"/>
          <w:color w:val="000000"/>
          <w:sz w:val="24"/>
          <w:szCs w:val="24"/>
        </w:rPr>
        <w:t>ociale, cassa integrazione ordinaria o in deroga, pensione di inabilità/invalidità, indennità di disoccupazione, reddito di cittadinanza, CAS, altro) che il nucleo familiare abbia percepito nel mese di MARZO 2020, al netto del pagamento di eventuali canoni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 locazione, sulla base di contratti debitamente registrati o di eventuali rate di mutuo;</w:t>
      </w:r>
    </w:p>
    <w:p w14:paraId="6D8BDF02" w14:textId="77777777" w:rsidR="005149BD" w:rsidRDefault="002055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giacenza complessiva del nucleo familiare su C/C e Risparmi bancari/postali risulti inferiore a €. 4.000,00;</w:t>
      </w:r>
    </w:p>
    <w:p w14:paraId="29F742BC" w14:textId="77777777" w:rsidR="005149BD" w:rsidRDefault="002055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Che nessuno dei membri del nucleo familiare dell’ist</w:t>
      </w:r>
      <w:r>
        <w:rPr>
          <w:rFonts w:ascii="Arial" w:eastAsia="Arial" w:hAnsi="Arial" w:cs="Arial"/>
          <w:color w:val="000000"/>
          <w:sz w:val="24"/>
          <w:szCs w:val="24"/>
        </w:rPr>
        <w:t>ante ha fatto o farà richiesta presso altro Comune dei buoni spesa oggetto della richiesta</w:t>
      </w:r>
    </w:p>
    <w:p w14:paraId="0DC7E9F6" w14:textId="77777777" w:rsidR="005149BD" w:rsidRDefault="005149BD">
      <w:pPr>
        <w:spacing w:line="276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96736AB" w14:textId="77777777" w:rsidR="005149BD" w:rsidRDefault="002055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Sono esclusi dal buono spesa:</w:t>
      </w:r>
    </w:p>
    <w:p w14:paraId="17A90FB9" w14:textId="77777777" w:rsidR="005149BD" w:rsidRDefault="002055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nuclei familiari per i quali l’importo delle entrate di qualsiasi genere relative al mese di marzo 2020 sia superiore a €. 800,00 al netto del pagamento di eventuali canoni di locazione, sulla base di contratti debitamente registrati o di eventuali rate </w:t>
      </w:r>
      <w:r>
        <w:rPr>
          <w:rFonts w:ascii="Arial" w:eastAsia="Arial" w:hAnsi="Arial" w:cs="Arial"/>
          <w:color w:val="000000"/>
          <w:sz w:val="24"/>
          <w:szCs w:val="24"/>
        </w:rPr>
        <w:t>di mutuo</w:t>
      </w:r>
    </w:p>
    <w:p w14:paraId="4BCCD844" w14:textId="77777777" w:rsidR="005149BD" w:rsidRDefault="002055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 nuclei familiari la cui giacenza complessiva su C/C e risparmi bancari/postali sia pari o superiore a €. 4.000,00.</w:t>
      </w:r>
    </w:p>
    <w:p w14:paraId="0C917B0E" w14:textId="77777777" w:rsidR="005149BD" w:rsidRDefault="005149BD">
      <w:pPr>
        <w:spacing w:line="276" w:lineRule="auto"/>
        <w:jc w:val="both"/>
        <w:rPr>
          <w:rFonts w:ascii="Arial" w:eastAsia="Arial" w:hAnsi="Arial" w:cs="Arial"/>
        </w:rPr>
      </w:pPr>
    </w:p>
    <w:p w14:paraId="442A6D1A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5 – Procedura per la concessione del buono spesa</w:t>
      </w:r>
    </w:p>
    <w:p w14:paraId="2AA84DF2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5C30C0B" w14:textId="07D8A441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Al fine della massima diffusione dei contenuti del presente disciplinare viene predisposto specifico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avviso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6B1AE47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 Ai fini dell’assegnazione del buono spesa viene assegnato un termine di 5 giorni dalla pubblicazione dell’avviso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stesso all’albo pretorio on line e sul sito istituzionale dell’ente per l’invio delle </w:t>
      </w:r>
      <w:r>
        <w:rPr>
          <w:rFonts w:ascii="Arial" w:eastAsia="Arial" w:hAnsi="Arial" w:cs="Arial"/>
          <w:b/>
          <w:color w:val="000000"/>
          <w:sz w:val="24"/>
          <w:szCs w:val="24"/>
        </w:rPr>
        <w:t>istanze di parte dei singoli cittadini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1977C10C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 Ogni nucleo familiare può presentare una sola istanza</w:t>
      </w:r>
    </w:p>
    <w:p w14:paraId="2235A887" w14:textId="06DC2EFA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</w:t>
      </w:r>
      <w:r>
        <w:rPr>
          <w:rFonts w:ascii="Arial" w:eastAsia="Arial" w:hAnsi="Arial" w:cs="Arial"/>
          <w:b/>
          <w:color w:val="000000"/>
          <w:sz w:val="24"/>
          <w:szCs w:val="24"/>
        </w:rPr>
        <w:t>L’elenco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dei beneficiari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è approvato </w:t>
      </w:r>
      <w:r>
        <w:rPr>
          <w:rFonts w:ascii="Arial" w:eastAsia="Arial" w:hAnsi="Arial" w:cs="Arial"/>
          <w:color w:val="000000"/>
          <w:sz w:val="24"/>
          <w:szCs w:val="24"/>
        </w:rPr>
        <w:t>dai competenti organi amministra</w:t>
      </w:r>
      <w:r>
        <w:rPr>
          <w:rFonts w:ascii="Arial" w:eastAsia="Arial" w:hAnsi="Arial" w:cs="Arial"/>
          <w:color w:val="000000"/>
          <w:sz w:val="24"/>
          <w:szCs w:val="24"/>
        </w:rPr>
        <w:t>tivi.</w:t>
      </w:r>
    </w:p>
    <w:p w14:paraId="7F8EFB3C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B4935D8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3" w:name="_30j0zll" w:colFirst="0" w:colLast="0"/>
      <w:bookmarkEnd w:id="3"/>
      <w:r>
        <w:rPr>
          <w:rFonts w:ascii="Arial" w:eastAsia="Arial" w:hAnsi="Arial" w:cs="Arial"/>
          <w:b/>
          <w:color w:val="000000"/>
          <w:sz w:val="24"/>
          <w:szCs w:val="24"/>
        </w:rPr>
        <w:t>Art. 6 – Modalità di utilizzo del buono spesa</w:t>
      </w:r>
    </w:p>
    <w:p w14:paraId="32A35B7D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FF990D8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4" w:name="_1fob9te" w:colFirst="0" w:colLast="0"/>
      <w:bookmarkEnd w:id="4"/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1.Gli esercizi commerciali aderenti all’iniziativa sono pubblicati sul sito internet comunale individuandone le tipologie, sulla base di quanto previsto dall’allegato 1) al D.P.C.M. 11 marzo 2020. </w:t>
      </w:r>
    </w:p>
    <w:p w14:paraId="64367E6A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’individuazione dell’esercizio commerciale ove spendere il buono, tra quelli aderenti all’iniziativa, è rimesso alla libera scelta dei beneficiari.       </w:t>
      </w:r>
    </w:p>
    <w:p w14:paraId="199CA172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8EA4C56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7 - Verifica dell’utilizzo del buono</w:t>
      </w:r>
    </w:p>
    <w:p w14:paraId="3F7F4261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022537D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L’Amministrazione verifica la veridicità delle dichiarazioni rese in sede di istanza provvedendo al recupero delle somme erogate ed alla denuncia all’Autorità Giudiziaria ai sensi dell’art. 76 del DPR 445/2000 in caso di false dichiarazioni. </w:t>
      </w:r>
    </w:p>
    <w:p w14:paraId="0FE9AA7F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23E7393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5" w:name="_3znysh7" w:colFirst="0" w:colLast="0"/>
      <w:bookmarkEnd w:id="5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8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Rapporti con gli esercizi commerciali</w:t>
      </w:r>
    </w:p>
    <w:p w14:paraId="00E4930A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BE9A8CB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1.L’ufficio competente provvede ad acquisire la disponibilità degli esercizi commerciali alla erogazione al Comune dei buoni spesa ed a formalizzare apposito rapporto contrattuale in deroga al d.lgs. 50/2016.</w:t>
      </w:r>
    </w:p>
    <w:p w14:paraId="2DFD5C80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I rap</w:t>
      </w:r>
      <w:r>
        <w:rPr>
          <w:rFonts w:ascii="Arial" w:eastAsia="Arial" w:hAnsi="Arial" w:cs="Arial"/>
          <w:color w:val="000000"/>
          <w:sz w:val="24"/>
          <w:szCs w:val="24"/>
        </w:rPr>
        <w:t>porti tra Comune, utente ed esercizio commerciale sono improntati alla massima semplificazione e tutela della salute al fine di ridurre i tempi di erogazione del buono spesa ed il rischio di contagio.</w:t>
      </w:r>
    </w:p>
    <w:p w14:paraId="6BD256E4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F5C5219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9 - adempimenti in materia di pubblicità, traspar</w:t>
      </w:r>
      <w:r>
        <w:rPr>
          <w:rFonts w:ascii="Arial" w:eastAsia="Arial" w:hAnsi="Arial" w:cs="Arial"/>
          <w:b/>
          <w:color w:val="000000"/>
          <w:sz w:val="24"/>
          <w:szCs w:val="24"/>
        </w:rPr>
        <w:t>enza e Informazione e rapporto con la tutela della riservatezza</w:t>
      </w:r>
    </w:p>
    <w:p w14:paraId="13C6913B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3BE398F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1.Il responsabile del servizio è competente per l’applicazione degli obblighi previsti in materia di pubblicità, trasparenza e informazione, previsti dagli artt. 26 e 27 del d.lgs. 33/2013.</w:t>
      </w:r>
    </w:p>
    <w:p w14:paraId="73B2F478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.I dati relativi al procedimento di cui all’OCDPC n. 658 del 29/03/2020 sono trattati nel rispetto del Regolamento UE 679/2016 e del d.lgs. 196/2003, unicamente per le finalità connesse alla gestione del procedimento, facendo ricorso ad opportuni sistemi 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anonimizzazione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dei dati personali. </w:t>
      </w:r>
    </w:p>
    <w:p w14:paraId="33599169" w14:textId="77777777" w:rsidR="005149BD" w:rsidRDefault="00514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E2C3FB1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10 - Disposizioni finali</w:t>
      </w:r>
    </w:p>
    <w:p w14:paraId="529414E9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Per quanto non previsto dal presente regolamento, si fa riferimento alla normativa statale e regionale vigente.</w:t>
      </w:r>
    </w:p>
    <w:p w14:paraId="15F2FD8C" w14:textId="77777777" w:rsidR="005149BD" w:rsidRDefault="0020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Il presente disciplinare entra in vigore ad intervenuta esecutività </w:t>
      </w:r>
      <w:r>
        <w:rPr>
          <w:rFonts w:ascii="Arial" w:eastAsia="Arial" w:hAnsi="Arial" w:cs="Arial"/>
          <w:color w:val="000000"/>
          <w:sz w:val="24"/>
          <w:szCs w:val="24"/>
        </w:rPr>
        <w:t>della delibera di Giunta Comunale che lo approva.</w:t>
      </w:r>
    </w:p>
    <w:sectPr w:rsidR="005149BD">
      <w:footerReference w:type="first" r:id="rId7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BB777" w14:textId="77777777" w:rsidR="00000000" w:rsidRDefault="002055C7">
      <w:r>
        <w:separator/>
      </w:r>
    </w:p>
  </w:endnote>
  <w:endnote w:type="continuationSeparator" w:id="0">
    <w:p w14:paraId="718D84CD" w14:textId="77777777" w:rsidR="00000000" w:rsidRDefault="0020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C7BE4" w14:textId="77777777" w:rsidR="005149BD" w:rsidRDefault="005149B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5A19A" w14:textId="77777777" w:rsidR="00000000" w:rsidRDefault="002055C7">
      <w:r>
        <w:separator/>
      </w:r>
    </w:p>
  </w:footnote>
  <w:footnote w:type="continuationSeparator" w:id="0">
    <w:p w14:paraId="0F3B886C" w14:textId="77777777" w:rsidR="00000000" w:rsidRDefault="00205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C5600"/>
    <w:multiLevelType w:val="multilevel"/>
    <w:tmpl w:val="22FC698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FA3F3E"/>
    <w:multiLevelType w:val="multilevel"/>
    <w:tmpl w:val="D136AAE0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697E39"/>
    <w:multiLevelType w:val="multilevel"/>
    <w:tmpl w:val="42202F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BD"/>
    <w:rsid w:val="002055C7"/>
    <w:rsid w:val="005149BD"/>
    <w:rsid w:val="00517FCE"/>
    <w:rsid w:val="0068576A"/>
    <w:rsid w:val="0071644D"/>
    <w:rsid w:val="00A1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1778"/>
  <w15:docId w15:val="{E40866EA-3AF6-409E-862D-8EAEF404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2</cp:revision>
  <dcterms:created xsi:type="dcterms:W3CDTF">2020-04-01T12:54:00Z</dcterms:created>
  <dcterms:modified xsi:type="dcterms:W3CDTF">2020-04-01T12:54:00Z</dcterms:modified>
</cp:coreProperties>
</file>