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852" w:rsidRPr="009E206D" w:rsidRDefault="00854852" w:rsidP="00854852">
      <w:pPr>
        <w:pStyle w:val="Titolo2"/>
        <w:numPr>
          <w:ilvl w:val="0"/>
          <w:numId w:val="0"/>
        </w:numPr>
        <w:spacing w:before="0" w:after="0"/>
        <w:jc w:val="both"/>
        <w:rPr>
          <w:rFonts w:ascii="Tw Cen MT" w:hAnsi="Tw Cen MT"/>
        </w:rPr>
      </w:pPr>
      <w:bookmarkStart w:id="0" w:name="_Toc55131592"/>
      <w:bookmarkStart w:id="1" w:name="_GoBack"/>
      <w:bookmarkEnd w:id="1"/>
      <w:r w:rsidRPr="009E206D">
        <w:rPr>
          <w:rFonts w:ascii="Tw Cen MT" w:hAnsi="Tw Cen MT"/>
        </w:rPr>
        <w:t>Relazione accompag</w:t>
      </w:r>
      <w:r>
        <w:rPr>
          <w:rFonts w:ascii="Tw Cen MT" w:hAnsi="Tw Cen MT"/>
        </w:rPr>
        <w:t>natoria semplificata al PEF 2021</w:t>
      </w:r>
      <w:r w:rsidRPr="009E206D">
        <w:rPr>
          <w:rFonts w:ascii="Tw Cen MT" w:hAnsi="Tw Cen MT"/>
        </w:rPr>
        <w:t xml:space="preserve">, redatta dal Comune di </w:t>
      </w:r>
      <w:r>
        <w:rPr>
          <w:rFonts w:ascii="Tw Cen MT" w:hAnsi="Tw Cen MT"/>
        </w:rPr>
        <w:t>Castel di Lama</w:t>
      </w:r>
      <w:r w:rsidRPr="009E206D">
        <w:rPr>
          <w:rFonts w:ascii="Tw Cen MT" w:hAnsi="Tw Cen MT"/>
        </w:rPr>
        <w:t xml:space="preserve"> relativamente ai segmenti di servizio gestiti in economia.</w:t>
      </w:r>
      <w:bookmarkEnd w:id="0"/>
    </w:p>
    <w:p w:rsidR="00854852" w:rsidRPr="001C3240" w:rsidRDefault="00854852" w:rsidP="00854852">
      <w:pPr>
        <w:rPr>
          <w:lang w:eastAsia="en-GB"/>
        </w:rPr>
      </w:pPr>
    </w:p>
    <w:p w:rsidR="00854852" w:rsidRPr="009E206D" w:rsidRDefault="00854852" w:rsidP="00854852">
      <w:pPr>
        <w:pStyle w:val="Titolo3"/>
        <w:numPr>
          <w:ilvl w:val="0"/>
          <w:numId w:val="0"/>
        </w:numPr>
        <w:spacing w:after="0"/>
        <w:rPr>
          <w:rFonts w:ascii="Tw Cen MT" w:hAnsi="Tw Cen MT"/>
          <w:i w:val="0"/>
          <w:iCs/>
        </w:rPr>
      </w:pPr>
      <w:bookmarkStart w:id="2" w:name="_Toc55131593"/>
      <w:r w:rsidRPr="009E206D">
        <w:rPr>
          <w:rFonts w:ascii="Tw Cen MT" w:hAnsi="Tw Cen MT"/>
          <w:i w:val="0"/>
          <w:iCs/>
        </w:rPr>
        <w:t>Attività del servizio gestiti in economia dal Comune: Perimetrazione.</w:t>
      </w:r>
      <w:bookmarkEnd w:id="2"/>
    </w:p>
    <w:p w:rsidR="00854852" w:rsidRPr="00FB3A60" w:rsidRDefault="00854852" w:rsidP="00854852">
      <w:pPr>
        <w:rPr>
          <w:rFonts w:ascii="Tw Cen MT" w:hAnsi="Tw Cen MT"/>
          <w:lang w:eastAsia="en-GB"/>
        </w:rPr>
      </w:pPr>
    </w:p>
    <w:p w:rsidR="00854852" w:rsidRPr="00C4485A" w:rsidRDefault="00854852" w:rsidP="00854852">
      <w:pPr>
        <w:rPr>
          <w:rFonts w:ascii="Tw Cen MT" w:hAnsi="Tw Cen MT" w:cs="Calibri"/>
          <w:color w:val="000000"/>
        </w:rPr>
      </w:pPr>
      <w:r w:rsidRPr="00C4485A">
        <w:rPr>
          <w:rFonts w:ascii="Tw Cen MT" w:hAnsi="Tw Cen MT" w:cs="Calibri"/>
          <w:color w:val="000000"/>
        </w:rPr>
        <w:t xml:space="preserve">Ad integrazione della relazione accompagnatoria redatto dal gestore </w:t>
      </w:r>
      <w:proofErr w:type="spellStart"/>
      <w:r w:rsidRPr="00C4485A">
        <w:rPr>
          <w:rFonts w:ascii="Tw Cen MT" w:hAnsi="Tw Cen MT" w:cs="Calibri"/>
          <w:color w:val="000000"/>
        </w:rPr>
        <w:t>PicenAmbiente</w:t>
      </w:r>
      <w:proofErr w:type="spellEnd"/>
      <w:r w:rsidRPr="00C4485A">
        <w:rPr>
          <w:rFonts w:ascii="Tw Cen MT" w:hAnsi="Tw Cen MT" w:cs="Calibri"/>
          <w:color w:val="000000"/>
        </w:rPr>
        <w:t xml:space="preserve">, il presente paragrafo 3.3. </w:t>
      </w:r>
      <w:proofErr w:type="gramStart"/>
      <w:r w:rsidRPr="00C4485A">
        <w:rPr>
          <w:rFonts w:ascii="Tw Cen MT" w:hAnsi="Tw Cen MT" w:cs="Calibri"/>
          <w:color w:val="000000"/>
        </w:rPr>
        <w:t>riguarda</w:t>
      </w:r>
      <w:proofErr w:type="gramEnd"/>
      <w:r w:rsidRPr="00C4485A">
        <w:rPr>
          <w:rFonts w:ascii="Tw Cen MT" w:hAnsi="Tw Cen MT" w:cs="Calibri"/>
          <w:color w:val="000000"/>
        </w:rPr>
        <w:t xml:space="preserve"> la relazione accompagnatoria redatta dal Comune di </w:t>
      </w:r>
      <w:r>
        <w:rPr>
          <w:rFonts w:ascii="Tw Cen MT" w:hAnsi="Tw Cen MT" w:cs="Calibri"/>
          <w:color w:val="000000"/>
        </w:rPr>
        <w:t>Castel di Lama</w:t>
      </w:r>
      <w:r w:rsidRPr="00C4485A">
        <w:rPr>
          <w:rFonts w:ascii="Tw Cen MT" w:hAnsi="Tw Cen MT" w:cs="Calibri"/>
          <w:color w:val="000000"/>
        </w:rPr>
        <w:t xml:space="preserve"> relativamente ai segmenti di servizio gestiti in economia</w:t>
      </w:r>
      <w:r>
        <w:rPr>
          <w:rFonts w:ascii="Tw Cen MT" w:hAnsi="Tw Cen MT" w:cs="Calibri"/>
          <w:color w:val="000000"/>
        </w:rPr>
        <w:t>, relazione c</w:t>
      </w:r>
      <w:r w:rsidRPr="00C4485A">
        <w:rPr>
          <w:rFonts w:ascii="Tw Cen MT" w:hAnsi="Tw Cen MT" w:cs="Calibri"/>
          <w:color w:val="000000"/>
        </w:rPr>
        <w:t>on la quale si illustrano sia i criteri di corrispondenza tra i valori riportati nella modulistica PEF Grezzo Comune (gestore) e i valori desumibili dalla documentazione contabile, sia le evidenze contabili sottostanti, secondo lo schema di relazione tipo di cui all’Appendice 2 della deliberazione 443/2020/R/RIF.</w:t>
      </w:r>
    </w:p>
    <w:p w:rsidR="00854852" w:rsidRPr="00C4485A" w:rsidRDefault="00854852" w:rsidP="00854852">
      <w:pPr>
        <w:pStyle w:val="Default"/>
        <w:jc w:val="both"/>
        <w:rPr>
          <w:rFonts w:ascii="Tw Cen MT" w:hAnsi="Tw Cen MT" w:cs="Calibri"/>
        </w:rPr>
      </w:pPr>
    </w:p>
    <w:p w:rsidR="00854852" w:rsidRPr="00F72730" w:rsidRDefault="00854852" w:rsidP="00854852">
      <w:pPr>
        <w:pStyle w:val="Default"/>
        <w:jc w:val="both"/>
        <w:rPr>
          <w:rFonts w:ascii="Tw Cen MT" w:hAnsi="Tw Cen MT" w:cs="Arial"/>
          <w:b/>
          <w:bCs/>
          <w:iCs/>
          <w:color w:val="000099"/>
          <w:lang w:eastAsia="en-GB"/>
        </w:rPr>
      </w:pPr>
      <w:r w:rsidRPr="00F72730">
        <w:rPr>
          <w:rFonts w:ascii="Tw Cen MT" w:hAnsi="Tw Cen MT" w:cs="Arial"/>
          <w:b/>
          <w:bCs/>
          <w:iCs/>
          <w:color w:val="000099"/>
          <w:lang w:eastAsia="en-GB"/>
        </w:rPr>
        <w:t>Attività di gestione tariffe all'utenza e rapporto con l'utenza, gestione del servizio, vigilanza ecologica, attività di sensibilizzazione ed educazione ambientale.</w:t>
      </w:r>
    </w:p>
    <w:p w:rsidR="00854852" w:rsidRDefault="00854852" w:rsidP="00854852">
      <w:pPr>
        <w:pStyle w:val="Default"/>
        <w:jc w:val="both"/>
        <w:rPr>
          <w:rFonts w:ascii="Tw Cen MT" w:hAnsi="Tw Cen MT" w:cs="Calibri"/>
        </w:rPr>
      </w:pPr>
      <w:r>
        <w:rPr>
          <w:rFonts w:ascii="Tw Cen MT" w:hAnsi="Tw Cen MT" w:cs="Calibri"/>
        </w:rPr>
        <w:t>Le attività e i servizi gestiti in economia dal Comune nell’anno 2019 sono i seguenti:</w:t>
      </w:r>
    </w:p>
    <w:p w:rsidR="00854852" w:rsidRPr="005B50C6" w:rsidRDefault="00854852" w:rsidP="00854852">
      <w:pPr>
        <w:pStyle w:val="Default"/>
        <w:numPr>
          <w:ilvl w:val="0"/>
          <w:numId w:val="2"/>
        </w:numPr>
        <w:ind w:left="284" w:hanging="284"/>
        <w:jc w:val="both"/>
        <w:rPr>
          <w:rFonts w:ascii="Tw Cen MT" w:hAnsi="Tw Cen MT" w:cs="Calibri"/>
        </w:rPr>
      </w:pPr>
      <w:r w:rsidRPr="005B50C6">
        <w:rPr>
          <w:rFonts w:ascii="Tw Cen MT" w:hAnsi="Tw Cen MT" w:cs="Calibri"/>
        </w:rPr>
        <w:t xml:space="preserve">Gli uffici comunali competenti hanno svolto il “front office” informativo nei confronti degli utenti per quanto riguarda tutti gli aspetti della gestione del servizio rifiuti </w:t>
      </w:r>
      <w:r>
        <w:rPr>
          <w:rFonts w:ascii="Tw Cen MT" w:hAnsi="Tw Cen MT" w:cs="Calibri"/>
        </w:rPr>
        <w:t xml:space="preserve">ovvero la </w:t>
      </w:r>
      <w:r w:rsidRPr="005B50C6">
        <w:rPr>
          <w:rFonts w:ascii="Tw Cen MT" w:hAnsi="Tw Cen MT" w:cs="Calibri"/>
        </w:rPr>
        <w:t xml:space="preserve">gestione informazioni, raccolta dati, gestione segnalazioni/reclami, le attività tecniche-amministrative relative al servizio di gestione dei rifiuti urbani, </w:t>
      </w:r>
      <w:r w:rsidRPr="005B50C6">
        <w:rPr>
          <w:rFonts w:ascii="Tw Cen MT" w:hAnsi="Tw Cen MT" w:cstheme="minorHAnsi"/>
          <w:color w:val="auto"/>
        </w:rPr>
        <w:t xml:space="preserve">le attività di propria competenza in materia emissione del ruolo TARI, gestione del ruolo TARI, dell’attività di </w:t>
      </w:r>
      <w:r w:rsidRPr="005B50C6">
        <w:rPr>
          <w:rFonts w:ascii="Tw Cen MT" w:hAnsi="Tw Cen MT" w:cs="Calibri"/>
        </w:rPr>
        <w:t>accertamento e gestione del contenzioso, delle disposizioni regolamentari</w:t>
      </w:r>
      <w:r>
        <w:rPr>
          <w:rFonts w:ascii="Tw Cen MT" w:hAnsi="Tw Cen MT" w:cs="Calibri"/>
        </w:rPr>
        <w:t xml:space="preserve"> e delle attività di front-office.</w:t>
      </w:r>
    </w:p>
    <w:p w:rsidR="00854852" w:rsidRDefault="00854852" w:rsidP="00854852">
      <w:pPr>
        <w:pStyle w:val="Default"/>
        <w:jc w:val="both"/>
        <w:rPr>
          <w:rFonts w:ascii="Tw Cen MT" w:hAnsi="Tw Cen MT" w:cs="Calibri"/>
        </w:rPr>
      </w:pPr>
    </w:p>
    <w:p w:rsidR="00854852" w:rsidRDefault="00854852" w:rsidP="00854852">
      <w:pPr>
        <w:pStyle w:val="Titolo3"/>
        <w:numPr>
          <w:ilvl w:val="0"/>
          <w:numId w:val="0"/>
        </w:numPr>
        <w:spacing w:after="0"/>
        <w:ind w:left="720" w:hanging="720"/>
        <w:rPr>
          <w:rFonts w:ascii="Tw Cen MT" w:hAnsi="Tw Cen MT"/>
          <w:i w:val="0"/>
          <w:iCs/>
          <w:color w:val="000099"/>
        </w:rPr>
      </w:pPr>
      <w:bookmarkStart w:id="3" w:name="_Toc55131594"/>
      <w:r>
        <w:rPr>
          <w:rFonts w:ascii="Tw Cen MT" w:hAnsi="Tw Cen MT"/>
          <w:i w:val="0"/>
          <w:iCs/>
          <w:color w:val="000099"/>
        </w:rPr>
        <w:t>Relazione informativa sintetica delle voci inserite nel PEF Grezzo redatto dal Comune.</w:t>
      </w:r>
      <w:bookmarkEnd w:id="3"/>
    </w:p>
    <w:p w:rsidR="00854852" w:rsidRDefault="00854852" w:rsidP="00854852">
      <w:pPr>
        <w:pStyle w:val="Default"/>
        <w:jc w:val="both"/>
        <w:rPr>
          <w:rFonts w:ascii="Tw Cen MT" w:hAnsi="Tw Cen MT" w:cs="Calibri"/>
        </w:rPr>
      </w:pPr>
    </w:p>
    <w:p w:rsidR="00854852" w:rsidRDefault="00854852" w:rsidP="00854852">
      <w:pPr>
        <w:pStyle w:val="Default"/>
        <w:jc w:val="both"/>
        <w:rPr>
          <w:rFonts w:ascii="Tw Cen MT" w:hAnsi="Tw Cen MT" w:cs="Calibri"/>
        </w:rPr>
      </w:pPr>
      <w:r>
        <w:rPr>
          <w:rFonts w:ascii="Tw Cen MT" w:hAnsi="Tw Cen MT" w:cs="Calibri"/>
        </w:rPr>
        <w:t>A maggior specificazione di quanto riportato nel PEF grezzo redatto dal comune, in conformità alla disciplina dettata dal MTR Delibera ARERA Delibera 443/2019, si relaziona quanto segue, specificando che eventuali driver di ripartizione dei costi utilizzati sono tenuti agli atti dall’ufficio:</w:t>
      </w:r>
    </w:p>
    <w:p w:rsidR="00854852" w:rsidRDefault="00854852" w:rsidP="00854852">
      <w:pPr>
        <w:pStyle w:val="Default"/>
        <w:jc w:val="both"/>
        <w:rPr>
          <w:rFonts w:ascii="Tw Cen MT" w:hAnsi="Tw Cen MT" w:cs="Calibri"/>
        </w:rPr>
      </w:pPr>
    </w:p>
    <w:p w:rsidR="00854852" w:rsidRDefault="00854852" w:rsidP="00854852">
      <w:pPr>
        <w:pStyle w:val="Default"/>
        <w:jc w:val="both"/>
        <w:rPr>
          <w:rFonts w:ascii="Tw Cen MT" w:hAnsi="Tw Cen MT" w:cs="Calibri"/>
        </w:rPr>
      </w:pPr>
    </w:p>
    <w:p w:rsidR="00854852" w:rsidRDefault="00854852" w:rsidP="00854852">
      <w:pPr>
        <w:pStyle w:val="Default"/>
        <w:jc w:val="both"/>
        <w:rPr>
          <w:rFonts w:ascii="Tw Cen MT" w:hAnsi="Tw Cen MT" w:cs="Calibri"/>
        </w:rPr>
      </w:pPr>
    </w:p>
    <w:tbl>
      <w:tblPr>
        <w:tblW w:w="822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9"/>
        <w:gridCol w:w="3091"/>
        <w:gridCol w:w="927"/>
        <w:gridCol w:w="1591"/>
        <w:gridCol w:w="853"/>
        <w:gridCol w:w="851"/>
      </w:tblGrid>
      <w:tr w:rsidR="00854852" w:rsidRPr="00854852" w:rsidTr="00854852">
        <w:trPr>
          <w:trHeight w:val="300"/>
        </w:trPr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852" w:rsidRPr="00854852" w:rsidRDefault="00854852" w:rsidP="0085485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4852" w:rsidRPr="00854852" w:rsidRDefault="00854852" w:rsidP="00854852">
            <w:pPr>
              <w:jc w:val="left"/>
              <w:rPr>
                <w:rFonts w:ascii="Calibri" w:hAnsi="Calibri"/>
                <w:b/>
                <w:bCs/>
                <w:color w:val="FF0000"/>
                <w:sz w:val="14"/>
                <w:szCs w:val="14"/>
              </w:rPr>
            </w:pPr>
            <w:r w:rsidRPr="00854852">
              <w:rPr>
                <w:rFonts w:ascii="Calibri" w:hAnsi="Calibri"/>
                <w:b/>
                <w:bCs/>
                <w:color w:val="FF0000"/>
                <w:sz w:val="14"/>
                <w:szCs w:val="14"/>
              </w:rPr>
              <w:t>COMUNE DI CASTEL DI LAMA</w:t>
            </w:r>
          </w:p>
        </w:tc>
        <w:tc>
          <w:tcPr>
            <w:tcW w:w="4222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54852" w:rsidRPr="00854852" w:rsidRDefault="00854852" w:rsidP="00854852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854852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ANNO 2019</w:t>
            </w:r>
          </w:p>
        </w:tc>
      </w:tr>
      <w:tr w:rsidR="00854852" w:rsidRPr="00854852" w:rsidTr="00854852">
        <w:trPr>
          <w:trHeight w:val="288"/>
        </w:trPr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852" w:rsidRPr="00854852" w:rsidRDefault="00854852" w:rsidP="00854852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0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4852" w:rsidRPr="00854852" w:rsidRDefault="00854852" w:rsidP="00854852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854852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852" w:rsidRPr="00854852" w:rsidRDefault="00854852" w:rsidP="00854852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854852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 xml:space="preserve">Previsione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852" w:rsidRPr="00854852" w:rsidRDefault="00854852" w:rsidP="00854852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854852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Rendiconto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852" w:rsidRPr="00854852" w:rsidRDefault="00854852" w:rsidP="00854852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854852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Imponibile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4852" w:rsidRPr="00854852" w:rsidRDefault="00854852" w:rsidP="00854852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854852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IVA</w:t>
            </w:r>
          </w:p>
        </w:tc>
      </w:tr>
      <w:tr w:rsidR="00854852" w:rsidRPr="00854852" w:rsidTr="00854852">
        <w:trPr>
          <w:trHeight w:val="288"/>
        </w:trPr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852" w:rsidRPr="00854852" w:rsidRDefault="00854852" w:rsidP="00854852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852" w:rsidRPr="00854852" w:rsidRDefault="00854852" w:rsidP="0085485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852" w:rsidRPr="00854852" w:rsidRDefault="00854852" w:rsidP="00854852">
            <w:pPr>
              <w:jc w:val="left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854852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852" w:rsidRPr="00854852" w:rsidRDefault="00854852" w:rsidP="00854852">
            <w:pPr>
              <w:jc w:val="left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854852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852" w:rsidRPr="00854852" w:rsidRDefault="00854852" w:rsidP="00854852">
            <w:pPr>
              <w:jc w:val="left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854852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4852" w:rsidRPr="00854852" w:rsidRDefault="00854852" w:rsidP="00854852">
            <w:pPr>
              <w:jc w:val="left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854852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854852" w:rsidRPr="00854852" w:rsidTr="00854852">
        <w:trPr>
          <w:trHeight w:val="288"/>
        </w:trPr>
        <w:tc>
          <w:tcPr>
            <w:tcW w:w="9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4852" w:rsidRPr="00854852" w:rsidRDefault="00854852" w:rsidP="00854852">
            <w:pPr>
              <w:jc w:val="left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854852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CARC</w:t>
            </w:r>
          </w:p>
        </w:tc>
        <w:tc>
          <w:tcPr>
            <w:tcW w:w="30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4852" w:rsidRPr="00854852" w:rsidRDefault="00854852" w:rsidP="00854852">
            <w:pPr>
              <w:jc w:val="left"/>
              <w:rPr>
                <w:rFonts w:ascii="Calibri" w:hAnsi="Calibri"/>
                <w:color w:val="000000"/>
                <w:sz w:val="14"/>
                <w:szCs w:val="14"/>
              </w:rPr>
            </w:pPr>
            <w:r w:rsidRPr="00854852">
              <w:rPr>
                <w:rFonts w:ascii="Calibri" w:hAnsi="Calibri"/>
                <w:color w:val="000000"/>
                <w:sz w:val="14"/>
                <w:szCs w:val="14"/>
              </w:rPr>
              <w:t>Spedizione tari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852" w:rsidRPr="00854852" w:rsidRDefault="00854852" w:rsidP="00854852">
            <w:pPr>
              <w:jc w:val="right"/>
              <w:rPr>
                <w:rFonts w:ascii="Calibri" w:hAnsi="Calibri"/>
                <w:color w:val="000000"/>
                <w:sz w:val="14"/>
                <w:szCs w:val="14"/>
              </w:rPr>
            </w:pPr>
            <w:r w:rsidRPr="00854852">
              <w:rPr>
                <w:rFonts w:ascii="Calibri" w:hAnsi="Calibri"/>
                <w:color w:val="000000"/>
                <w:sz w:val="14"/>
                <w:szCs w:val="14"/>
              </w:rPr>
              <w:t>3.000,00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852" w:rsidRPr="00854852" w:rsidRDefault="00854852" w:rsidP="00854852">
            <w:pPr>
              <w:jc w:val="right"/>
              <w:rPr>
                <w:rFonts w:ascii="Calibri" w:hAnsi="Calibri"/>
                <w:color w:val="000000"/>
                <w:sz w:val="14"/>
                <w:szCs w:val="14"/>
              </w:rPr>
            </w:pPr>
            <w:r w:rsidRPr="00854852">
              <w:rPr>
                <w:rFonts w:ascii="Calibri" w:hAnsi="Calibri"/>
                <w:color w:val="000000"/>
                <w:sz w:val="14"/>
                <w:szCs w:val="14"/>
              </w:rPr>
              <w:t>2.050,34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852" w:rsidRPr="00854852" w:rsidRDefault="00854852" w:rsidP="00854852">
            <w:pPr>
              <w:jc w:val="right"/>
              <w:rPr>
                <w:rFonts w:ascii="Calibri" w:hAnsi="Calibri"/>
                <w:color w:val="000000"/>
                <w:sz w:val="14"/>
                <w:szCs w:val="14"/>
              </w:rPr>
            </w:pPr>
            <w:r w:rsidRPr="00854852">
              <w:rPr>
                <w:rFonts w:ascii="Calibri" w:hAnsi="Calibri"/>
                <w:color w:val="000000"/>
                <w:sz w:val="14"/>
                <w:szCs w:val="14"/>
              </w:rPr>
              <w:t>1.680,61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4852" w:rsidRPr="00854852" w:rsidRDefault="00854852" w:rsidP="00854852">
            <w:pPr>
              <w:jc w:val="right"/>
              <w:rPr>
                <w:rFonts w:ascii="Calibri" w:hAnsi="Calibri"/>
                <w:color w:val="000000"/>
                <w:sz w:val="14"/>
                <w:szCs w:val="14"/>
              </w:rPr>
            </w:pPr>
            <w:r w:rsidRPr="00854852">
              <w:rPr>
                <w:rFonts w:ascii="Calibri" w:hAnsi="Calibri"/>
                <w:color w:val="000000"/>
                <w:sz w:val="14"/>
                <w:szCs w:val="14"/>
              </w:rPr>
              <w:t>369,73</w:t>
            </w:r>
          </w:p>
        </w:tc>
      </w:tr>
      <w:tr w:rsidR="00854852" w:rsidRPr="00854852" w:rsidTr="00854852">
        <w:trPr>
          <w:trHeight w:val="288"/>
        </w:trPr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852" w:rsidRPr="00854852" w:rsidRDefault="00854852" w:rsidP="00854852">
            <w:pPr>
              <w:jc w:val="left"/>
              <w:rPr>
                <w:rFonts w:ascii="Calibri" w:hAnsi="Calibri"/>
                <w:color w:val="000000"/>
                <w:sz w:val="14"/>
                <w:szCs w:val="14"/>
              </w:rPr>
            </w:pPr>
            <w:r w:rsidRPr="00854852">
              <w:rPr>
                <w:rFonts w:ascii="Calibri" w:hAnsi="Calibri"/>
                <w:color w:val="000000"/>
                <w:sz w:val="14"/>
                <w:szCs w:val="14"/>
              </w:rPr>
              <w:lastRenderedPageBreak/>
              <w:t>CCD</w:t>
            </w:r>
          </w:p>
        </w:tc>
        <w:tc>
          <w:tcPr>
            <w:tcW w:w="30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4852" w:rsidRPr="00854852" w:rsidRDefault="00854852" w:rsidP="00854852">
            <w:pPr>
              <w:jc w:val="left"/>
              <w:rPr>
                <w:rFonts w:ascii="Calibri" w:hAnsi="Calibri"/>
                <w:color w:val="000000"/>
                <w:sz w:val="14"/>
                <w:szCs w:val="14"/>
              </w:rPr>
            </w:pPr>
            <w:r w:rsidRPr="00854852">
              <w:rPr>
                <w:rFonts w:ascii="Calibri" w:hAnsi="Calibri"/>
                <w:color w:val="000000"/>
                <w:sz w:val="14"/>
                <w:szCs w:val="14"/>
              </w:rPr>
              <w:t>Convenzione assistenza tari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852" w:rsidRPr="00854852" w:rsidRDefault="00854852" w:rsidP="00854852">
            <w:pPr>
              <w:jc w:val="right"/>
              <w:rPr>
                <w:rFonts w:ascii="Calibri" w:hAnsi="Calibri"/>
                <w:color w:val="000000"/>
                <w:sz w:val="14"/>
                <w:szCs w:val="14"/>
              </w:rPr>
            </w:pPr>
            <w:r w:rsidRPr="00854852">
              <w:rPr>
                <w:rFonts w:ascii="Calibri" w:hAnsi="Calibri"/>
                <w:color w:val="000000"/>
                <w:sz w:val="14"/>
                <w:szCs w:val="14"/>
              </w:rPr>
              <w:t>1.000,00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852" w:rsidRPr="00854852" w:rsidRDefault="00854852" w:rsidP="00854852">
            <w:pPr>
              <w:jc w:val="right"/>
              <w:rPr>
                <w:rFonts w:ascii="Calibri" w:hAnsi="Calibri"/>
                <w:color w:val="000000"/>
                <w:sz w:val="14"/>
                <w:szCs w:val="14"/>
              </w:rPr>
            </w:pPr>
            <w:r w:rsidRPr="00854852">
              <w:rPr>
                <w:rFonts w:ascii="Calibri" w:hAnsi="Calibri"/>
                <w:color w:val="000000"/>
                <w:sz w:val="14"/>
                <w:szCs w:val="14"/>
              </w:rPr>
              <w:t>1.464,00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852" w:rsidRPr="00854852" w:rsidRDefault="00854852" w:rsidP="00854852">
            <w:pPr>
              <w:jc w:val="right"/>
              <w:rPr>
                <w:rFonts w:ascii="Calibri" w:hAnsi="Calibri"/>
                <w:color w:val="000000"/>
                <w:sz w:val="14"/>
                <w:szCs w:val="14"/>
              </w:rPr>
            </w:pPr>
            <w:r w:rsidRPr="00854852">
              <w:rPr>
                <w:rFonts w:ascii="Calibri" w:hAnsi="Calibri"/>
                <w:color w:val="000000"/>
                <w:sz w:val="14"/>
                <w:szCs w:val="14"/>
              </w:rPr>
              <w:t>1.200,00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4852" w:rsidRPr="00854852" w:rsidRDefault="00854852" w:rsidP="00854852">
            <w:pPr>
              <w:jc w:val="right"/>
              <w:rPr>
                <w:rFonts w:ascii="Calibri" w:hAnsi="Calibri"/>
                <w:color w:val="000000"/>
                <w:sz w:val="14"/>
                <w:szCs w:val="14"/>
              </w:rPr>
            </w:pPr>
            <w:r w:rsidRPr="00854852">
              <w:rPr>
                <w:rFonts w:ascii="Calibri" w:hAnsi="Calibri"/>
                <w:color w:val="000000"/>
                <w:sz w:val="14"/>
                <w:szCs w:val="14"/>
              </w:rPr>
              <w:t>264,00</w:t>
            </w:r>
          </w:p>
        </w:tc>
      </w:tr>
      <w:tr w:rsidR="00854852" w:rsidRPr="00854852" w:rsidTr="00854852">
        <w:trPr>
          <w:trHeight w:val="288"/>
        </w:trPr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852" w:rsidRPr="00854852" w:rsidRDefault="00854852" w:rsidP="00854852">
            <w:pPr>
              <w:jc w:val="left"/>
              <w:rPr>
                <w:rFonts w:ascii="Calibri" w:hAnsi="Calibri"/>
                <w:color w:val="000000"/>
                <w:sz w:val="14"/>
                <w:szCs w:val="14"/>
              </w:rPr>
            </w:pPr>
            <w:r w:rsidRPr="00854852">
              <w:rPr>
                <w:rFonts w:ascii="Calibri" w:hAnsi="Calibri"/>
                <w:color w:val="000000"/>
                <w:sz w:val="14"/>
                <w:szCs w:val="14"/>
              </w:rPr>
              <w:t>CGG</w:t>
            </w:r>
          </w:p>
        </w:tc>
        <w:tc>
          <w:tcPr>
            <w:tcW w:w="30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4852" w:rsidRPr="00854852" w:rsidRDefault="00854852" w:rsidP="00854852">
            <w:pPr>
              <w:jc w:val="left"/>
              <w:rPr>
                <w:rFonts w:ascii="Calibri" w:hAnsi="Calibri"/>
                <w:color w:val="000000"/>
                <w:sz w:val="14"/>
                <w:szCs w:val="14"/>
              </w:rPr>
            </w:pPr>
            <w:r w:rsidRPr="00854852">
              <w:rPr>
                <w:rFonts w:ascii="Calibri" w:hAnsi="Calibri"/>
                <w:color w:val="000000"/>
                <w:sz w:val="14"/>
                <w:szCs w:val="14"/>
              </w:rPr>
              <w:t>Costi del personale Tari Ufficio tributi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852" w:rsidRPr="00854852" w:rsidRDefault="00854852" w:rsidP="00854852">
            <w:pPr>
              <w:jc w:val="right"/>
              <w:rPr>
                <w:rFonts w:ascii="Calibri" w:hAnsi="Calibri"/>
                <w:color w:val="000000"/>
                <w:sz w:val="14"/>
                <w:szCs w:val="14"/>
              </w:rPr>
            </w:pPr>
            <w:r w:rsidRPr="00854852">
              <w:rPr>
                <w:rFonts w:ascii="Calibri" w:hAnsi="Calibri"/>
                <w:color w:val="000000"/>
                <w:sz w:val="14"/>
                <w:szCs w:val="14"/>
              </w:rPr>
              <w:t>30.000,00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852" w:rsidRPr="00854852" w:rsidRDefault="00854852" w:rsidP="00854852">
            <w:pPr>
              <w:jc w:val="right"/>
              <w:rPr>
                <w:rFonts w:ascii="Calibri" w:hAnsi="Calibri"/>
                <w:color w:val="000000"/>
                <w:sz w:val="14"/>
                <w:szCs w:val="14"/>
              </w:rPr>
            </w:pPr>
            <w:r w:rsidRPr="00854852">
              <w:rPr>
                <w:rFonts w:ascii="Calibri" w:hAnsi="Calibri"/>
                <w:color w:val="000000"/>
                <w:sz w:val="14"/>
                <w:szCs w:val="14"/>
              </w:rPr>
              <w:t>36.327,54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852" w:rsidRPr="00854852" w:rsidRDefault="00854852" w:rsidP="00854852">
            <w:pPr>
              <w:jc w:val="right"/>
              <w:rPr>
                <w:rFonts w:ascii="Calibri" w:hAnsi="Calibri"/>
                <w:color w:val="000000"/>
                <w:sz w:val="14"/>
                <w:szCs w:val="14"/>
              </w:rPr>
            </w:pPr>
            <w:r w:rsidRPr="00854852">
              <w:rPr>
                <w:rFonts w:ascii="Calibri" w:hAnsi="Calibri"/>
                <w:color w:val="000000"/>
                <w:sz w:val="14"/>
                <w:szCs w:val="14"/>
              </w:rPr>
              <w:t>36.327,54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4852" w:rsidRPr="00854852" w:rsidRDefault="00854852" w:rsidP="00854852">
            <w:pPr>
              <w:jc w:val="left"/>
              <w:rPr>
                <w:rFonts w:ascii="Calibri" w:hAnsi="Calibri"/>
                <w:color w:val="000000"/>
                <w:sz w:val="14"/>
                <w:szCs w:val="14"/>
              </w:rPr>
            </w:pPr>
            <w:r w:rsidRPr="00854852"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</w:tr>
      <w:tr w:rsidR="00854852" w:rsidRPr="00854852" w:rsidTr="00854852">
        <w:trPr>
          <w:trHeight w:val="288"/>
        </w:trPr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852" w:rsidRPr="00854852" w:rsidRDefault="00854852" w:rsidP="00854852">
            <w:pPr>
              <w:jc w:val="left"/>
              <w:rPr>
                <w:rFonts w:ascii="Calibri" w:hAnsi="Calibri"/>
                <w:color w:val="000000"/>
                <w:sz w:val="14"/>
                <w:szCs w:val="14"/>
              </w:rPr>
            </w:pPr>
            <w:r w:rsidRPr="00854852">
              <w:rPr>
                <w:rFonts w:ascii="Calibri" w:hAnsi="Calibri"/>
                <w:color w:val="000000"/>
                <w:sz w:val="14"/>
                <w:szCs w:val="14"/>
              </w:rPr>
              <w:t>CCD</w:t>
            </w:r>
          </w:p>
        </w:tc>
        <w:tc>
          <w:tcPr>
            <w:tcW w:w="30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4852" w:rsidRPr="00854852" w:rsidRDefault="00854852" w:rsidP="00854852">
            <w:pPr>
              <w:jc w:val="left"/>
              <w:rPr>
                <w:rFonts w:ascii="Calibri" w:hAnsi="Calibri"/>
                <w:color w:val="000000"/>
                <w:sz w:val="14"/>
                <w:szCs w:val="14"/>
              </w:rPr>
            </w:pPr>
            <w:r w:rsidRPr="00854852">
              <w:rPr>
                <w:rFonts w:ascii="Calibri" w:hAnsi="Calibri"/>
                <w:color w:val="000000"/>
                <w:sz w:val="14"/>
                <w:szCs w:val="14"/>
              </w:rPr>
              <w:t>SPESE POSTALI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852" w:rsidRPr="00854852" w:rsidRDefault="00854852" w:rsidP="00854852">
            <w:pPr>
              <w:jc w:val="right"/>
              <w:rPr>
                <w:rFonts w:ascii="Calibri" w:hAnsi="Calibri"/>
                <w:color w:val="000000"/>
                <w:sz w:val="14"/>
                <w:szCs w:val="14"/>
              </w:rPr>
            </w:pPr>
            <w:r w:rsidRPr="00854852">
              <w:rPr>
                <w:rFonts w:ascii="Calibri" w:hAnsi="Calibri"/>
                <w:color w:val="000000"/>
                <w:sz w:val="14"/>
                <w:szCs w:val="14"/>
              </w:rPr>
              <w:t>4.000,00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852" w:rsidRPr="00854852" w:rsidRDefault="00854852" w:rsidP="00854852">
            <w:pPr>
              <w:jc w:val="right"/>
              <w:rPr>
                <w:rFonts w:ascii="Calibri" w:hAnsi="Calibri"/>
                <w:color w:val="000000"/>
                <w:sz w:val="14"/>
                <w:szCs w:val="14"/>
              </w:rPr>
            </w:pPr>
            <w:r w:rsidRPr="00854852">
              <w:rPr>
                <w:rFonts w:ascii="Calibri" w:hAnsi="Calibri"/>
                <w:color w:val="000000"/>
                <w:sz w:val="14"/>
                <w:szCs w:val="14"/>
              </w:rPr>
              <w:t>1.752,71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852" w:rsidRPr="00854852" w:rsidRDefault="00854852" w:rsidP="00854852">
            <w:pPr>
              <w:jc w:val="right"/>
              <w:rPr>
                <w:rFonts w:ascii="Calibri" w:hAnsi="Calibri"/>
                <w:color w:val="000000"/>
                <w:sz w:val="14"/>
                <w:szCs w:val="14"/>
              </w:rPr>
            </w:pPr>
            <w:r w:rsidRPr="00854852">
              <w:rPr>
                <w:rFonts w:ascii="Calibri" w:hAnsi="Calibri"/>
                <w:color w:val="000000"/>
                <w:sz w:val="14"/>
                <w:szCs w:val="14"/>
              </w:rPr>
              <w:t>1.752,71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4852" w:rsidRPr="00854852" w:rsidRDefault="00854852" w:rsidP="00854852">
            <w:pPr>
              <w:jc w:val="left"/>
              <w:rPr>
                <w:rFonts w:ascii="Calibri" w:hAnsi="Calibri"/>
                <w:color w:val="000000"/>
                <w:sz w:val="14"/>
                <w:szCs w:val="14"/>
              </w:rPr>
            </w:pPr>
            <w:r w:rsidRPr="00854852"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</w:tr>
      <w:tr w:rsidR="00854852" w:rsidRPr="00854852" w:rsidTr="00854852">
        <w:trPr>
          <w:trHeight w:val="288"/>
        </w:trPr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852" w:rsidRPr="00854852" w:rsidRDefault="00854852" w:rsidP="00854852">
            <w:pPr>
              <w:jc w:val="left"/>
              <w:rPr>
                <w:rFonts w:ascii="Calibri" w:hAnsi="Calibri"/>
                <w:color w:val="000000"/>
                <w:sz w:val="14"/>
                <w:szCs w:val="14"/>
              </w:rPr>
            </w:pPr>
            <w:r w:rsidRPr="00854852">
              <w:rPr>
                <w:rFonts w:ascii="Calibri" w:hAnsi="Calibri"/>
                <w:color w:val="000000"/>
                <w:sz w:val="14"/>
                <w:szCs w:val="14"/>
              </w:rPr>
              <w:t>CSL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4852" w:rsidRPr="00854852" w:rsidRDefault="00854852" w:rsidP="00854852">
            <w:pPr>
              <w:jc w:val="left"/>
              <w:rPr>
                <w:rFonts w:ascii="Calibri" w:hAnsi="Calibri"/>
                <w:color w:val="000000"/>
                <w:sz w:val="14"/>
                <w:szCs w:val="14"/>
              </w:rPr>
            </w:pPr>
            <w:r w:rsidRPr="00854852">
              <w:rPr>
                <w:rFonts w:ascii="Calibri" w:hAnsi="Calibri"/>
                <w:color w:val="000000"/>
                <w:sz w:val="14"/>
                <w:szCs w:val="14"/>
              </w:rPr>
              <w:t xml:space="preserve">Costo </w:t>
            </w:r>
            <w:proofErr w:type="spellStart"/>
            <w:r w:rsidRPr="00854852">
              <w:rPr>
                <w:rFonts w:ascii="Calibri" w:hAnsi="Calibri"/>
                <w:color w:val="000000"/>
                <w:sz w:val="14"/>
                <w:szCs w:val="14"/>
              </w:rPr>
              <w:t>persionale</w:t>
            </w:r>
            <w:proofErr w:type="spellEnd"/>
            <w:r w:rsidRPr="00854852">
              <w:rPr>
                <w:rFonts w:ascii="Calibri" w:hAnsi="Calibri"/>
                <w:color w:val="000000"/>
                <w:sz w:val="14"/>
                <w:szCs w:val="14"/>
              </w:rPr>
              <w:t xml:space="preserve"> addetti allo spazzamento aree verdi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852" w:rsidRPr="00854852" w:rsidRDefault="00854852" w:rsidP="00854852">
            <w:pPr>
              <w:jc w:val="right"/>
              <w:rPr>
                <w:rFonts w:ascii="Calibri" w:hAnsi="Calibri"/>
                <w:color w:val="000000"/>
                <w:sz w:val="14"/>
                <w:szCs w:val="14"/>
              </w:rPr>
            </w:pPr>
            <w:r w:rsidRPr="00854852">
              <w:rPr>
                <w:rFonts w:ascii="Calibri" w:hAnsi="Calibri"/>
                <w:color w:val="000000"/>
                <w:sz w:val="14"/>
                <w:szCs w:val="14"/>
              </w:rPr>
              <w:t>16.000,00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852" w:rsidRPr="00854852" w:rsidRDefault="00854852" w:rsidP="00854852">
            <w:pPr>
              <w:jc w:val="right"/>
              <w:rPr>
                <w:rFonts w:ascii="Calibri" w:hAnsi="Calibri"/>
                <w:color w:val="000000"/>
                <w:sz w:val="14"/>
                <w:szCs w:val="14"/>
              </w:rPr>
            </w:pPr>
            <w:r w:rsidRPr="00854852">
              <w:rPr>
                <w:rFonts w:ascii="Calibri" w:hAnsi="Calibri"/>
                <w:color w:val="000000"/>
                <w:sz w:val="14"/>
                <w:szCs w:val="14"/>
              </w:rPr>
              <w:t>16.000,00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852" w:rsidRPr="00854852" w:rsidRDefault="00854852" w:rsidP="00854852">
            <w:pPr>
              <w:jc w:val="right"/>
              <w:rPr>
                <w:rFonts w:ascii="Calibri" w:hAnsi="Calibri"/>
                <w:color w:val="000000"/>
                <w:sz w:val="14"/>
                <w:szCs w:val="14"/>
              </w:rPr>
            </w:pPr>
            <w:r w:rsidRPr="00854852">
              <w:rPr>
                <w:rFonts w:ascii="Calibri" w:hAnsi="Calibri"/>
                <w:color w:val="000000"/>
                <w:sz w:val="14"/>
                <w:szCs w:val="14"/>
              </w:rPr>
              <w:t>16.000,00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4852" w:rsidRPr="00854852" w:rsidRDefault="00854852" w:rsidP="00854852">
            <w:pPr>
              <w:jc w:val="left"/>
              <w:rPr>
                <w:rFonts w:ascii="Calibri" w:hAnsi="Calibri"/>
                <w:color w:val="000000"/>
                <w:sz w:val="14"/>
                <w:szCs w:val="14"/>
              </w:rPr>
            </w:pPr>
            <w:r w:rsidRPr="00854852"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</w:tr>
      <w:tr w:rsidR="00854852" w:rsidRPr="00854852" w:rsidTr="00854852">
        <w:trPr>
          <w:trHeight w:val="288"/>
        </w:trPr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852" w:rsidRPr="00854852" w:rsidRDefault="00854852" w:rsidP="00854852">
            <w:pPr>
              <w:jc w:val="left"/>
              <w:rPr>
                <w:rFonts w:ascii="Calibri" w:hAnsi="Calibri"/>
                <w:color w:val="000000"/>
                <w:sz w:val="14"/>
                <w:szCs w:val="14"/>
              </w:rPr>
            </w:pPr>
            <w:r w:rsidRPr="00854852">
              <w:rPr>
                <w:rFonts w:ascii="Calibri" w:hAnsi="Calibri"/>
                <w:color w:val="000000"/>
                <w:sz w:val="14"/>
                <w:szCs w:val="14"/>
              </w:rPr>
              <w:t>CTS</w:t>
            </w:r>
          </w:p>
        </w:tc>
        <w:tc>
          <w:tcPr>
            <w:tcW w:w="30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4852" w:rsidRPr="00854852" w:rsidRDefault="00854852" w:rsidP="00854852">
            <w:pPr>
              <w:jc w:val="left"/>
              <w:rPr>
                <w:rFonts w:ascii="Calibri" w:hAnsi="Calibri"/>
                <w:color w:val="000000"/>
                <w:sz w:val="14"/>
                <w:szCs w:val="14"/>
              </w:rPr>
            </w:pPr>
            <w:proofErr w:type="spellStart"/>
            <w:proofErr w:type="gramStart"/>
            <w:r w:rsidRPr="00854852">
              <w:rPr>
                <w:rFonts w:ascii="Calibri" w:hAnsi="Calibri"/>
                <w:color w:val="000000"/>
                <w:sz w:val="14"/>
                <w:szCs w:val="14"/>
              </w:rPr>
              <w:t>ata</w:t>
            </w:r>
            <w:proofErr w:type="spellEnd"/>
            <w:proofErr w:type="gramEnd"/>
            <w:r w:rsidRPr="00854852">
              <w:rPr>
                <w:rFonts w:ascii="Calibri" w:hAnsi="Calibri"/>
                <w:color w:val="000000"/>
                <w:sz w:val="14"/>
                <w:szCs w:val="14"/>
              </w:rPr>
              <w:t xml:space="preserve"> smaltimento rifiuti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852" w:rsidRPr="00854852" w:rsidRDefault="00854852" w:rsidP="0085485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4852">
              <w:rPr>
                <w:rFonts w:ascii="Arial" w:hAnsi="Arial" w:cs="Arial"/>
                <w:color w:val="000000"/>
                <w:sz w:val="14"/>
                <w:szCs w:val="14"/>
              </w:rPr>
              <w:t>112246,75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852" w:rsidRPr="00854852" w:rsidRDefault="00854852" w:rsidP="00854852">
            <w:pPr>
              <w:jc w:val="right"/>
              <w:rPr>
                <w:rFonts w:ascii="Calibri" w:hAnsi="Calibri"/>
                <w:color w:val="000000"/>
                <w:sz w:val="14"/>
                <w:szCs w:val="14"/>
              </w:rPr>
            </w:pPr>
            <w:r w:rsidRPr="00854852">
              <w:rPr>
                <w:rFonts w:ascii="Calibri" w:hAnsi="Calibri"/>
                <w:color w:val="000000"/>
                <w:sz w:val="14"/>
                <w:szCs w:val="14"/>
              </w:rPr>
              <w:t>121.193,24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852" w:rsidRPr="00854852" w:rsidRDefault="00854852" w:rsidP="00854852">
            <w:pPr>
              <w:jc w:val="right"/>
              <w:rPr>
                <w:rFonts w:ascii="Calibri" w:hAnsi="Calibri"/>
                <w:color w:val="000000"/>
                <w:sz w:val="14"/>
                <w:szCs w:val="14"/>
              </w:rPr>
            </w:pPr>
            <w:r w:rsidRPr="00854852">
              <w:rPr>
                <w:rFonts w:ascii="Calibri" w:hAnsi="Calibri"/>
                <w:color w:val="000000"/>
                <w:sz w:val="14"/>
                <w:szCs w:val="14"/>
              </w:rPr>
              <w:t>110.175,68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4852" w:rsidRPr="00854852" w:rsidRDefault="00854852" w:rsidP="00854852">
            <w:pPr>
              <w:jc w:val="right"/>
              <w:rPr>
                <w:rFonts w:ascii="Calibri" w:hAnsi="Calibri"/>
                <w:color w:val="000000"/>
                <w:sz w:val="14"/>
                <w:szCs w:val="14"/>
              </w:rPr>
            </w:pPr>
            <w:r w:rsidRPr="00854852">
              <w:rPr>
                <w:rFonts w:ascii="Calibri" w:hAnsi="Calibri"/>
                <w:color w:val="000000"/>
                <w:sz w:val="14"/>
                <w:szCs w:val="14"/>
              </w:rPr>
              <w:t>11.017,57</w:t>
            </w:r>
          </w:p>
        </w:tc>
      </w:tr>
      <w:tr w:rsidR="00854852" w:rsidRPr="00854852" w:rsidTr="00854852">
        <w:trPr>
          <w:trHeight w:val="288"/>
        </w:trPr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852" w:rsidRPr="00854852" w:rsidRDefault="00854852" w:rsidP="00854852">
            <w:pPr>
              <w:jc w:val="left"/>
              <w:rPr>
                <w:rFonts w:ascii="Calibri" w:hAnsi="Calibri"/>
                <w:color w:val="000000"/>
                <w:sz w:val="14"/>
                <w:szCs w:val="14"/>
              </w:rPr>
            </w:pPr>
            <w:r w:rsidRPr="00854852">
              <w:rPr>
                <w:rFonts w:ascii="Calibri" w:hAnsi="Calibri"/>
                <w:color w:val="000000"/>
                <w:sz w:val="14"/>
                <w:szCs w:val="14"/>
              </w:rPr>
              <w:t>COAL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4852" w:rsidRPr="00854852" w:rsidRDefault="00854852" w:rsidP="00854852">
            <w:pPr>
              <w:jc w:val="left"/>
              <w:rPr>
                <w:rFonts w:ascii="Calibri" w:hAnsi="Calibri"/>
                <w:color w:val="000000"/>
                <w:sz w:val="14"/>
                <w:szCs w:val="14"/>
              </w:rPr>
            </w:pPr>
            <w:proofErr w:type="spellStart"/>
            <w:proofErr w:type="gramStart"/>
            <w:r w:rsidRPr="00854852">
              <w:rPr>
                <w:rFonts w:ascii="Calibri" w:hAnsi="Calibri"/>
                <w:color w:val="000000"/>
                <w:sz w:val="14"/>
                <w:szCs w:val="14"/>
              </w:rPr>
              <w:t>ata</w:t>
            </w:r>
            <w:proofErr w:type="spellEnd"/>
            <w:proofErr w:type="gramEnd"/>
            <w:r w:rsidRPr="00854852">
              <w:rPr>
                <w:rFonts w:ascii="Calibri" w:hAnsi="Calibri"/>
                <w:color w:val="000000"/>
                <w:sz w:val="14"/>
                <w:szCs w:val="14"/>
              </w:rPr>
              <w:t xml:space="preserve"> costi di funzionamento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852" w:rsidRPr="00854852" w:rsidRDefault="00854852" w:rsidP="00854852">
            <w:pPr>
              <w:jc w:val="left"/>
              <w:rPr>
                <w:rFonts w:ascii="Calibri" w:hAnsi="Calibri"/>
                <w:color w:val="000000"/>
                <w:sz w:val="14"/>
                <w:szCs w:val="14"/>
              </w:rPr>
            </w:pPr>
            <w:r w:rsidRPr="00854852"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852" w:rsidRPr="00854852" w:rsidRDefault="00854852" w:rsidP="00854852">
            <w:pPr>
              <w:jc w:val="left"/>
              <w:rPr>
                <w:rFonts w:ascii="Calibri" w:hAnsi="Calibri"/>
                <w:color w:val="000000"/>
                <w:sz w:val="14"/>
                <w:szCs w:val="14"/>
              </w:rPr>
            </w:pPr>
            <w:r w:rsidRPr="00854852"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852" w:rsidRPr="00854852" w:rsidRDefault="00854852" w:rsidP="00854852">
            <w:pPr>
              <w:jc w:val="left"/>
              <w:rPr>
                <w:rFonts w:ascii="Calibri" w:hAnsi="Calibri"/>
                <w:color w:val="000000"/>
                <w:sz w:val="14"/>
                <w:szCs w:val="14"/>
              </w:rPr>
            </w:pPr>
            <w:r w:rsidRPr="00854852"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4852" w:rsidRPr="00854852" w:rsidRDefault="00854852" w:rsidP="00854852">
            <w:pPr>
              <w:jc w:val="left"/>
              <w:rPr>
                <w:rFonts w:ascii="Calibri" w:hAnsi="Calibri"/>
                <w:color w:val="000000"/>
                <w:sz w:val="14"/>
                <w:szCs w:val="14"/>
              </w:rPr>
            </w:pPr>
            <w:r w:rsidRPr="00854852"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</w:tr>
      <w:tr w:rsidR="00854852" w:rsidRPr="00854852" w:rsidTr="00854852">
        <w:trPr>
          <w:trHeight w:val="288"/>
        </w:trPr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852" w:rsidRPr="00854852" w:rsidRDefault="00854852" w:rsidP="00854852">
            <w:pPr>
              <w:jc w:val="left"/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4852" w:rsidRPr="00854852" w:rsidRDefault="00854852" w:rsidP="00854852">
            <w:pPr>
              <w:jc w:val="left"/>
              <w:rPr>
                <w:rFonts w:ascii="Calibri" w:hAnsi="Calibri"/>
                <w:color w:val="000000"/>
                <w:sz w:val="14"/>
                <w:szCs w:val="14"/>
              </w:rPr>
            </w:pPr>
            <w:r w:rsidRPr="00854852">
              <w:rPr>
                <w:rFonts w:ascii="Calibri" w:hAnsi="Calibri"/>
                <w:color w:val="000000"/>
                <w:sz w:val="14"/>
                <w:szCs w:val="14"/>
              </w:rPr>
              <w:t>Contributo MIUR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852" w:rsidRPr="00854852" w:rsidRDefault="00854852" w:rsidP="00854852">
            <w:pPr>
              <w:jc w:val="left"/>
              <w:rPr>
                <w:rFonts w:ascii="Calibri" w:hAnsi="Calibri"/>
                <w:color w:val="000000"/>
                <w:sz w:val="14"/>
                <w:szCs w:val="14"/>
              </w:rPr>
            </w:pPr>
            <w:r w:rsidRPr="00854852"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852" w:rsidRPr="00854852" w:rsidRDefault="00854852" w:rsidP="00854852">
            <w:pPr>
              <w:jc w:val="right"/>
              <w:rPr>
                <w:rFonts w:ascii="Calibri" w:hAnsi="Calibri"/>
                <w:color w:val="000000"/>
                <w:sz w:val="14"/>
                <w:szCs w:val="14"/>
              </w:rPr>
            </w:pPr>
            <w:r w:rsidRPr="00854852">
              <w:rPr>
                <w:rFonts w:ascii="Calibri" w:hAnsi="Calibri"/>
                <w:color w:val="000000"/>
                <w:sz w:val="14"/>
                <w:szCs w:val="14"/>
              </w:rPr>
              <w:t>3.868,43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852" w:rsidRPr="00854852" w:rsidRDefault="00854852" w:rsidP="00854852">
            <w:pPr>
              <w:jc w:val="left"/>
              <w:rPr>
                <w:rFonts w:ascii="Calibri" w:hAnsi="Calibri"/>
                <w:color w:val="000000"/>
                <w:sz w:val="14"/>
                <w:szCs w:val="14"/>
              </w:rPr>
            </w:pPr>
            <w:r w:rsidRPr="00854852"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4852" w:rsidRPr="00854852" w:rsidRDefault="00854852" w:rsidP="00854852">
            <w:pPr>
              <w:jc w:val="left"/>
              <w:rPr>
                <w:rFonts w:ascii="Calibri" w:hAnsi="Calibri"/>
                <w:color w:val="000000"/>
                <w:sz w:val="14"/>
                <w:szCs w:val="14"/>
              </w:rPr>
            </w:pPr>
            <w:r w:rsidRPr="00854852"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</w:tr>
      <w:tr w:rsidR="00854852" w:rsidRPr="00854852" w:rsidTr="00854852">
        <w:trPr>
          <w:trHeight w:val="300"/>
        </w:trPr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852" w:rsidRPr="00854852" w:rsidRDefault="00854852" w:rsidP="00854852">
            <w:pPr>
              <w:jc w:val="left"/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3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4852" w:rsidRPr="00854852" w:rsidRDefault="00854852" w:rsidP="00854852">
            <w:pPr>
              <w:jc w:val="left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854852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 xml:space="preserve">Totale </w:t>
            </w:r>
            <w:proofErr w:type="spellStart"/>
            <w:r w:rsidRPr="00854852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TOTALE</w:t>
            </w:r>
            <w:proofErr w:type="spellEnd"/>
            <w:r w:rsidRPr="00854852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 xml:space="preserve"> GENERALE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852" w:rsidRPr="00854852" w:rsidRDefault="00854852" w:rsidP="00854852">
            <w:pPr>
              <w:jc w:val="right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854852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166.246,75</w:t>
            </w:r>
          </w:p>
        </w:tc>
        <w:tc>
          <w:tcPr>
            <w:tcW w:w="159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852" w:rsidRPr="00854852" w:rsidRDefault="00854852" w:rsidP="00854852">
            <w:pPr>
              <w:jc w:val="right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854852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178.787,83</w:t>
            </w:r>
          </w:p>
        </w:tc>
        <w:tc>
          <w:tcPr>
            <w:tcW w:w="85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852" w:rsidRPr="00854852" w:rsidRDefault="00854852" w:rsidP="00854852">
            <w:pPr>
              <w:jc w:val="right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854852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167.136,54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852" w:rsidRPr="00854852" w:rsidRDefault="00854852" w:rsidP="00854852">
            <w:pPr>
              <w:jc w:val="right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854852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11.651,30</w:t>
            </w:r>
          </w:p>
        </w:tc>
      </w:tr>
    </w:tbl>
    <w:p w:rsidR="00854852" w:rsidRDefault="00854852" w:rsidP="00854852">
      <w:pPr>
        <w:pStyle w:val="Default"/>
        <w:jc w:val="both"/>
        <w:rPr>
          <w:rFonts w:ascii="Tw Cen MT" w:hAnsi="Tw Cen MT" w:cs="Calibri"/>
        </w:rPr>
      </w:pPr>
    </w:p>
    <w:p w:rsidR="00854852" w:rsidRDefault="00854852" w:rsidP="00854852">
      <w:pPr>
        <w:pStyle w:val="Default"/>
        <w:jc w:val="both"/>
        <w:rPr>
          <w:rFonts w:ascii="Tw Cen MT" w:hAnsi="Tw Cen MT" w:cs="Calibri"/>
        </w:rPr>
      </w:pPr>
    </w:p>
    <w:p w:rsidR="00854852" w:rsidRDefault="00854852" w:rsidP="00854852">
      <w:pPr>
        <w:pStyle w:val="Default"/>
        <w:jc w:val="both"/>
        <w:rPr>
          <w:rFonts w:ascii="Tw Cen MT" w:hAnsi="Tw Cen MT" w:cs="Calibri"/>
        </w:rPr>
      </w:pPr>
    </w:p>
    <w:p w:rsidR="00854852" w:rsidRDefault="00854852" w:rsidP="00854852">
      <w:pPr>
        <w:pStyle w:val="Default"/>
        <w:jc w:val="both"/>
        <w:rPr>
          <w:rFonts w:ascii="Tw Cen MT" w:hAnsi="Tw Cen MT" w:cs="Calibri"/>
        </w:rPr>
      </w:pPr>
    </w:p>
    <w:p w:rsidR="00854852" w:rsidRDefault="00854852" w:rsidP="00854852">
      <w:pPr>
        <w:pStyle w:val="Default"/>
        <w:jc w:val="both"/>
        <w:rPr>
          <w:rFonts w:ascii="Tw Cen MT" w:hAnsi="Tw Cen MT" w:cs="Calibri"/>
        </w:rPr>
      </w:pPr>
    </w:p>
    <w:p w:rsidR="00854852" w:rsidRPr="001F4139" w:rsidRDefault="00854852" w:rsidP="00854852">
      <w:pPr>
        <w:pStyle w:val="Default"/>
        <w:jc w:val="both"/>
        <w:rPr>
          <w:rFonts w:ascii="Tw Cen MT" w:hAnsi="Tw Cen MT" w:cs="Calibri"/>
        </w:rPr>
      </w:pPr>
      <w:r w:rsidRPr="001F4139">
        <w:rPr>
          <w:rFonts w:ascii="Tw Cen MT" w:hAnsi="Tw Cen MT" w:cs="Calibri"/>
        </w:rPr>
        <w:t xml:space="preserve">La tariffa da riconoscere all’ATA, </w:t>
      </w:r>
      <w:r>
        <w:rPr>
          <w:rFonts w:ascii="Tw Cen MT" w:hAnsi="Tw Cen MT" w:cs="Calibri"/>
        </w:rPr>
        <w:t>r</w:t>
      </w:r>
      <w:r w:rsidRPr="005B50C6">
        <w:rPr>
          <w:rFonts w:ascii="Tw Cen MT" w:hAnsi="Tw Cen MT" w:cs="Calibri"/>
        </w:rPr>
        <w:t>elativamente ai costi di trattamento e smaltimento finale</w:t>
      </w:r>
      <w:r>
        <w:rPr>
          <w:rFonts w:ascii="Tw Cen MT" w:hAnsi="Tw Cen MT" w:cs="Calibri"/>
        </w:rPr>
        <w:t xml:space="preserve"> per l’anno 2019,</w:t>
      </w:r>
      <w:r w:rsidRPr="001F4139">
        <w:rPr>
          <w:rFonts w:ascii="Tw Cen MT" w:hAnsi="Tw Cen MT" w:cs="Calibri"/>
        </w:rPr>
        <w:t xml:space="preserve"> viene indicata dal direttore dell’Ata nel</w:t>
      </w:r>
      <w:r>
        <w:rPr>
          <w:rFonts w:ascii="Tw Cen MT" w:hAnsi="Tw Cen MT" w:cs="Calibri"/>
        </w:rPr>
        <w:t xml:space="preserve">la relazione tecnica finale </w:t>
      </w:r>
      <w:r w:rsidRPr="001F4139">
        <w:rPr>
          <w:rFonts w:ascii="Tw Cen MT" w:hAnsi="Tw Cen MT" w:cs="Calibri"/>
        </w:rPr>
        <w:t>relativa ai conferimenti dell’anno 201</w:t>
      </w:r>
      <w:r>
        <w:rPr>
          <w:rFonts w:ascii="Tw Cen MT" w:hAnsi="Tw Cen MT" w:cs="Calibri"/>
        </w:rPr>
        <w:t>9</w:t>
      </w:r>
      <w:r w:rsidRPr="001F4139">
        <w:rPr>
          <w:rFonts w:ascii="Tw Cen MT" w:hAnsi="Tw Cen MT" w:cs="Calibri"/>
        </w:rPr>
        <w:t>.</w:t>
      </w:r>
    </w:p>
    <w:p w:rsidR="00854852" w:rsidRDefault="00854852" w:rsidP="00854852">
      <w:pPr>
        <w:pStyle w:val="Default"/>
        <w:jc w:val="both"/>
        <w:rPr>
          <w:rFonts w:ascii="Tw Cen MT" w:hAnsi="Tw Cen MT" w:cs="Calibri"/>
        </w:rPr>
      </w:pPr>
      <w:r>
        <w:rPr>
          <w:rFonts w:ascii="Tw Cen MT" w:hAnsi="Tw Cen MT" w:cs="Calibri"/>
        </w:rPr>
        <w:t xml:space="preserve">Resta inteso che questo comune chiederà all’ATA di chiarire sia la determinazione dei costi di funzionamento, sia la determinazione della tariffa finale relativa ai costi di trattamento e smaltimento finale. </w:t>
      </w:r>
    </w:p>
    <w:p w:rsidR="00854852" w:rsidRPr="00990987" w:rsidRDefault="00854852" w:rsidP="00854852">
      <w:pPr>
        <w:pStyle w:val="Default"/>
        <w:rPr>
          <w:rFonts w:ascii="Tw Cen MT" w:hAnsi="Tw Cen MT" w:cs="Calibri"/>
          <w:b/>
        </w:rPr>
      </w:pPr>
      <w:r w:rsidRPr="00990987">
        <w:rPr>
          <w:rFonts w:ascii="Tw Cen MT" w:hAnsi="Tw Cen MT" w:cs="Calibri"/>
          <w:b/>
        </w:rPr>
        <w:t>CREDITI DI DUBBIA ESIGIBILITA’</w:t>
      </w:r>
    </w:p>
    <w:p w:rsidR="00854852" w:rsidRDefault="00854852" w:rsidP="00854852">
      <w:pPr>
        <w:pStyle w:val="Default"/>
        <w:jc w:val="both"/>
        <w:rPr>
          <w:rFonts w:ascii="Tw Cen MT" w:hAnsi="Tw Cen MT" w:cs="Calibri"/>
        </w:rPr>
      </w:pPr>
      <w:r w:rsidRPr="00990987">
        <w:rPr>
          <w:rFonts w:ascii="Tw Cen MT" w:hAnsi="Tw Cen MT" w:cs="Calibri"/>
        </w:rPr>
        <w:t xml:space="preserve">Per i crediti di dubbia esigibilità, come previsto dalla Nota approfondimento </w:t>
      </w:r>
      <w:proofErr w:type="spellStart"/>
      <w:r w:rsidRPr="00990987">
        <w:rPr>
          <w:rFonts w:ascii="Tw Cen MT" w:hAnsi="Tw Cen MT" w:cs="Calibri"/>
        </w:rPr>
        <w:t>Ifel</w:t>
      </w:r>
      <w:proofErr w:type="spellEnd"/>
      <w:r w:rsidRPr="00990987">
        <w:rPr>
          <w:rFonts w:ascii="Tw Cen MT" w:hAnsi="Tw Cen MT" w:cs="Calibri"/>
        </w:rPr>
        <w:t xml:space="preserve"> del 2</w:t>
      </w:r>
      <w:r>
        <w:rPr>
          <w:rFonts w:ascii="Tw Cen MT" w:hAnsi="Tw Cen MT" w:cs="Calibri"/>
        </w:rPr>
        <w:t xml:space="preserve"> </w:t>
      </w:r>
      <w:r w:rsidRPr="00990987">
        <w:rPr>
          <w:rFonts w:ascii="Tw Cen MT" w:hAnsi="Tw Cen MT" w:cs="Calibri"/>
        </w:rPr>
        <w:t>marzo 2020, ed in linea con i principi contabili di cui all’alleg</w:t>
      </w:r>
      <w:r>
        <w:rPr>
          <w:rFonts w:ascii="Tw Cen MT" w:hAnsi="Tw Cen MT" w:cs="Calibri"/>
        </w:rPr>
        <w:t xml:space="preserve">ato 4/2, è stato valorizzato un </w:t>
      </w:r>
      <w:r w:rsidRPr="00990987">
        <w:rPr>
          <w:rFonts w:ascii="Tw Cen MT" w:hAnsi="Tw Cen MT" w:cs="Calibri"/>
        </w:rPr>
        <w:t>importo nei limiti degli stanziamenti previsionali d</w:t>
      </w:r>
      <w:r>
        <w:rPr>
          <w:rFonts w:ascii="Tw Cen MT" w:hAnsi="Tw Cen MT" w:cs="Calibri"/>
        </w:rPr>
        <w:t xml:space="preserve">efinitivamente assestati per l’ </w:t>
      </w:r>
      <w:r w:rsidRPr="00990987">
        <w:rPr>
          <w:rFonts w:ascii="Tw Cen MT" w:hAnsi="Tw Cen MT" w:cs="Calibri"/>
        </w:rPr>
        <w:t xml:space="preserve">annualità </w:t>
      </w:r>
      <w:r>
        <w:rPr>
          <w:rFonts w:ascii="Tw Cen MT" w:hAnsi="Tw Cen MT" w:cs="Calibri"/>
        </w:rPr>
        <w:t>2019</w:t>
      </w:r>
      <w:r w:rsidRPr="00990987">
        <w:rPr>
          <w:rFonts w:ascii="Tw Cen MT" w:hAnsi="Tw Cen MT" w:cs="Calibri"/>
        </w:rPr>
        <w:t>. Si precisa che detto valore è conf</w:t>
      </w:r>
      <w:r>
        <w:rPr>
          <w:rFonts w:ascii="Tw Cen MT" w:hAnsi="Tw Cen MT" w:cs="Calibri"/>
        </w:rPr>
        <w:t xml:space="preserve">orme a quanto previsto al punto </w:t>
      </w:r>
      <w:r w:rsidRPr="00990987">
        <w:rPr>
          <w:rFonts w:ascii="Tw Cen MT" w:hAnsi="Tw Cen MT" w:cs="Calibri"/>
        </w:rPr>
        <w:t>14.2 del MTR dell’allegato A alla Delibera ARERA N. 443/2019.</w:t>
      </w:r>
    </w:p>
    <w:p w:rsidR="00854852" w:rsidRPr="005B50C6" w:rsidRDefault="00854852" w:rsidP="00854852">
      <w:pPr>
        <w:pStyle w:val="Default"/>
        <w:jc w:val="both"/>
        <w:rPr>
          <w:rFonts w:ascii="Tw Cen MT" w:hAnsi="Tw Cen MT" w:cs="Calibri"/>
        </w:rPr>
      </w:pPr>
    </w:p>
    <w:p w:rsidR="00854852" w:rsidRPr="00FB3A60" w:rsidRDefault="00854852" w:rsidP="00854852">
      <w:pPr>
        <w:rPr>
          <w:rFonts w:ascii="Tw Cen MT" w:hAnsi="Tw Cen MT" w:cstheme="minorHAnsi"/>
          <w:b/>
          <w:bCs/>
          <w:u w:val="single"/>
        </w:rPr>
      </w:pPr>
      <w:r w:rsidRPr="00FB3A60">
        <w:rPr>
          <w:rFonts w:ascii="Tw Cen MT" w:hAnsi="Tw Cen MT" w:cstheme="minorHAnsi"/>
          <w:b/>
          <w:bCs/>
          <w:u w:val="single"/>
        </w:rPr>
        <w:t>CONTRIBUTI CONAI</w:t>
      </w:r>
    </w:p>
    <w:p w:rsidR="00854852" w:rsidRDefault="00854852" w:rsidP="00854852">
      <w:pPr>
        <w:rPr>
          <w:rFonts w:ascii="Tw Cen MT" w:hAnsi="Tw Cen MT"/>
          <w:lang w:eastAsia="en-GB"/>
        </w:rPr>
      </w:pPr>
      <w:r>
        <w:rPr>
          <w:rFonts w:ascii="Tw Cen MT" w:hAnsi="Tw Cen MT" w:cstheme="minorHAnsi"/>
        </w:rPr>
        <w:t>Il comune di Castel di Lama non ha avuto incasso di contributi diretti CONAI: i ricavi di vendita dei materiali al sistema CONAI di propria competenza, sono determinati ed esposti in detrazione nel PEF redatto dal gestore, in applicazione a quanto previsto dal MTR.</w:t>
      </w:r>
    </w:p>
    <w:p w:rsidR="009E0A33" w:rsidRDefault="009E0A33"/>
    <w:sectPr w:rsidR="009E0A3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w Cen MT">
    <w:altName w:val="Lucida Sans Unicode"/>
    <w:charset w:val="00"/>
    <w:family w:val="swiss"/>
    <w:pitch w:val="variable"/>
    <w:sig w:usb0="00000001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791BAA"/>
    <w:multiLevelType w:val="multilevel"/>
    <w:tmpl w:val="742E9482"/>
    <w:lvl w:ilvl="0">
      <w:start w:val="1"/>
      <w:numFmt w:val="decimal"/>
      <w:pStyle w:val="Tito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tabs>
          <w:tab w:val="num" w:pos="1144"/>
        </w:tabs>
        <w:ind w:left="1144" w:hanging="576"/>
      </w:pPr>
    </w:lvl>
    <w:lvl w:ilvl="2">
      <w:start w:val="1"/>
      <w:numFmt w:val="decimal"/>
      <w:pStyle w:val="Tito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1023C52"/>
    <w:multiLevelType w:val="hybridMultilevel"/>
    <w:tmpl w:val="9354A2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F17"/>
    <w:rsid w:val="00516F17"/>
    <w:rsid w:val="00854852"/>
    <w:rsid w:val="009E0A33"/>
    <w:rsid w:val="00D13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AE54A1-8CB8-4B00-B446-97BD9FBB4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5485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854852"/>
    <w:pPr>
      <w:keepNext/>
      <w:numPr>
        <w:numId w:val="1"/>
      </w:numPr>
      <w:spacing w:before="120" w:after="120"/>
      <w:outlineLvl w:val="0"/>
    </w:pPr>
    <w:rPr>
      <w:rFonts w:cs="Arial"/>
      <w:b/>
      <w:bCs/>
      <w:kern w:val="32"/>
      <w:sz w:val="26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854852"/>
    <w:pPr>
      <w:keepNext/>
      <w:numPr>
        <w:ilvl w:val="1"/>
        <w:numId w:val="1"/>
      </w:numPr>
      <w:spacing w:before="120" w:after="60"/>
      <w:jc w:val="left"/>
      <w:outlineLvl w:val="1"/>
    </w:pPr>
    <w:rPr>
      <w:rFonts w:cs="Arial"/>
      <w:b/>
      <w:bCs/>
      <w:iCs/>
      <w:lang w:eastAsia="en-GB"/>
    </w:rPr>
  </w:style>
  <w:style w:type="paragraph" w:styleId="Titolo3">
    <w:name w:val="heading 3"/>
    <w:basedOn w:val="Normale"/>
    <w:next w:val="Normale"/>
    <w:link w:val="Titolo3Carattere"/>
    <w:qFormat/>
    <w:rsid w:val="00854852"/>
    <w:pPr>
      <w:keepNext/>
      <w:numPr>
        <w:ilvl w:val="2"/>
        <w:numId w:val="1"/>
      </w:numPr>
      <w:spacing w:after="160"/>
      <w:outlineLvl w:val="2"/>
    </w:pPr>
    <w:rPr>
      <w:rFonts w:cs="Arial"/>
      <w:b/>
      <w:bCs/>
      <w:i/>
      <w:lang w:eastAsia="en-GB"/>
    </w:rPr>
  </w:style>
  <w:style w:type="paragraph" w:styleId="Titolo4">
    <w:name w:val="heading 4"/>
    <w:basedOn w:val="Normale"/>
    <w:next w:val="Normale"/>
    <w:link w:val="Titolo4Carattere"/>
    <w:qFormat/>
    <w:rsid w:val="00854852"/>
    <w:pPr>
      <w:keepNext/>
      <w:numPr>
        <w:ilvl w:val="3"/>
        <w:numId w:val="1"/>
      </w:numPr>
      <w:tabs>
        <w:tab w:val="clear" w:pos="864"/>
        <w:tab w:val="num" w:pos="2410"/>
      </w:tabs>
      <w:spacing w:after="120"/>
      <w:ind w:left="2552" w:hanging="1134"/>
      <w:jc w:val="left"/>
      <w:outlineLvl w:val="3"/>
    </w:pPr>
    <w:rPr>
      <w:bCs/>
      <w:i/>
    </w:rPr>
  </w:style>
  <w:style w:type="paragraph" w:styleId="Titolo5">
    <w:name w:val="heading 5"/>
    <w:basedOn w:val="Normale"/>
    <w:next w:val="Normale"/>
    <w:link w:val="Titolo5Carattere"/>
    <w:qFormat/>
    <w:rsid w:val="00854852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854852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qFormat/>
    <w:rsid w:val="00854852"/>
    <w:pPr>
      <w:numPr>
        <w:ilvl w:val="6"/>
        <w:numId w:val="1"/>
      </w:num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qFormat/>
    <w:rsid w:val="00854852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itolo9">
    <w:name w:val="heading 9"/>
    <w:basedOn w:val="Normale"/>
    <w:next w:val="Normale"/>
    <w:link w:val="Titolo9Carattere"/>
    <w:qFormat/>
    <w:rsid w:val="00854852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854852"/>
    <w:rPr>
      <w:rFonts w:ascii="Times New Roman" w:eastAsia="Times New Roman" w:hAnsi="Times New Roman" w:cs="Arial"/>
      <w:b/>
      <w:bCs/>
      <w:kern w:val="32"/>
      <w:sz w:val="26"/>
      <w:szCs w:val="32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854852"/>
    <w:rPr>
      <w:rFonts w:ascii="Times New Roman" w:eastAsia="Times New Roman" w:hAnsi="Times New Roman" w:cs="Arial"/>
      <w:b/>
      <w:bCs/>
      <w:iCs/>
      <w:sz w:val="24"/>
      <w:szCs w:val="24"/>
      <w:lang w:eastAsia="en-GB"/>
    </w:rPr>
  </w:style>
  <w:style w:type="character" w:customStyle="1" w:styleId="Titolo3Carattere">
    <w:name w:val="Titolo 3 Carattere"/>
    <w:basedOn w:val="Carpredefinitoparagrafo"/>
    <w:link w:val="Titolo3"/>
    <w:rsid w:val="00854852"/>
    <w:rPr>
      <w:rFonts w:ascii="Times New Roman" w:eastAsia="Times New Roman" w:hAnsi="Times New Roman" w:cs="Arial"/>
      <w:b/>
      <w:bCs/>
      <w:i/>
      <w:sz w:val="24"/>
      <w:szCs w:val="24"/>
      <w:lang w:eastAsia="en-GB"/>
    </w:rPr>
  </w:style>
  <w:style w:type="character" w:customStyle="1" w:styleId="Titolo4Carattere">
    <w:name w:val="Titolo 4 Carattere"/>
    <w:basedOn w:val="Carpredefinitoparagrafo"/>
    <w:link w:val="Titolo4"/>
    <w:rsid w:val="00854852"/>
    <w:rPr>
      <w:rFonts w:ascii="Times New Roman" w:eastAsia="Times New Roman" w:hAnsi="Times New Roman" w:cs="Times New Roman"/>
      <w:bCs/>
      <w:i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854852"/>
    <w:rPr>
      <w:rFonts w:ascii="Times New Roman" w:eastAsia="Times New Roman" w:hAnsi="Times New Roman" w:cs="Times New Roman"/>
      <w:b/>
      <w:bCs/>
      <w:i/>
      <w:iCs/>
      <w:sz w:val="26"/>
      <w:szCs w:val="26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854852"/>
    <w:rPr>
      <w:rFonts w:ascii="Times New Roman" w:eastAsia="Times New Roman" w:hAnsi="Times New Roman" w:cs="Times New Roman"/>
      <w:b/>
      <w:bCs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854852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854852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854852"/>
    <w:rPr>
      <w:rFonts w:ascii="Arial" w:eastAsia="Times New Roman" w:hAnsi="Arial" w:cs="Arial"/>
      <w:lang w:eastAsia="it-IT"/>
    </w:rPr>
  </w:style>
  <w:style w:type="paragraph" w:customStyle="1" w:styleId="Default">
    <w:name w:val="Default"/>
    <w:rsid w:val="0085485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509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Cacciamani</dc:creator>
  <cp:keywords/>
  <dc:description/>
  <cp:lastModifiedBy>Monica Cacciamani</cp:lastModifiedBy>
  <cp:revision>2</cp:revision>
  <dcterms:created xsi:type="dcterms:W3CDTF">2021-06-28T11:25:00Z</dcterms:created>
  <dcterms:modified xsi:type="dcterms:W3CDTF">2021-06-28T11:25:00Z</dcterms:modified>
</cp:coreProperties>
</file>