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01" w:rsidRPr="00376C01" w:rsidRDefault="00376C01" w:rsidP="0037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  <w:r w:rsidRPr="00376C0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COMUNE DI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VENAROTTA</w:t>
      </w:r>
    </w:p>
    <w:p w:rsidR="00376C01" w:rsidRPr="00376C01" w:rsidRDefault="00376C01" w:rsidP="0037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6C01">
        <w:rPr>
          <w:rFonts w:ascii="Times New Roman" w:eastAsia="Times New Roman" w:hAnsi="Times New Roman" w:cs="Times New Roman"/>
          <w:sz w:val="24"/>
          <w:szCs w:val="24"/>
          <w:lang w:eastAsia="ar-SA"/>
        </w:rPr>
        <w:t>(Provincia di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Ascoli Piceno)</w:t>
      </w:r>
    </w:p>
    <w:p w:rsidR="00376C01" w:rsidRPr="00376C01" w:rsidRDefault="00376C01" w:rsidP="0037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376C01" w:rsidRDefault="0089644B" w:rsidP="00376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44B">
        <w:rPr>
          <w:rFonts w:ascii="Times New Roman" w:eastAsia="Times New Roman" w:hAnsi="Times New Roman" w:cs="Times New Roman"/>
          <w:sz w:val="28"/>
          <w:szCs w:val="28"/>
          <w:lang w:eastAsia="ar-SA"/>
        </w:rPr>
        <w:t>Premessa</w:t>
      </w:r>
    </w:p>
    <w:p w:rsidR="0084419A" w:rsidRDefault="0084419A" w:rsidP="00376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3F8E" w:rsidRDefault="0089644B" w:rsidP="00376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premette che è stato </w:t>
      </w:r>
      <w:r w:rsidR="00853F8E">
        <w:rPr>
          <w:rFonts w:ascii="Times New Roman" w:eastAsia="Times New Roman" w:hAnsi="Times New Roman" w:cs="Times New Roman"/>
          <w:sz w:val="24"/>
          <w:szCs w:val="24"/>
          <w:lang w:eastAsia="ar-SA"/>
        </w:rPr>
        <w:t>sottoscritto il nuovo CCNL Funzioni Locali in data 21.05.2018</w:t>
      </w:r>
    </w:p>
    <w:p w:rsidR="00853F8E" w:rsidRDefault="00853F8E" w:rsidP="00376C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 sede di contrattazione decentrata si sono discussi i seguenti punti:</w:t>
      </w:r>
    </w:p>
    <w:p w:rsidR="00853F8E" w:rsidRDefault="00853F8E" w:rsidP="006C237F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Ripartizione fondo 2018 (cci economico)</w:t>
      </w:r>
    </w:p>
    <w:p w:rsidR="00853F8E" w:rsidRDefault="00853F8E" w:rsidP="006C237F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Approvazione nuovo cci parte normativa</w:t>
      </w:r>
    </w:p>
    <w:p w:rsidR="00853F8E" w:rsidRDefault="00853F8E" w:rsidP="00376C0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6C01" w:rsidRPr="00376C01" w:rsidRDefault="00376C01" w:rsidP="00376C0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C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Relazione illustrativa</w:t>
      </w:r>
    </w:p>
    <w:p w:rsidR="00376C01" w:rsidRPr="00376C01" w:rsidRDefault="00376C01" w:rsidP="00376C01">
      <w:pPr>
        <w:shd w:val="clear" w:color="auto" w:fill="F3F3F3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376C01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Modulo 1 - Scheda 1.1 Illustrazione degli aspetti procedurali, sintesi del contenuto del contratto ed autodichiarazione relative agli adempimenti della legge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940"/>
        <w:gridCol w:w="6999"/>
      </w:tblGrid>
      <w:tr w:rsidR="00376C01" w:rsidRPr="00376C01" w:rsidTr="00376C01">
        <w:tc>
          <w:tcPr>
            <w:tcW w:w="3369" w:type="dxa"/>
            <w:gridSpan w:val="2"/>
            <w:vAlign w:val="center"/>
          </w:tcPr>
          <w:p w:rsidR="00376C01" w:rsidRPr="00882320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23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Data di sottoscrizione</w:t>
            </w:r>
          </w:p>
        </w:tc>
        <w:tc>
          <w:tcPr>
            <w:tcW w:w="6999" w:type="dxa"/>
          </w:tcPr>
          <w:p w:rsidR="009C5D20" w:rsidRPr="00882320" w:rsidRDefault="00376C01" w:rsidP="009C5D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823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Preintesa </w:t>
            </w:r>
            <w:r w:rsidR="00853F8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11.12.2018</w:t>
            </w:r>
          </w:p>
          <w:p w:rsidR="00376C01" w:rsidRPr="00882320" w:rsidRDefault="00376C01" w:rsidP="00853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ar-SA"/>
              </w:rPr>
              <w:t xml:space="preserve">Contratto </w:t>
            </w:r>
            <w:r w:rsidR="00853F8E" w:rsidRP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ar-SA"/>
              </w:rPr>
              <w:t>………….</w:t>
            </w:r>
          </w:p>
        </w:tc>
      </w:tr>
      <w:tr w:rsidR="00376C01" w:rsidRPr="00376C01" w:rsidTr="00376C01">
        <w:tc>
          <w:tcPr>
            <w:tcW w:w="3369" w:type="dxa"/>
            <w:gridSpan w:val="2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Periodo temporale di vigenza</w:t>
            </w:r>
          </w:p>
        </w:tc>
        <w:tc>
          <w:tcPr>
            <w:tcW w:w="6999" w:type="dxa"/>
          </w:tcPr>
          <w:p w:rsidR="00376C01" w:rsidRPr="00376C01" w:rsidRDefault="00853F8E" w:rsidP="009C5D20">
            <w:pPr>
              <w:tabs>
                <w:tab w:val="left" w:pos="45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Economico </w:t>
            </w:r>
            <w:r w:rsidR="00376C01"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2018 – Normativo 2018 -2020</w:t>
            </w:r>
          </w:p>
        </w:tc>
      </w:tr>
      <w:tr w:rsidR="00376C01" w:rsidRPr="00067EAC" w:rsidTr="00376C01">
        <w:trPr>
          <w:trHeight w:val="730"/>
        </w:trPr>
        <w:tc>
          <w:tcPr>
            <w:tcW w:w="3369" w:type="dxa"/>
            <w:gridSpan w:val="2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Composizione</w:t>
            </w: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br/>
              <w:t>della delegazione trattante</w:t>
            </w:r>
          </w:p>
        </w:tc>
        <w:tc>
          <w:tcPr>
            <w:tcW w:w="6999" w:type="dxa"/>
          </w:tcPr>
          <w:p w:rsidR="00376C01" w:rsidRPr="00067EAC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Parte Pubblica (ruoli/qualifiche ricoperti):</w:t>
            </w:r>
          </w:p>
          <w:p w:rsidR="00067EAC" w:rsidRPr="00067EAC" w:rsidRDefault="00067EAC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I Responsabili delle Aree:</w:t>
            </w:r>
          </w:p>
          <w:p w:rsidR="00067EAC" w:rsidRPr="00067EAC" w:rsidRDefault="009C5D20" w:rsidP="006C237F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F</w:t>
            </w:r>
            <w:r w:rsidR="00067EAC"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inanziaria – </w:t>
            </w:r>
            <w:r w:rsidR="00376C01"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Presidente</w:t>
            </w:r>
            <w:r w:rsidR="00067EAC"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</w:p>
          <w:p w:rsidR="00067EAC" w:rsidRPr="00067EAC" w:rsidRDefault="00067EAC" w:rsidP="006C237F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Amministrativa – Componente</w:t>
            </w:r>
          </w:p>
          <w:p w:rsidR="00376C01" w:rsidRPr="00067EAC" w:rsidRDefault="00067EAC" w:rsidP="006C237F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Urbanistica– Componente</w:t>
            </w:r>
          </w:p>
          <w:p w:rsidR="00067EAC" w:rsidRPr="00067EAC" w:rsidRDefault="009C5D20" w:rsidP="006C237F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Tecnica</w:t>
            </w:r>
            <w:r w:rsidR="00067EAC"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– Componente</w:t>
            </w:r>
          </w:p>
          <w:p w:rsidR="00067EAC" w:rsidRPr="00067EAC" w:rsidRDefault="00067EAC" w:rsidP="006C237F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Demografica – Urp – Componente</w:t>
            </w:r>
          </w:p>
          <w:p w:rsidR="009C5D20" w:rsidRDefault="009C5D20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067EAC" w:rsidRPr="00067EAC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Organizzazioni sindacali ammesse alla contrattazione (elenco sigle): FP-CGIL, CISL-FP, UIL-FPL</w:t>
            </w:r>
            <w:r w:rsidR="00853F8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 CSA</w:t>
            </w:r>
          </w:p>
          <w:p w:rsidR="00067EAC" w:rsidRDefault="00376C01" w:rsidP="00067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Firmatarie della preintesa: </w:t>
            </w:r>
            <w:r w:rsid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CISL/FP</w:t>
            </w:r>
            <w:r w:rsidR="00853F8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, RSU</w:t>
            </w:r>
          </w:p>
          <w:p w:rsidR="00E629F9" w:rsidRDefault="00376C01" w:rsidP="00067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Firmatarie del </w:t>
            </w:r>
            <w:r w:rsidR="00853F8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contratto……………</w:t>
            </w:r>
          </w:p>
          <w:p w:rsidR="00E629F9" w:rsidRDefault="00E629F9" w:rsidP="00067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376C01" w:rsidRPr="00067EAC" w:rsidRDefault="00882320" w:rsidP="00853F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376C01" w:rsidRPr="00376C01" w:rsidTr="00376C01">
        <w:trPr>
          <w:trHeight w:val="427"/>
        </w:trPr>
        <w:tc>
          <w:tcPr>
            <w:tcW w:w="3369" w:type="dxa"/>
            <w:gridSpan w:val="2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Soggetti destinatari</w:t>
            </w:r>
          </w:p>
        </w:tc>
        <w:tc>
          <w:tcPr>
            <w:tcW w:w="6999" w:type="dxa"/>
          </w:tcPr>
          <w:p w:rsidR="00376C01" w:rsidRPr="00376C01" w:rsidRDefault="00376C01" w:rsidP="00067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Personale </w:t>
            </w:r>
            <w:r w:rsidR="00067EA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dipendente</w:t>
            </w:r>
          </w:p>
        </w:tc>
      </w:tr>
      <w:tr w:rsidR="00376C01" w:rsidRPr="00376C01" w:rsidTr="00376C01">
        <w:trPr>
          <w:trHeight w:val="724"/>
        </w:trPr>
        <w:tc>
          <w:tcPr>
            <w:tcW w:w="3369" w:type="dxa"/>
            <w:gridSpan w:val="2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Materie trattate dal contratto integrativo (descrizione sintetica)</w:t>
            </w:r>
          </w:p>
        </w:tc>
        <w:tc>
          <w:tcPr>
            <w:tcW w:w="6999" w:type="dxa"/>
          </w:tcPr>
          <w:p w:rsidR="00376C01" w:rsidRDefault="002B6DD9" w:rsidP="006C237F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PARTE ECONOMICA : </w:t>
            </w:r>
            <w:r w:rsidR="00376C01" w:rsidRPr="002B6DD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Utilizzo risorse decentrate dell’anno </w:t>
            </w:r>
            <w:r w:rsidR="009C5D20" w:rsidRPr="002B6DD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201</w:t>
            </w:r>
            <w:r w:rsidRPr="002B6DD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8</w:t>
            </w:r>
            <w:r w:rsidR="00376C01" w:rsidRPr="002B6DD9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.</w:t>
            </w:r>
          </w:p>
          <w:p w:rsidR="002B6DD9" w:rsidRPr="002B6DD9" w:rsidRDefault="002B6DD9" w:rsidP="006C237F">
            <w:pPr>
              <w:pStyle w:val="Paragrafoelenco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PARTE NORMATIVA: materie di cui all’art. 7 CCNL </w:t>
            </w:r>
          </w:p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376C01" w:rsidRPr="00376C01" w:rsidTr="00376C01">
        <w:trPr>
          <w:cantSplit/>
          <w:trHeight w:val="1107"/>
        </w:trPr>
        <w:tc>
          <w:tcPr>
            <w:tcW w:w="1429" w:type="dxa"/>
            <w:vMerge w:val="restart"/>
            <w:textDirection w:val="btLr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Rispetto dell’iter </w:t>
            </w:r>
          </w:p>
          <w:p w:rsidR="00376C01" w:rsidRPr="00376C01" w:rsidRDefault="00376C01" w:rsidP="00376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adempimenti procedurale</w:t>
            </w:r>
          </w:p>
          <w:p w:rsidR="00376C01" w:rsidRPr="00376C01" w:rsidRDefault="00376C01" w:rsidP="00376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e degli atti propedeutici e successivi alla contrattazione</w:t>
            </w:r>
          </w:p>
        </w:tc>
        <w:tc>
          <w:tcPr>
            <w:tcW w:w="1940" w:type="dxa"/>
            <w:vMerge w:val="restart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Intervento dell’Organo di controllo interno. </w:t>
            </w:r>
          </w:p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Allegazione della Certificazione dell’Organo di controllo interno alla Relazione illustrativa.</w:t>
            </w:r>
          </w:p>
        </w:tc>
        <w:tc>
          <w:tcPr>
            <w:tcW w:w="6999" w:type="dxa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È stata acquisita la certificazione dell’Organo di controllo interno?</w:t>
            </w:r>
          </w:p>
          <w:p w:rsidR="00376C01" w:rsidRPr="00376C01" w:rsidRDefault="00376C01" w:rsidP="002B6D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ar-SA"/>
              </w:rPr>
              <w:t>Sì in data</w:t>
            </w:r>
            <w:r w:rsidR="00067EAC" w:rsidRP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ar-SA"/>
              </w:rPr>
              <w:t xml:space="preserve"> </w:t>
            </w:r>
            <w:r w:rsidR="002B6DD9" w:rsidRP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ar-SA"/>
              </w:rPr>
              <w:t>…………</w:t>
            </w:r>
          </w:p>
        </w:tc>
      </w:tr>
      <w:tr w:rsidR="00376C01" w:rsidRPr="00376C01" w:rsidTr="00376C01">
        <w:trPr>
          <w:cantSplit/>
          <w:trHeight w:val="919"/>
        </w:trPr>
        <w:tc>
          <w:tcPr>
            <w:tcW w:w="1429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40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999" w:type="dxa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Nel caso l’Organo di controllo interno abbia effettuato rilievi, descriverli?</w:t>
            </w:r>
          </w:p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376C01" w:rsidRPr="00376C01" w:rsidRDefault="00376C01" w:rsidP="00810C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2B6DD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  <w:t>Nessun rilievo</w:t>
            </w: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76C01" w:rsidRPr="00376C01" w:rsidTr="00376C01">
        <w:trPr>
          <w:cantSplit/>
          <w:trHeight w:val="600"/>
        </w:trPr>
        <w:tc>
          <w:tcPr>
            <w:tcW w:w="1429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Attestazione del rispetto degli obblighi di legge che in caso di inadempimento comportano la sanzione del divieto </w:t>
            </w: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di erogazione della retribuzione accessoria</w:t>
            </w:r>
          </w:p>
        </w:tc>
        <w:tc>
          <w:tcPr>
            <w:tcW w:w="6999" w:type="dxa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È stato adottato il Piano della performance previsto dall’art. 10 del d.lgs. 150/2009</w:t>
            </w:r>
            <w:r w:rsidR="002B6DD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?</w:t>
            </w:r>
          </w:p>
          <w:p w:rsidR="00376C01" w:rsidRPr="00810C60" w:rsidRDefault="009C5D20" w:rsidP="002B6D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Con </w:t>
            </w:r>
            <w:r w:rsidRPr="009C5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D.G.C. n. </w:t>
            </w:r>
            <w:r w:rsidR="002B6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10C60" w:rsidRPr="00810C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è stato approvato il Piano delle Risor</w:t>
            </w:r>
            <w:r w:rsid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se e degli Obiettivi – anno 2018</w:t>
            </w:r>
            <w:r w:rsidR="00810C60" w:rsidRPr="00810C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– Piano della Performance.</w:t>
            </w:r>
          </w:p>
        </w:tc>
      </w:tr>
      <w:tr w:rsidR="00376C01" w:rsidRPr="00376C01" w:rsidTr="00376C01">
        <w:trPr>
          <w:cantSplit/>
          <w:trHeight w:val="500"/>
        </w:trPr>
        <w:tc>
          <w:tcPr>
            <w:tcW w:w="1429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40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999" w:type="dxa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È stato adottato il Programma triennale per la trasparenza e l’integrità previsto dall’art. 10, comma 8, lettera a) del d.lgs. 33/2013</w:t>
            </w:r>
            <w:r w:rsidR="004E6A06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  <w:p w:rsidR="00376C01" w:rsidRPr="00376C01" w:rsidRDefault="00376C01" w:rsidP="002B6D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Il programma</w:t>
            </w:r>
            <w:r w:rsidR="00810C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triennale della trasparenza ed integrità </w:t>
            </w:r>
            <w:r w:rsid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2018/20</w:t>
            </w: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è stato </w:t>
            </w:r>
            <w:r w:rsidR="00810C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aggiornato con Deliberazione di G.C. N. </w:t>
            </w:r>
            <w:r w:rsidR="002B6D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8/2018</w:t>
            </w:r>
          </w:p>
        </w:tc>
      </w:tr>
      <w:tr w:rsidR="00376C01" w:rsidRPr="00376C01" w:rsidTr="00376C01">
        <w:trPr>
          <w:cantSplit/>
          <w:trHeight w:val="610"/>
        </w:trPr>
        <w:tc>
          <w:tcPr>
            <w:tcW w:w="1429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40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999" w:type="dxa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È stato assolto l’obbligo di pubblicazione di cui ai commi 6 e 8 dell’art. 11 del d.lgs. 150/2009</w:t>
            </w: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footnoteReference w:id="1"/>
            </w: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?</w:t>
            </w: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Sì per quanto di competenza.</w:t>
            </w:r>
          </w:p>
        </w:tc>
      </w:tr>
      <w:tr w:rsidR="00376C01" w:rsidRPr="00376C01" w:rsidTr="00376C01">
        <w:trPr>
          <w:cantSplit/>
          <w:trHeight w:val="610"/>
        </w:trPr>
        <w:tc>
          <w:tcPr>
            <w:tcW w:w="1429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40" w:type="dxa"/>
            <w:vMerge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999" w:type="dxa"/>
            <w:vAlign w:val="center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La Relazione della Performance è stata validata dall’OIV ai sensi dell’articolo 14, comma 6. del d.lgs. n. 150/2009?</w:t>
            </w:r>
          </w:p>
          <w:p w:rsidR="00376C01" w:rsidRPr="007C6C76" w:rsidRDefault="007C6C76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C6C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Non ancora</w:t>
            </w:r>
          </w:p>
        </w:tc>
      </w:tr>
      <w:tr w:rsidR="00376C01" w:rsidRPr="00376C01" w:rsidTr="00376C01">
        <w:trPr>
          <w:trHeight w:val="1265"/>
        </w:trPr>
        <w:tc>
          <w:tcPr>
            <w:tcW w:w="10368" w:type="dxa"/>
            <w:gridSpan w:val="3"/>
          </w:tcPr>
          <w:p w:rsidR="00376C01" w:rsidRPr="00376C01" w:rsidRDefault="00376C01" w:rsidP="00376C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76C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Eventuali osservazioni =============</w:t>
            </w:r>
          </w:p>
        </w:tc>
      </w:tr>
    </w:tbl>
    <w:p w:rsidR="002B6DD9" w:rsidRPr="002C7545" w:rsidRDefault="002B6DD9" w:rsidP="002B6DD9">
      <w:pPr>
        <w:spacing w:after="80" w:line="312" w:lineRule="auto"/>
        <w:jc w:val="both"/>
        <w:rPr>
          <w:rFonts w:ascii="Arial" w:hAnsi="Arial" w:cs="Arial"/>
          <w:sz w:val="24"/>
          <w:szCs w:val="24"/>
        </w:rPr>
      </w:pPr>
      <w:r w:rsidRPr="002C7545">
        <w:rPr>
          <w:rFonts w:ascii="Arial" w:hAnsi="Arial" w:cs="Arial"/>
          <w:b/>
          <w:spacing w:val="2"/>
          <w:sz w:val="24"/>
          <w:szCs w:val="24"/>
        </w:rPr>
        <w:t>Sezione 1 – Attestazione della compatibilità con i vincoli derivanti da norme di legge e di</w:t>
      </w:r>
      <w:r w:rsidRPr="002C7545">
        <w:rPr>
          <w:rFonts w:ascii="Arial" w:hAnsi="Arial" w:cs="Arial"/>
          <w:b/>
          <w:sz w:val="24"/>
          <w:szCs w:val="24"/>
        </w:rPr>
        <w:t xml:space="preserve"> contratto</w:t>
      </w:r>
      <w:r w:rsidRPr="002C7545">
        <w:rPr>
          <w:rFonts w:ascii="Arial" w:hAnsi="Arial" w:cs="Arial"/>
          <w:sz w:val="24"/>
          <w:szCs w:val="24"/>
        </w:rPr>
        <w:t xml:space="preserve"> </w:t>
      </w:r>
      <w:r w:rsidRPr="002C7545">
        <w:rPr>
          <w:rFonts w:ascii="Arial" w:hAnsi="Arial" w:cs="Arial"/>
          <w:b/>
          <w:sz w:val="24"/>
          <w:szCs w:val="24"/>
        </w:rPr>
        <w:t>nazionale:</w:t>
      </w:r>
    </w:p>
    <w:p w:rsidR="002B6DD9" w:rsidRPr="00293F71" w:rsidRDefault="002B6DD9" w:rsidP="002B6DD9">
      <w:pPr>
        <w:spacing w:after="80" w:line="312" w:lineRule="auto"/>
        <w:ind w:left="227" w:hanging="227"/>
        <w:jc w:val="both"/>
        <w:rPr>
          <w:rFonts w:ascii="Arial" w:hAnsi="Arial" w:cs="Arial"/>
          <w:u w:val="single"/>
        </w:rPr>
      </w:pPr>
      <w:r w:rsidRPr="00A83288">
        <w:rPr>
          <w:rFonts w:ascii="Arial" w:hAnsi="Arial" w:cs="Arial"/>
        </w:rPr>
        <w:t>-</w:t>
      </w:r>
      <w:r w:rsidRPr="00A83288">
        <w:rPr>
          <w:rFonts w:ascii="Arial" w:hAnsi="Arial" w:cs="Arial"/>
        </w:rPr>
        <w:tab/>
      </w:r>
      <w:r w:rsidRPr="00293F71">
        <w:rPr>
          <w:rFonts w:ascii="Arial" w:hAnsi="Arial" w:cs="Arial"/>
          <w:u w:val="single"/>
        </w:rPr>
        <w:t xml:space="preserve">illustrazione di quanto disposto dal contratto integrativo, in modo da fornire un quadro esaustivo </w:t>
      </w:r>
      <w:r w:rsidRPr="00A83288">
        <w:rPr>
          <w:rFonts w:ascii="Arial" w:hAnsi="Arial" w:cs="Arial"/>
          <w:spacing w:val="-4"/>
          <w:u w:val="single"/>
        </w:rPr>
        <w:t>della regolamentazione di ogni ambito/materia e delle norme legislative e contrattuali che legittimano</w:t>
      </w:r>
      <w:r w:rsidRPr="00293F71">
        <w:rPr>
          <w:rFonts w:ascii="Arial" w:hAnsi="Arial" w:cs="Arial"/>
          <w:u w:val="single"/>
        </w:rPr>
        <w:t xml:space="preserve"> la contrattazione integrativa della specifica materia trattata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E2355F">
        <w:trPr>
          <w:jc w:val="center"/>
        </w:trPr>
        <w:tc>
          <w:tcPr>
            <w:tcW w:w="9639" w:type="dxa"/>
            <w:shd w:val="clear" w:color="auto" w:fill="auto"/>
          </w:tcPr>
          <w:p w:rsidR="00477BF0" w:rsidRPr="00E2355F" w:rsidRDefault="00477BF0" w:rsidP="004E6A06">
            <w:pPr>
              <w:spacing w:line="240" w:lineRule="auto"/>
              <w:ind w:right="-6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bookmarkStart w:id="1" w:name="page7"/>
            <w:bookmarkEnd w:id="1"/>
            <w:r w:rsidRPr="00E2355F">
              <w:rPr>
                <w:rFonts w:ascii="Bookman Old Style" w:eastAsia="Bookman Old Style" w:hAnsi="Bookman Old Style" w:cs="Bookman Old Style"/>
                <w:b/>
                <w:i/>
                <w:sz w:val="14"/>
                <w:szCs w:val="14"/>
              </w:rPr>
              <w:t>TITOLO I - DISPOSIZIONI GENERALI</w:t>
            </w:r>
          </w:p>
          <w:p w:rsidR="00477BF0" w:rsidRPr="00477BF0" w:rsidRDefault="00477BF0" w:rsidP="004E6A06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Oggetto e obiettivi</w:t>
            </w:r>
          </w:p>
          <w:p w:rsidR="00477BF0" w:rsidRPr="00477BF0" w:rsidRDefault="00477BF0" w:rsidP="004E6A06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Ambito di applicazione</w:t>
            </w:r>
          </w:p>
          <w:p w:rsidR="00477BF0" w:rsidRPr="00477BF0" w:rsidRDefault="00477BF0" w:rsidP="004E6A06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white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3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  <w:highlight w:val="white"/>
              </w:rPr>
              <w:t>Durata - Revisione</w:t>
            </w:r>
          </w:p>
          <w:p w:rsidR="00477BF0" w:rsidRPr="00E2355F" w:rsidRDefault="00477BF0" w:rsidP="004E6A06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bookmarkStart w:id="2" w:name="page8"/>
            <w:bookmarkEnd w:id="2"/>
            <w:r w:rsidRPr="00E2355F">
              <w:rPr>
                <w:rFonts w:ascii="Bookman Old Style" w:eastAsia="Bookman Old Style" w:hAnsi="Bookman Old Style" w:cs="Bookman Old Style"/>
                <w:b/>
                <w:i/>
                <w:sz w:val="14"/>
                <w:szCs w:val="14"/>
              </w:rPr>
              <w:t>TITOLO II - RISORSE DECENTRATE</w:t>
            </w:r>
          </w:p>
          <w:p w:rsidR="00477BF0" w:rsidRPr="00477BF0" w:rsidRDefault="00477BF0" w:rsidP="004E6A06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4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Criteri per la ripartizione e destinazione delle risorse decentrate stabili e variabili</w:t>
            </w:r>
          </w:p>
          <w:p w:rsidR="00477BF0" w:rsidRPr="00477BF0" w:rsidRDefault="00477BF0" w:rsidP="004E6A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5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Criteri per l’attribuzione delle risorse destinate all’organizzazione e alla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performance</w:t>
            </w:r>
          </w:p>
          <w:p w:rsidR="00477BF0" w:rsidRPr="00477BF0" w:rsidRDefault="00477BF0" w:rsidP="004E6A06">
            <w:pPr>
              <w:spacing w:line="240" w:lineRule="auto"/>
              <w:ind w:right="-19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6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Differenziazione del premio individuale (art. 69, CCNL 2016-2018)</w:t>
            </w:r>
          </w:p>
          <w:p w:rsidR="00477BF0" w:rsidRPr="00477BF0" w:rsidRDefault="00477BF0" w:rsidP="004E6A06">
            <w:pPr>
              <w:spacing w:line="240" w:lineRule="auto"/>
              <w:ind w:right="-19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7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Progressioni economiche</w:t>
            </w:r>
          </w:p>
          <w:p w:rsidR="00477BF0" w:rsidRPr="00477BF0" w:rsidRDefault="00477BF0" w:rsidP="004E6A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8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Indennità condizioni di lavoro (art. 70-bis, CCNL 2016-2018)</w:t>
            </w:r>
          </w:p>
          <w:p w:rsidR="00477BF0" w:rsidRPr="00477BF0" w:rsidRDefault="00477BF0" w:rsidP="004E6A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9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Indennità per specifiche responsabilità (art. 70-quinquies, comma 1, CCNL 2016- 2018)</w:t>
            </w:r>
          </w:p>
          <w:p w:rsidR="00477BF0" w:rsidRPr="00477BF0" w:rsidRDefault="00477BF0" w:rsidP="004E6A06">
            <w:pPr>
              <w:spacing w:line="240" w:lineRule="auto"/>
              <w:ind w:right="-19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10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Indennità di reperibilità - incremento (art. 24,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11</w:t>
            </w:r>
            <w:r w:rsidR="004E6A06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Correlazione tra la retribuzione di risultato e particolari compensi (art. 18, lett. h,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CCNL 2016-2018)</w:t>
            </w:r>
          </w:p>
          <w:p w:rsidR="00477BF0" w:rsidRPr="00477BF0" w:rsidRDefault="00477BF0" w:rsidP="00E2355F">
            <w:pPr>
              <w:spacing w:line="240" w:lineRule="auto"/>
              <w:ind w:right="-119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12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Misure per la sicurezza nei luoghi di lavoro (art. 7, c. 4, lett. m,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13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Contingente dei lavoratori a tempo parziale (art. 53,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bookmarkStart w:id="3" w:name="page16"/>
            <w:bookmarkEnd w:id="3"/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15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Flessibilità dell’orario di lavoro (art 27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16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Orario di lavoro e orario multiperiodale (artt. 22 e 25,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18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Innovazioni tecnologiche e qualità del lavoro (art. 7, c. 4, lett. t, CCNL 2016-2018)</w:t>
            </w:r>
          </w:p>
          <w:p w:rsidR="00477BF0" w:rsidRPr="00477BF0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19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Incremento di risorse per retribuzione di posizione e risultato (art. 7, comma 4, lett. u, CCNL 2016-2018)</w:t>
            </w:r>
          </w:p>
          <w:p w:rsidR="00477BF0" w:rsidRPr="00E2355F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20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Criteri generali per la determinazione della retribuzione di risultato dei titolari di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</w:t>
            </w:r>
            <w:r w:rsidRP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P.O. (art. 7, comma 4, lett. v, CCNL 2016-2018)</w:t>
            </w:r>
          </w:p>
          <w:p w:rsidR="00477BF0" w:rsidRPr="00477BF0" w:rsidRDefault="00477BF0" w:rsidP="00E2355F">
            <w:pPr>
              <w:spacing w:line="240" w:lineRule="auto"/>
              <w:ind w:right="13"/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21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Turnazioni (art. 23, CCNL 2016-2018)</w:t>
            </w:r>
          </w:p>
          <w:p w:rsidR="00477BF0" w:rsidRPr="00E2355F" w:rsidRDefault="00477BF0" w:rsidP="00E2355F">
            <w:pPr>
              <w:spacing w:line="240" w:lineRule="auto"/>
              <w:ind w:right="-6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bookmarkStart w:id="4" w:name="page19"/>
            <w:bookmarkEnd w:id="4"/>
            <w:r w:rsidRPr="00E2355F">
              <w:rPr>
                <w:rFonts w:ascii="Bookman Old Style" w:eastAsia="Bookman Old Style" w:hAnsi="Bookman Old Style" w:cs="Bookman Old Style"/>
                <w:b/>
                <w:i/>
                <w:sz w:val="14"/>
                <w:szCs w:val="14"/>
              </w:rPr>
              <w:t>TITOLO III - PERSONALE POLIZIA LOCALE</w:t>
            </w:r>
          </w:p>
          <w:p w:rsidR="00477BF0" w:rsidRPr="00477BF0" w:rsidRDefault="00477BF0" w:rsidP="00E2355F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22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Indennità di servizio esterno (art. 56-quinquies, CCNL 2016-2018)</w:t>
            </w:r>
          </w:p>
          <w:p w:rsidR="00477BF0" w:rsidRPr="00477BF0" w:rsidRDefault="00477BF0" w:rsidP="00E2355F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23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Indennità di funzione (art. 56-sexies, CCNL  2016-2018)</w:t>
            </w:r>
          </w:p>
          <w:p w:rsidR="00477BF0" w:rsidRPr="00477BF0" w:rsidRDefault="00477BF0" w:rsidP="00E2355F">
            <w:pPr>
              <w:spacing w:line="240" w:lineRule="auto"/>
              <w:ind w:right="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Art. 24</w:t>
            </w:r>
            <w:r w:rsidR="00E2355F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Proventi delle violazioni al Codice della strada (art. 56-quater, CCNL 2016-2018)</w:t>
            </w:r>
          </w:p>
          <w:p w:rsidR="00477BF0" w:rsidRPr="00E2355F" w:rsidRDefault="00477BF0" w:rsidP="00E2355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bookmarkStart w:id="5" w:name="page21"/>
            <w:bookmarkEnd w:id="5"/>
            <w:r w:rsidRPr="00E2355F">
              <w:rPr>
                <w:rFonts w:ascii="Bookman Old Style" w:eastAsia="Bookman Old Style" w:hAnsi="Bookman Old Style" w:cs="Bookman Old Style"/>
                <w:b/>
                <w:i/>
                <w:sz w:val="14"/>
                <w:szCs w:val="14"/>
              </w:rPr>
              <w:t>TITOLO IV - TRATTAMENTI ACCESSORI FISSATI PER LEGGE</w:t>
            </w:r>
          </w:p>
          <w:p w:rsidR="00477BF0" w:rsidRPr="00477BF0" w:rsidRDefault="00E2355F" w:rsidP="00E2355F">
            <w:pPr>
              <w:spacing w:line="240" w:lineRule="auto"/>
              <w:ind w:right="13"/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A</w:t>
            </w:r>
            <w:r w:rsidR="00477BF0"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rt. 25</w:t>
            </w:r>
            <w:r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 xml:space="preserve"> - </w:t>
            </w:r>
            <w:r w:rsidR="00477BF0" w:rsidRPr="00477BF0"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  <w:t>Trattamenti accessori fissati per legge</w:t>
            </w:r>
          </w:p>
          <w:p w:rsidR="00477BF0" w:rsidRPr="00E2355F" w:rsidRDefault="00477BF0" w:rsidP="00E2355F">
            <w:pPr>
              <w:pageBreakBefore/>
              <w:spacing w:line="240" w:lineRule="auto"/>
              <w:ind w:right="-6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bookmarkStart w:id="6" w:name="page22"/>
            <w:bookmarkEnd w:id="6"/>
            <w:r w:rsidRPr="00E2355F">
              <w:rPr>
                <w:rFonts w:ascii="Bookman Old Style" w:eastAsia="Bookman Old Style" w:hAnsi="Bookman Old Style" w:cs="Bookman Old Style"/>
                <w:b/>
                <w:i/>
                <w:sz w:val="14"/>
                <w:szCs w:val="14"/>
              </w:rPr>
              <w:t>ALLEGATO A - CRITERI SELEZIONE PROGRESSIONI NELLA CATEGORIA</w:t>
            </w:r>
          </w:p>
          <w:p w:rsidR="002B6DD9" w:rsidRPr="0014480D" w:rsidRDefault="002B6DD9" w:rsidP="00E2355F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2B6DD9" w:rsidRPr="002C7545" w:rsidRDefault="002B6DD9" w:rsidP="002B6DD9">
      <w:pPr>
        <w:spacing w:before="240" w:after="80" w:line="312" w:lineRule="auto"/>
        <w:rPr>
          <w:rFonts w:ascii="Arial" w:hAnsi="Arial" w:cs="Arial"/>
          <w:sz w:val="24"/>
          <w:szCs w:val="24"/>
        </w:rPr>
      </w:pPr>
      <w:r w:rsidRPr="002C7545">
        <w:rPr>
          <w:rFonts w:ascii="Arial" w:hAnsi="Arial" w:cs="Arial"/>
          <w:b/>
          <w:sz w:val="24"/>
          <w:szCs w:val="24"/>
        </w:rPr>
        <w:lastRenderedPageBreak/>
        <w:t xml:space="preserve">Sezione II </w:t>
      </w:r>
      <w:r w:rsidRPr="002C7545">
        <w:rPr>
          <w:rFonts w:ascii="Arial" w:hAnsi="Arial" w:cs="Arial"/>
          <w:b/>
          <w:spacing w:val="2"/>
          <w:sz w:val="24"/>
          <w:szCs w:val="24"/>
        </w:rPr>
        <w:t>–</w:t>
      </w:r>
      <w:r w:rsidRPr="002C7545">
        <w:rPr>
          <w:rFonts w:ascii="Arial" w:hAnsi="Arial" w:cs="Arial"/>
          <w:b/>
          <w:sz w:val="24"/>
          <w:szCs w:val="24"/>
        </w:rPr>
        <w:t xml:space="preserve"> Modalità di utilizzo delle risorse accessorie:</w:t>
      </w:r>
    </w:p>
    <w:p w:rsidR="002B6DD9" w:rsidRPr="002C7545" w:rsidRDefault="002B6DD9" w:rsidP="002B6DD9">
      <w:pPr>
        <w:spacing w:after="60" w:line="312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2C7545">
        <w:rPr>
          <w:rFonts w:ascii="Arial" w:hAnsi="Arial" w:cs="Arial"/>
          <w:b/>
        </w:rPr>
        <w:t>a)</w:t>
      </w:r>
      <w:r w:rsidRPr="002C7545">
        <w:rPr>
          <w:rFonts w:ascii="Arial" w:hAnsi="Arial" w:cs="Arial"/>
          <w:b/>
        </w:rPr>
        <w:tab/>
      </w:r>
      <w:r w:rsidRPr="002C7545">
        <w:rPr>
          <w:rFonts w:ascii="Arial" w:hAnsi="Arial" w:cs="Arial"/>
          <w:b/>
          <w:spacing w:val="2"/>
          <w:u w:val="single"/>
        </w:rPr>
        <w:t xml:space="preserve">quadro di sintesi delle modalità di utilizzo da parte della contrattazione integrativa delle risorse </w:t>
      </w:r>
      <w:r w:rsidRPr="002C7545">
        <w:rPr>
          <w:rFonts w:ascii="Arial" w:hAnsi="Arial" w:cs="Arial"/>
          <w:b/>
          <w:u w:val="single"/>
        </w:rPr>
        <w:t>del Fondo: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2B6DD9" w:rsidRPr="008B194E" w:rsidRDefault="002B6DD9" w:rsidP="00477BF0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B194E">
              <w:rPr>
                <w:rFonts w:ascii="Arial" w:hAnsi="Arial" w:cs="Arial"/>
                <w:i/>
                <w:sz w:val="16"/>
                <w:szCs w:val="16"/>
              </w:rPr>
              <w:t xml:space="preserve">Le risorse per la contrattazione decentrata dell’anno </w:t>
            </w:r>
            <w:r w:rsidR="00477BF0" w:rsidRPr="008B194E">
              <w:rPr>
                <w:rFonts w:ascii="Arial" w:hAnsi="Arial" w:cs="Arial"/>
                <w:i/>
                <w:sz w:val="16"/>
                <w:szCs w:val="16"/>
              </w:rPr>
              <w:t xml:space="preserve">2018 </w:t>
            </w:r>
            <w:r w:rsidR="008B194E" w:rsidRPr="008B194E">
              <w:rPr>
                <w:rFonts w:ascii="Arial" w:hAnsi="Arial" w:cs="Arial"/>
                <w:i/>
                <w:sz w:val="16"/>
                <w:szCs w:val="16"/>
              </w:rPr>
              <w:t xml:space="preserve">sono state così </w:t>
            </w:r>
            <w:r w:rsidRPr="008B194E">
              <w:rPr>
                <w:rFonts w:ascii="Arial" w:hAnsi="Arial" w:cs="Arial"/>
                <w:i/>
                <w:sz w:val="16"/>
                <w:szCs w:val="16"/>
              </w:rPr>
              <w:t>erogate:</w:t>
            </w:r>
          </w:p>
          <w:p w:rsidR="008B194E" w:rsidRPr="008B194E" w:rsidRDefault="008B194E" w:rsidP="008B194E">
            <w:pPr>
              <w:tabs>
                <w:tab w:val="left" w:pos="7655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- il fondo parte stabile consolidato (anni 2016/7/8)  in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27.806,00</w:t>
            </w:r>
          </w:p>
          <w:p w:rsidR="008B194E" w:rsidRPr="008B194E" w:rsidRDefault="008B194E" w:rsidP="008B194E">
            <w:pPr>
              <w:tabs>
                <w:tab w:val="left" w:pos="7655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- Dichiarazione congiunta n. 5 fuori limite gli incrementi </w:t>
            </w:r>
          </w:p>
          <w:p w:rsidR="008B194E" w:rsidRPr="008B194E" w:rsidRDefault="008B194E" w:rsidP="008B194E">
            <w:pPr>
              <w:tabs>
                <w:tab w:val="left" w:pos="7655"/>
              </w:tabs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 derivanti da CCNL 16-18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  <w:u w:val="single"/>
              </w:rPr>
              <w:t>€.       678,00</w:t>
            </w:r>
          </w:p>
          <w:p w:rsidR="008B194E" w:rsidRPr="008B194E" w:rsidRDefault="008B194E" w:rsidP="008B194E">
            <w:pPr>
              <w:tabs>
                <w:tab w:val="left" w:pos="7655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>€.   28.484,00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L’importo per lavoro straordinario in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  1.505,00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Le  Parti hanno concordato di ripartire come appresso le risorse finanziarie di parte stabile sopra determinate: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Totale disponibilità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parte stabile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  <w:bdr w:val="single" w:sz="4" w:space="0" w:color="auto"/>
              </w:rPr>
              <w:t xml:space="preserve">€.   28.484,00 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A detrarre: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Costo progressioni orizzontali maturate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€.   22.472,60 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Indennità di comparto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  <w:u w:val="single"/>
              </w:rPr>
              <w:t>€.     4.239,00</w:t>
            </w:r>
          </w:p>
          <w:p w:rsidR="008B194E" w:rsidRPr="008B194E" w:rsidRDefault="008B194E" w:rsidP="008B194E">
            <w:pPr>
              <w:ind w:left="7788" w:firstLine="708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</w:t>
            </w:r>
          </w:p>
          <w:p w:rsidR="008B194E" w:rsidRPr="008B194E" w:rsidRDefault="008B194E" w:rsidP="008B194E">
            <w:pPr>
              <w:ind w:left="5664"/>
              <w:jc w:val="both"/>
              <w:rPr>
                <w:rFonts w:ascii="Arial Narrow" w:hAnsi="Arial Narrow" w:cs="Arial"/>
                <w:b/>
                <w:sz w:val="16"/>
                <w:szCs w:val="16"/>
                <w:bdr w:val="single" w:sz="4" w:space="0" w:color="auto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Totale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  <w:bdr w:val="single" w:sz="4" w:space="0" w:color="auto"/>
              </w:rPr>
              <w:t xml:space="preserve"> €.   26.711,60</w:t>
            </w:r>
          </w:p>
          <w:p w:rsidR="008B194E" w:rsidRPr="008B194E" w:rsidRDefault="008B194E" w:rsidP="008B194E">
            <w:pPr>
              <w:ind w:left="5664"/>
              <w:jc w:val="both"/>
              <w:rPr>
                <w:rFonts w:ascii="Arial Narrow" w:hAnsi="Arial Narrow" w:cs="Arial"/>
                <w:b/>
                <w:sz w:val="16"/>
                <w:szCs w:val="16"/>
                <w:bdr w:val="single" w:sz="4" w:space="0" w:color="auto"/>
              </w:rPr>
            </w:pP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DIFFERENZA: 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     1.772,40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Per quanto sopra espresso, le parti determinano e prevedono la ripartizione di tali risorse variabili come sotto indicato: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economia fondo di produttività  anno 2017:    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€.     113,34</w:t>
            </w:r>
          </w:p>
          <w:p w:rsidR="008B194E" w:rsidRPr="008B194E" w:rsidRDefault="008B194E" w:rsidP="008B194E">
            <w:pPr>
              <w:ind w:left="72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(Indennità di rischio e disagio non corrisposte </w:t>
            </w:r>
          </w:p>
          <w:p w:rsidR="008B194E" w:rsidRPr="008B194E" w:rsidRDefault="008B194E" w:rsidP="008B194E">
            <w:pPr>
              <w:ind w:left="72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in base alle effettive presenze- istituti contrattuali </w:t>
            </w:r>
          </w:p>
          <w:p w:rsidR="008B194E" w:rsidRPr="008B194E" w:rsidRDefault="008B194E" w:rsidP="008B194E">
            <w:pPr>
              <w:ind w:left="72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finanziati dalla parte stabile)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economia fondo straordinario 2017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€.   1.505,00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articolo 15, comma </w:t>
            </w:r>
            <w:smartTag w:uri="urn:schemas-microsoft-com:office:smarttags" w:element="metricconverter">
              <w:smartTagPr>
                <w:attr w:name="ProductID" w:val="2, C"/>
              </w:smartTagPr>
              <w:r w:rsidRPr="008B194E">
                <w:rPr>
                  <w:rFonts w:ascii="Arial Narrow" w:hAnsi="Arial Narrow" w:cs="Arial"/>
                  <w:sz w:val="16"/>
                  <w:szCs w:val="16"/>
                </w:rPr>
                <w:t>2, C</w:t>
              </w:r>
            </w:smartTag>
            <w:r w:rsidRPr="008B194E">
              <w:rPr>
                <w:rFonts w:ascii="Arial Narrow" w:hAnsi="Arial Narrow" w:cs="Arial"/>
                <w:sz w:val="16"/>
                <w:szCs w:val="16"/>
              </w:rPr>
              <w:t>.C.N.L. 1.4.1999: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€.   1.787,50</w:t>
            </w:r>
          </w:p>
          <w:p w:rsidR="008B194E" w:rsidRPr="008B194E" w:rsidRDefault="008B194E" w:rsidP="006C237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economia parte stabile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  <w:u w:val="single"/>
              </w:rPr>
              <w:t>€.   1.772,40</w:t>
            </w:r>
          </w:p>
          <w:p w:rsidR="008B194E" w:rsidRPr="008B194E" w:rsidRDefault="008B194E" w:rsidP="008B194E">
            <w:pPr>
              <w:ind w:left="720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 xml:space="preserve">TOTALE FONDO PARTE VARIABLE                         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  <w:t xml:space="preserve"> €.  5.178,24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Dette risorse variabili saranno destinate, al finanziamento della performance individuale (30% pari ad </w:t>
            </w:r>
            <w:r w:rsidRPr="008B194E">
              <w:rPr>
                <w:rFonts w:ascii="Arial Narrow" w:hAnsi="Arial Narrow"/>
                <w:color w:val="000000"/>
                <w:sz w:val="16"/>
                <w:szCs w:val="16"/>
              </w:rPr>
              <w:t xml:space="preserve"> Euro</w:t>
            </w:r>
            <w:r w:rsidRPr="008B194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1.553,47 da ripartire tra le aree: Tecnica, Amministrativa e Demografica),</w:t>
            </w:r>
            <w:r w:rsidRPr="008B194E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delle indennità di rischio e di disagio e delle indennità per particolari responsabilità come di seguito meglio specificato: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 xml:space="preserve">Totale fondo parte variabile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  <w:t>€.  5.178,24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Performance   €. 1.553,47 così suddivisa: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Area Tecnica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€       443,85 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Area Amministrativa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€       443,85 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Area Demografica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  <w:u w:val="single"/>
              </w:rPr>
              <w:t>€       665,77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                      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ab/>
              <w:t xml:space="preserve">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1.553,47</w:t>
            </w:r>
          </w:p>
          <w:p w:rsidR="008B194E" w:rsidRPr="008B194E" w:rsidRDefault="008B194E" w:rsidP="008B194E">
            <w:pPr>
              <w:tabs>
                <w:tab w:val="left" w:pos="4820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Indennità di rischio         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 340,00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(tale indennità viene attribuita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all’addetto servizi esterni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in rapporto alle effettive giornate lavorative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cfr. art. 16 del C.C.D.I. del Comune di Venarotta)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Indennità di disagio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€.   340,00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>(Tale indennità va attribuita all’addetto ai servizi esterni in aderenza dell’art. 17 del C.C.D.I.del Comune di Venarotta)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Indennità particolari responsabilità</w:t>
            </w:r>
          </w:p>
          <w:p w:rsidR="008B194E" w:rsidRPr="008B194E" w:rsidRDefault="008B194E" w:rsidP="008B19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(Le parti concordano di attribuire tale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Indennità ai sensi dell’art. 19 del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C.C.D.I. del Comune di Venarotta ai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Dipendenti Responsabili di procedimento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B194E">
              <w:rPr>
                <w:rFonts w:ascii="Arial Narrow" w:hAnsi="Arial Narrow" w:cs="Arial"/>
                <w:sz w:val="16"/>
                <w:szCs w:val="16"/>
              </w:rPr>
              <w:t>Appartenenti alle seguenti Aree:</w:t>
            </w:r>
          </w:p>
          <w:p w:rsidR="008B194E" w:rsidRPr="008B194E" w:rsidRDefault="008B194E" w:rsidP="008B194E">
            <w:pPr>
              <w:tabs>
                <w:tab w:val="left" w:pos="4820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Area Amministrativa €.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</w:rPr>
              <w:t>1.472,39</w:t>
            </w:r>
          </w:p>
          <w:p w:rsidR="008B194E" w:rsidRPr="008B194E" w:rsidRDefault="008B194E" w:rsidP="008B194E">
            <w:pPr>
              <w:tabs>
                <w:tab w:val="left" w:pos="4820"/>
                <w:tab w:val="left" w:pos="7088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8B194E">
              <w:rPr>
                <w:rFonts w:ascii="Arial Narrow" w:hAnsi="Arial Narrow" w:cs="Arial"/>
                <w:sz w:val="16"/>
                <w:szCs w:val="16"/>
              </w:rPr>
              <w:t xml:space="preserve">Area Demografica URP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€.  1.472,38</w:t>
            </w:r>
          </w:p>
          <w:p w:rsidR="008B194E" w:rsidRPr="008B194E" w:rsidRDefault="008B194E" w:rsidP="008B194E">
            <w:pPr>
              <w:tabs>
                <w:tab w:val="left" w:pos="7088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                                       </w:t>
            </w:r>
            <w:r w:rsidRPr="008B194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€. 5.178,24</w:t>
            </w:r>
          </w:p>
          <w:p w:rsidR="002B6DD9" w:rsidRPr="008B194E" w:rsidRDefault="002B6DD9" w:rsidP="00477BF0">
            <w:pPr>
              <w:spacing w:before="120" w:after="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194E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8B194E" w:rsidRPr="008B194E" w:rsidRDefault="008B194E" w:rsidP="00477BF0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194E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8B194E" w:rsidRPr="008B194E" w:rsidRDefault="008B194E" w:rsidP="00477BF0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B6DD9" w:rsidRPr="002C7545" w:rsidRDefault="002B6DD9" w:rsidP="002B6DD9">
      <w:pPr>
        <w:spacing w:before="120" w:after="60" w:line="312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2C7545">
        <w:rPr>
          <w:rFonts w:ascii="Arial" w:hAnsi="Arial" w:cs="Arial"/>
          <w:b/>
        </w:rPr>
        <w:t>b)</w:t>
      </w:r>
      <w:r w:rsidRPr="002C7545">
        <w:rPr>
          <w:rFonts w:ascii="Arial" w:hAnsi="Arial" w:cs="Arial"/>
          <w:b/>
        </w:rPr>
        <w:tab/>
      </w:r>
      <w:r w:rsidRPr="002C7545">
        <w:rPr>
          <w:rFonts w:ascii="Arial" w:hAnsi="Arial" w:cs="Arial"/>
          <w:b/>
          <w:spacing w:val="2"/>
          <w:u w:val="single"/>
        </w:rPr>
        <w:t xml:space="preserve">gli effetti abrogativi impliciti, in modo da rendere chiara la successione temporale dei contratti </w:t>
      </w:r>
      <w:r w:rsidRPr="002C7545">
        <w:rPr>
          <w:rFonts w:ascii="Arial" w:hAnsi="Arial" w:cs="Arial"/>
          <w:b/>
          <w:u w:val="single"/>
        </w:rPr>
        <w:t>integrativi e la disciplina vigente delle materie demandata alla contrattazione integrativa: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2B6DD9" w:rsidRPr="00D9668D" w:rsidRDefault="002B6DD9" w:rsidP="008B194E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2C7545">
              <w:rPr>
                <w:rFonts w:ascii="Arial" w:hAnsi="Arial" w:cs="Arial"/>
                <w:i/>
              </w:rPr>
              <w:t xml:space="preserve">Il Contratto Integrativo di riferimento </w:t>
            </w:r>
            <w:r w:rsidRPr="002C7545">
              <w:rPr>
                <w:rFonts w:ascii="Arial" w:hAnsi="Arial" w:cs="Arial"/>
                <w:i/>
                <w:highlight w:val="yellow"/>
              </w:rPr>
              <w:t xml:space="preserve">determina </w:t>
            </w:r>
            <w:r w:rsidRPr="002C7545">
              <w:rPr>
                <w:rFonts w:ascii="Arial" w:hAnsi="Arial" w:cs="Arial"/>
                <w:i/>
              </w:rPr>
              <w:t xml:space="preserve">effetti abrogativi impliciti </w:t>
            </w:r>
            <w:r>
              <w:rPr>
                <w:rFonts w:ascii="Arial" w:hAnsi="Arial" w:cs="Arial"/>
                <w:i/>
              </w:rPr>
              <w:t>norme</w:t>
            </w:r>
            <w:r w:rsidRPr="002C7545">
              <w:rPr>
                <w:rFonts w:ascii="Arial" w:hAnsi="Arial" w:cs="Arial"/>
                <w:i/>
              </w:rPr>
              <w:t xml:space="preserve"> contrattuale </w:t>
            </w:r>
            <w:r>
              <w:rPr>
                <w:rFonts w:ascii="Arial" w:hAnsi="Arial" w:cs="Arial"/>
                <w:i/>
              </w:rPr>
              <w:t>relative</w:t>
            </w:r>
            <w:r w:rsidRPr="002C7545">
              <w:rPr>
                <w:rFonts w:ascii="Arial" w:hAnsi="Arial" w:cs="Arial"/>
                <w:i/>
              </w:rPr>
              <w:t xml:space="preserve"> a precedenti Contratti Integrativi.</w:t>
            </w:r>
          </w:p>
        </w:tc>
      </w:tr>
    </w:tbl>
    <w:p w:rsidR="002B6DD9" w:rsidRPr="002C7545" w:rsidRDefault="002B6DD9" w:rsidP="002B6DD9">
      <w:pPr>
        <w:spacing w:before="120" w:after="60" w:line="312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2C7545">
        <w:rPr>
          <w:rFonts w:ascii="Arial" w:hAnsi="Arial" w:cs="Arial"/>
          <w:b/>
        </w:rPr>
        <w:t>c)</w:t>
      </w:r>
      <w:r w:rsidRPr="002C7545">
        <w:rPr>
          <w:rFonts w:ascii="Arial" w:hAnsi="Arial" w:cs="Arial"/>
          <w:b/>
        </w:rPr>
        <w:tab/>
      </w:r>
      <w:r w:rsidRPr="002C7545">
        <w:rPr>
          <w:rFonts w:ascii="Arial" w:hAnsi="Arial" w:cs="Arial"/>
          <w:b/>
          <w:spacing w:val="1"/>
          <w:u w:val="single"/>
        </w:rPr>
        <w:t xml:space="preserve">illustrazione e specifica attestazione della coerenza con le previsioni in materia di meritocrazia </w:t>
      </w:r>
      <w:r w:rsidRPr="002C7545">
        <w:rPr>
          <w:rFonts w:ascii="Arial" w:hAnsi="Arial" w:cs="Arial"/>
          <w:b/>
          <w:spacing w:val="2"/>
          <w:u w:val="single"/>
        </w:rPr>
        <w:t>e premialità (coerenza con il Titolo III del D.Lgs. 150/2009, le norme del contratto nazionale la</w:t>
      </w:r>
      <w:r w:rsidRPr="002C7545">
        <w:rPr>
          <w:rFonts w:ascii="Arial" w:hAnsi="Arial" w:cs="Arial"/>
          <w:b/>
          <w:u w:val="single"/>
        </w:rPr>
        <w:t xml:space="preserve"> </w:t>
      </w:r>
      <w:r w:rsidRPr="002C7545">
        <w:rPr>
          <w:rFonts w:ascii="Arial" w:hAnsi="Arial" w:cs="Arial"/>
          <w:b/>
          <w:spacing w:val="-2"/>
          <w:u w:val="single"/>
        </w:rPr>
        <w:t xml:space="preserve">giurisprudenza contabile) ai fini della corresponsione degli incentivi per la performance individuale </w:t>
      </w:r>
      <w:r w:rsidRPr="002C7545">
        <w:rPr>
          <w:rFonts w:ascii="Arial" w:hAnsi="Arial" w:cs="Arial"/>
          <w:b/>
          <w:u w:val="single"/>
        </w:rPr>
        <w:t>ed organizzativa: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2B6DD9" w:rsidRDefault="002B6DD9" w:rsidP="00477BF0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2C7545">
              <w:rPr>
                <w:rFonts w:ascii="Arial" w:hAnsi="Arial" w:cs="Arial"/>
                <w:i/>
              </w:rPr>
              <w:t>Gli incentivi vengono distribuiti solo a seguito del raggiungimento degli obiettivi previsti negli strumenti di programmazione dell’Ente</w:t>
            </w:r>
            <w:r>
              <w:rPr>
                <w:rFonts w:ascii="Arial" w:hAnsi="Arial" w:cs="Arial"/>
                <w:i/>
              </w:rPr>
              <w:t>,</w:t>
            </w:r>
            <w:r w:rsidRPr="002C7545">
              <w:rPr>
                <w:rFonts w:ascii="Arial" w:hAnsi="Arial" w:cs="Arial"/>
                <w:i/>
              </w:rPr>
              <w:t xml:space="preserve"> e sulla base </w:t>
            </w:r>
            <w:r>
              <w:rPr>
                <w:rFonts w:ascii="Arial" w:hAnsi="Arial" w:cs="Arial"/>
                <w:i/>
              </w:rPr>
              <w:t xml:space="preserve">dei criteri previsti dal </w:t>
            </w:r>
            <w:r w:rsidRPr="002C7545">
              <w:rPr>
                <w:rFonts w:ascii="Arial" w:hAnsi="Arial" w:cs="Arial"/>
                <w:i/>
              </w:rPr>
              <w:t>Sistema di valutazione della Performance in vigore presso l’Ente</w:t>
            </w:r>
            <w:r w:rsidR="008B194E">
              <w:rPr>
                <w:rFonts w:ascii="Arial" w:hAnsi="Arial" w:cs="Arial"/>
                <w:i/>
              </w:rPr>
              <w:t xml:space="preserve"> e del P.R.O. (piano risorse e obiettivi 2018)</w:t>
            </w:r>
          </w:p>
          <w:p w:rsidR="002B6DD9" w:rsidRPr="00D9668D" w:rsidRDefault="002B6DD9" w:rsidP="00477BF0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 premi sono</w:t>
            </w:r>
            <w:r w:rsidRPr="002C7545">
              <w:rPr>
                <w:rFonts w:ascii="Arial" w:hAnsi="Arial" w:cs="Arial"/>
                <w:i/>
              </w:rPr>
              <w:t xml:space="preserve"> distribuiti sulla base della valutazione individuale espressa annualmente dai</w:t>
            </w:r>
            <w:r>
              <w:rPr>
                <w:rFonts w:ascii="Arial" w:hAnsi="Arial" w:cs="Arial"/>
                <w:i/>
              </w:rPr>
              <w:t xml:space="preserve"> relativi</w:t>
            </w:r>
            <w:r w:rsidRPr="002C754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Responsabili, che assicurano la significativa differenziazione dei giudizi di cui all’art. 9 comma 1 lett. d) del D.Lgs 150/2009</w:t>
            </w:r>
            <w:r w:rsidRPr="002C7545">
              <w:rPr>
                <w:rFonts w:ascii="Arial" w:hAnsi="Arial" w:cs="Arial"/>
                <w:i/>
              </w:rPr>
              <w:t>.</w:t>
            </w:r>
          </w:p>
        </w:tc>
      </w:tr>
    </w:tbl>
    <w:p w:rsidR="002B6DD9" w:rsidRPr="005F32A6" w:rsidRDefault="002B6DD9" w:rsidP="002B6DD9">
      <w:pPr>
        <w:spacing w:before="120" w:after="60" w:line="312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5F32A6">
        <w:rPr>
          <w:rFonts w:ascii="Arial" w:hAnsi="Arial" w:cs="Arial"/>
          <w:b/>
        </w:rPr>
        <w:t>d)</w:t>
      </w:r>
      <w:r w:rsidRPr="005F32A6">
        <w:rPr>
          <w:rFonts w:ascii="Arial" w:hAnsi="Arial" w:cs="Arial"/>
          <w:b/>
        </w:rPr>
        <w:tab/>
      </w:r>
      <w:r w:rsidRPr="005F32A6">
        <w:rPr>
          <w:rFonts w:ascii="Arial" w:hAnsi="Arial" w:cs="Arial"/>
          <w:b/>
          <w:spacing w:val="-2"/>
          <w:u w:val="single"/>
        </w:rPr>
        <w:t xml:space="preserve">illustrazione e specifica attestazione della coerenza con il principio di selettività delle progressioni </w:t>
      </w:r>
      <w:r w:rsidRPr="005F32A6">
        <w:rPr>
          <w:rFonts w:ascii="Arial" w:hAnsi="Arial" w:cs="Arial"/>
          <w:b/>
          <w:u w:val="single"/>
        </w:rPr>
        <w:t xml:space="preserve">economiche finanziate con il fondo per la contrattazione integrativa – progressioni orizzontali – </w:t>
      </w:r>
      <w:r w:rsidRPr="005F32A6">
        <w:rPr>
          <w:rFonts w:ascii="Arial" w:hAnsi="Arial" w:cs="Arial"/>
          <w:b/>
          <w:spacing w:val="2"/>
          <w:u w:val="single"/>
        </w:rPr>
        <w:t>ai sensi dell’art. 23 del D.Lgs. 150/2009 (previsione di valutazioni di merito ed esclusione di</w:t>
      </w:r>
      <w:r w:rsidRPr="005F32A6">
        <w:rPr>
          <w:rFonts w:ascii="Arial" w:hAnsi="Arial" w:cs="Arial"/>
          <w:b/>
          <w:u w:val="single"/>
        </w:rPr>
        <w:t xml:space="preserve"> elementi automatici come l’anzianità di servizio):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2B6DD9" w:rsidRPr="00D9668D" w:rsidRDefault="002B6DD9" w:rsidP="006C237F">
            <w:pPr>
              <w:spacing w:before="60" w:after="60" w:line="240" w:lineRule="auto"/>
              <w:jc w:val="both"/>
              <w:rPr>
                <w:rFonts w:ascii="Arial" w:hAnsi="Arial" w:cs="Arial"/>
                <w:i/>
              </w:rPr>
            </w:pPr>
            <w:r w:rsidRPr="005F32A6">
              <w:rPr>
                <w:rFonts w:ascii="Arial" w:hAnsi="Arial" w:cs="Arial"/>
                <w:i/>
              </w:rPr>
              <w:t>Il contratto integrativo in esame non prevede l’attribuzione di nuove Progressi</w:t>
            </w:r>
            <w:r>
              <w:rPr>
                <w:rFonts w:ascii="Arial" w:hAnsi="Arial" w:cs="Arial"/>
                <w:i/>
              </w:rPr>
              <w:t>oni economiche o</w:t>
            </w:r>
            <w:r w:rsidR="006C237F">
              <w:rPr>
                <w:rFonts w:ascii="Arial" w:hAnsi="Arial" w:cs="Arial"/>
                <w:i/>
              </w:rPr>
              <w:t>rizzontali</w:t>
            </w:r>
          </w:p>
        </w:tc>
      </w:tr>
    </w:tbl>
    <w:p w:rsidR="002B6DD9" w:rsidRPr="005F32A6" w:rsidRDefault="002B6DD9" w:rsidP="002B6DD9">
      <w:pPr>
        <w:spacing w:after="8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E93E03">
        <w:rPr>
          <w:rFonts w:ascii="Arial" w:hAnsi="Arial" w:cs="Arial"/>
          <w:b/>
          <w:sz w:val="8"/>
          <w:szCs w:val="8"/>
        </w:rPr>
        <w:br w:type="page"/>
      </w:r>
      <w:r w:rsidRPr="005F32A6">
        <w:rPr>
          <w:rFonts w:ascii="Arial" w:hAnsi="Arial" w:cs="Arial"/>
          <w:b/>
          <w:spacing w:val="2"/>
          <w:sz w:val="24"/>
          <w:szCs w:val="24"/>
        </w:rPr>
        <w:lastRenderedPageBreak/>
        <w:t>Sezione III – Illustrazione dei risultati attesi dalla sottoscrizione del contratto integrativo, in correlazione con gli strumenti di programmazione gestionale  adottati</w:t>
      </w:r>
      <w:r w:rsidRPr="005F32A6">
        <w:rPr>
          <w:rFonts w:ascii="Arial" w:hAnsi="Arial" w:cs="Arial"/>
          <w:b/>
          <w:sz w:val="24"/>
          <w:szCs w:val="24"/>
        </w:rPr>
        <w:t xml:space="preserve"> dall’Amministrazione in coerenza con le previsioni del Titolo II del D.Lgs. 150/2009: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F57E72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6C237F" w:rsidRDefault="006C237F" w:rsidP="006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Le previsioni sono coerenti con le disposizioni in materia di meritocrazia e premialità in quanto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 favore de</w:t>
            </w:r>
            <w:r w:rsidRPr="00376C0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 personale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dipendente non responsabile di Area è riservata una quota destinata alla performance da distribuire in relazione agli obiettivi definiti nel Pro- Piano della Performance e nelle direttive dei responsabili.</w:t>
            </w:r>
          </w:p>
          <w:p w:rsidR="006C237F" w:rsidRPr="00376C01" w:rsidRDefault="006C237F" w:rsidP="006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 perseguimento degli obiettivi viene monitorato dal Segretario comunale nel corso dell’esercizio finanziario ed il relativo raggiungimento è ponderato dai Responsabili di Area.</w:t>
            </w:r>
          </w:p>
          <w:p w:rsidR="006C237F" w:rsidRDefault="006C237F" w:rsidP="006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376C0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Dalla sottoscrizione del contratto, essendo previsto lo stanziamento di somme dedicate al raggiungimento di specifici obiettivi di produttività previsti nel 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PRO, con  particolare </w:t>
            </w:r>
            <w:r w:rsidRPr="00376C0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riferimento a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lla gestione di servizi in proprio</w:t>
            </w:r>
            <w:r w:rsidRPr="00376C0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, ci si attende un 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risparmio in termini economici ed un </w:t>
            </w:r>
            <w:r w:rsidRPr="00376C0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increme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nto dell’efficienza </w:t>
            </w:r>
            <w:r w:rsidRPr="00376C0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del personale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coinvolto.</w:t>
            </w:r>
          </w:p>
          <w:p w:rsidR="006C237F" w:rsidRPr="00376C01" w:rsidRDefault="006C237F" w:rsidP="006C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  <w:p w:rsidR="002B6DD9" w:rsidRPr="0014480D" w:rsidRDefault="002B6DD9" w:rsidP="006871D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2B6DD9" w:rsidRPr="00311F39" w:rsidRDefault="002B6DD9" w:rsidP="002B6DD9">
      <w:pPr>
        <w:spacing w:after="8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311F39">
        <w:rPr>
          <w:rFonts w:ascii="Arial" w:hAnsi="Arial" w:cs="Arial"/>
          <w:b/>
          <w:sz w:val="24"/>
          <w:szCs w:val="24"/>
        </w:rPr>
        <w:t xml:space="preserve">Sezione IV </w:t>
      </w:r>
      <w:r w:rsidRPr="00311F39">
        <w:rPr>
          <w:rFonts w:ascii="Arial" w:hAnsi="Arial" w:cs="Arial"/>
          <w:b/>
          <w:spacing w:val="2"/>
          <w:sz w:val="24"/>
          <w:szCs w:val="24"/>
        </w:rPr>
        <w:t>–</w:t>
      </w:r>
      <w:r w:rsidRPr="00311F39">
        <w:rPr>
          <w:rFonts w:ascii="Arial" w:hAnsi="Arial" w:cs="Arial"/>
          <w:b/>
          <w:sz w:val="24"/>
          <w:szCs w:val="24"/>
        </w:rPr>
        <w:t xml:space="preserve"> Altre informazioni eventualmente ritenute utili per la migliore comprensione degli istituti regolati dal contratto: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6DD9" w:rsidRPr="0014480D" w:rsidTr="00477BF0">
        <w:trPr>
          <w:jc w:val="center"/>
        </w:trPr>
        <w:tc>
          <w:tcPr>
            <w:tcW w:w="9778" w:type="dxa"/>
            <w:shd w:val="clear" w:color="auto" w:fill="auto"/>
          </w:tcPr>
          <w:p w:rsidR="002B6DD9" w:rsidRPr="0014480D" w:rsidRDefault="006871D0" w:rsidP="00477BF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  <w:p w:rsidR="002B6DD9" w:rsidRPr="0014480D" w:rsidRDefault="002B6DD9" w:rsidP="006871D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455D67" w:rsidRDefault="00455D67" w:rsidP="00376C01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55D67" w:rsidRDefault="00455D67" w:rsidP="00455D6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Il Presidente della Delegaz</w:t>
      </w:r>
      <w:r w:rsidR="00034FC3">
        <w:rPr>
          <w:rFonts w:ascii="Times New Roman" w:eastAsia="Times New Roman" w:hAnsi="Times New Roman" w:cs="Times New Roman"/>
          <w:sz w:val="20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one Trattante</w:t>
      </w:r>
    </w:p>
    <w:p w:rsidR="00455D67" w:rsidRDefault="00455D67" w:rsidP="00455D6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(Rag. Luciano Marini)</w:t>
      </w:r>
    </w:p>
    <w:p w:rsidR="004F6CD1" w:rsidRDefault="004F6CD1" w:rsidP="006C237F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sectPr w:rsidR="004F6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66" w:rsidRDefault="00847A66" w:rsidP="00376C01">
      <w:pPr>
        <w:spacing w:after="0" w:line="240" w:lineRule="auto"/>
      </w:pPr>
      <w:r>
        <w:separator/>
      </w:r>
    </w:p>
  </w:endnote>
  <w:endnote w:type="continuationSeparator" w:id="0">
    <w:p w:rsidR="00847A66" w:rsidRDefault="00847A66" w:rsidP="0037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66" w:rsidRDefault="00847A66" w:rsidP="00376C01">
      <w:pPr>
        <w:spacing w:after="0" w:line="240" w:lineRule="auto"/>
      </w:pPr>
      <w:r>
        <w:separator/>
      </w:r>
    </w:p>
  </w:footnote>
  <w:footnote w:type="continuationSeparator" w:id="0">
    <w:p w:rsidR="00847A66" w:rsidRDefault="00847A66" w:rsidP="00376C01">
      <w:pPr>
        <w:spacing w:after="0" w:line="240" w:lineRule="auto"/>
      </w:pPr>
      <w:r>
        <w:continuationSeparator/>
      </w:r>
    </w:p>
  </w:footnote>
  <w:footnote w:id="1">
    <w:p w:rsidR="00477BF0" w:rsidRDefault="00477BF0" w:rsidP="00376C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797"/>
        </w:tabs>
        <w:ind w:left="7797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1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  <w:highlight w:val="yellow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  <w:highlight w:val="yellow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  <w:highlight w:val="yellow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/>
        <w:sz w:val="22"/>
        <w:highlight w:val="yellow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  <w:highlight w:val="yellow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  <w:highlight w:val="yellow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sz w:val="22"/>
      </w:r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Bookman Old Style"/>
        <w:sz w:val="22"/>
      </w:r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Bookman Old Style" w:eastAsia="Bookman Old Style" w:hAnsi="Bookman Old Style" w:cs="Bookman Old Style" w:hint="default"/>
        <w:sz w:val="22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Bookman Old Style" w:eastAsia="Bookman Old Style" w:hAnsi="Bookman Old Style" w:cs="Bookman Old Style" w:hint="default"/>
        <w:sz w:val="22"/>
      </w:rPr>
    </w:lvl>
  </w:abstractNum>
  <w:abstractNum w:abstractNumId="43" w15:restartNumberingAfterBreak="0">
    <w:nsid w:val="040324FB"/>
    <w:multiLevelType w:val="hybridMultilevel"/>
    <w:tmpl w:val="4C826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B924BF"/>
    <w:multiLevelType w:val="hybridMultilevel"/>
    <w:tmpl w:val="ECEEE64C"/>
    <w:lvl w:ilvl="0" w:tplc="73F04F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3E1A266C"/>
    <w:multiLevelType w:val="singleLevel"/>
    <w:tmpl w:val="5378B984"/>
    <w:lvl w:ilvl="0">
      <w:start w:val="1"/>
      <w:numFmt w:val="decimal"/>
      <w:pStyle w:val="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328456D"/>
    <w:multiLevelType w:val="hybridMultilevel"/>
    <w:tmpl w:val="84E4A536"/>
    <w:lvl w:ilvl="0" w:tplc="BB60D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3B4B6B"/>
    <w:multiLevelType w:val="hybridMultilevel"/>
    <w:tmpl w:val="5156E4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0551F"/>
    <w:multiLevelType w:val="hybridMultilevel"/>
    <w:tmpl w:val="408C90E2"/>
    <w:lvl w:ilvl="0" w:tplc="C9B8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44"/>
  </w:num>
  <w:num w:numId="4">
    <w:abstractNumId w:val="48"/>
  </w:num>
  <w:num w:numId="5">
    <w:abstractNumId w:val="47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F"/>
    <w:rsid w:val="00034FC3"/>
    <w:rsid w:val="00041AE9"/>
    <w:rsid w:val="00067EAC"/>
    <w:rsid w:val="000C6D90"/>
    <w:rsid w:val="00173D30"/>
    <w:rsid w:val="002006B8"/>
    <w:rsid w:val="0021277F"/>
    <w:rsid w:val="002A3EF6"/>
    <w:rsid w:val="002B6DD9"/>
    <w:rsid w:val="002E7974"/>
    <w:rsid w:val="00300FA5"/>
    <w:rsid w:val="00313336"/>
    <w:rsid w:val="003616EE"/>
    <w:rsid w:val="00376C01"/>
    <w:rsid w:val="003D7FAC"/>
    <w:rsid w:val="003E00F9"/>
    <w:rsid w:val="003E0466"/>
    <w:rsid w:val="003E1BF2"/>
    <w:rsid w:val="0041526F"/>
    <w:rsid w:val="00441222"/>
    <w:rsid w:val="0044174E"/>
    <w:rsid w:val="00442F43"/>
    <w:rsid w:val="00453A85"/>
    <w:rsid w:val="00455D67"/>
    <w:rsid w:val="0046273C"/>
    <w:rsid w:val="00477BF0"/>
    <w:rsid w:val="004C5B6A"/>
    <w:rsid w:val="004E6A06"/>
    <w:rsid w:val="004F08CE"/>
    <w:rsid w:val="004F6CD1"/>
    <w:rsid w:val="005B25B8"/>
    <w:rsid w:val="006871D0"/>
    <w:rsid w:val="006C237F"/>
    <w:rsid w:val="006F4ECF"/>
    <w:rsid w:val="00706956"/>
    <w:rsid w:val="00720868"/>
    <w:rsid w:val="00764202"/>
    <w:rsid w:val="007946E7"/>
    <w:rsid w:val="00796CFD"/>
    <w:rsid w:val="007C6C76"/>
    <w:rsid w:val="007E6CBF"/>
    <w:rsid w:val="00810C60"/>
    <w:rsid w:val="0082184A"/>
    <w:rsid w:val="0084419A"/>
    <w:rsid w:val="00847A66"/>
    <w:rsid w:val="00853F8E"/>
    <w:rsid w:val="00876F7D"/>
    <w:rsid w:val="00882320"/>
    <w:rsid w:val="0088268A"/>
    <w:rsid w:val="008848EF"/>
    <w:rsid w:val="0089644B"/>
    <w:rsid w:val="008B194E"/>
    <w:rsid w:val="008D0464"/>
    <w:rsid w:val="00933BA4"/>
    <w:rsid w:val="00985697"/>
    <w:rsid w:val="009C5D20"/>
    <w:rsid w:val="009F675B"/>
    <w:rsid w:val="00A40235"/>
    <w:rsid w:val="00A72187"/>
    <w:rsid w:val="00A906AE"/>
    <w:rsid w:val="00A9730E"/>
    <w:rsid w:val="00AA7BDA"/>
    <w:rsid w:val="00AD3D97"/>
    <w:rsid w:val="00AD6829"/>
    <w:rsid w:val="00B365A8"/>
    <w:rsid w:val="00BD46BC"/>
    <w:rsid w:val="00BE59A7"/>
    <w:rsid w:val="00C043C4"/>
    <w:rsid w:val="00C41BB0"/>
    <w:rsid w:val="00CF5636"/>
    <w:rsid w:val="00D17EC4"/>
    <w:rsid w:val="00D34832"/>
    <w:rsid w:val="00D922D6"/>
    <w:rsid w:val="00DB5A42"/>
    <w:rsid w:val="00DB5C0B"/>
    <w:rsid w:val="00E06B49"/>
    <w:rsid w:val="00E157C8"/>
    <w:rsid w:val="00E2355F"/>
    <w:rsid w:val="00E41700"/>
    <w:rsid w:val="00E629F9"/>
    <w:rsid w:val="00E82FBF"/>
    <w:rsid w:val="00E90ACC"/>
    <w:rsid w:val="00EE1BE3"/>
    <w:rsid w:val="00F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D697-B14B-479A-B683-E2A169FE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76C01"/>
    <w:pPr>
      <w:keepNext/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76C01"/>
    <w:pPr>
      <w:keepNext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76C01"/>
    <w:pPr>
      <w:keepNext/>
      <w:tabs>
        <w:tab w:val="num" w:pos="0"/>
      </w:tabs>
      <w:suppressAutoHyphens/>
      <w:spacing w:before="240" w:after="120" w:line="240" w:lineRule="auto"/>
      <w:jc w:val="both"/>
      <w:outlineLvl w:val="2"/>
    </w:pPr>
    <w:rPr>
      <w:rFonts w:ascii="Arial" w:eastAsia="Times New Roman" w:hAnsi="Arial" w:cs="Times New Roman"/>
      <w:b/>
      <w:bCs/>
      <w:iCs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376C01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6C0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76C0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76C01"/>
    <w:rPr>
      <w:rFonts w:ascii="Arial" w:eastAsia="Times New Roman" w:hAnsi="Arial" w:cs="Times New Roman"/>
      <w:b/>
      <w:bCs/>
      <w:iCs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376C01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Nessunelenco1">
    <w:name w:val="Nessun elenco1"/>
    <w:next w:val="Nessunelenco"/>
    <w:semiHidden/>
    <w:rsid w:val="00376C01"/>
  </w:style>
  <w:style w:type="paragraph" w:styleId="Intestazione">
    <w:name w:val="header"/>
    <w:basedOn w:val="Normale"/>
    <w:link w:val="IntestazioneCarattere"/>
    <w:rsid w:val="00376C01"/>
    <w:pPr>
      <w:pBdr>
        <w:bottom w:val="single" w:sz="4" w:space="1" w:color="auto"/>
      </w:pBdr>
      <w:tabs>
        <w:tab w:val="center" w:pos="5103"/>
        <w:tab w:val="right" w:pos="10206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76C01"/>
    <w:rPr>
      <w:rFonts w:ascii="Arial" w:eastAsia="Times New Roman" w:hAnsi="Arial" w:cs="Times New Roman"/>
      <w:sz w:val="16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76C01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6C01"/>
    <w:rPr>
      <w:rFonts w:ascii="Arial" w:eastAsia="Times New Roman" w:hAnsi="Arial" w:cs="Times New Roman"/>
      <w:sz w:val="18"/>
      <w:szCs w:val="20"/>
      <w:lang w:eastAsia="it-IT"/>
    </w:rPr>
  </w:style>
  <w:style w:type="paragraph" w:customStyle="1" w:styleId="separatorearticoli">
    <w:name w:val="separatore articoli"/>
    <w:basedOn w:val="Normale"/>
    <w:next w:val="Normale"/>
    <w:rsid w:val="00376C01"/>
    <w:pPr>
      <w:shd w:val="clear" w:color="auto" w:fill="C0C0C0"/>
      <w:suppressAutoHyphens/>
      <w:spacing w:before="480" w:after="480" w:line="240" w:lineRule="auto"/>
      <w:jc w:val="both"/>
    </w:pPr>
    <w:rPr>
      <w:rFonts w:ascii="Arial" w:eastAsia="Times New Roman" w:hAnsi="Arial" w:cs="Times New Roman"/>
      <w:sz w:val="4"/>
      <w:szCs w:val="24"/>
      <w:lang w:eastAsia="ar-SA"/>
    </w:rPr>
  </w:style>
  <w:style w:type="paragraph" w:customStyle="1" w:styleId="DELIBERA">
    <w:name w:val="DELIBERA"/>
    <w:rsid w:val="00376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OPOSTAGIUNTA">
    <w:name w:val="PROPOSTAGIUNTA"/>
    <w:rsid w:val="00376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ELENCO1">
    <w:name w:val="ELENCO 1."/>
    <w:basedOn w:val="Normale"/>
    <w:rsid w:val="00376C01"/>
    <w:pPr>
      <w:numPr>
        <w:numId w:val="1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GIUNTARIENTRO">
    <w:name w:val="GIUNTARIENTRO"/>
    <w:basedOn w:val="PROPOSTAGIUNTA"/>
    <w:rsid w:val="00376C01"/>
    <w:pPr>
      <w:ind w:firstLine="709"/>
    </w:pPr>
  </w:style>
  <w:style w:type="paragraph" w:customStyle="1" w:styleId="GIUNTAGRASSETTO">
    <w:name w:val="GIUNTAGRASSETTO"/>
    <w:basedOn w:val="PROPOSTAGIUNTA"/>
    <w:rsid w:val="00376C01"/>
    <w:pPr>
      <w:jc w:val="center"/>
    </w:pPr>
    <w:rPr>
      <w:b/>
      <w:sz w:val="28"/>
    </w:rPr>
  </w:style>
  <w:style w:type="character" w:customStyle="1" w:styleId="apple-style-span">
    <w:name w:val="apple-style-span"/>
    <w:basedOn w:val="Carpredefinitoparagrafo"/>
    <w:rsid w:val="00376C01"/>
  </w:style>
  <w:style w:type="character" w:styleId="Rimandonotaapidipagina">
    <w:name w:val="footnote reference"/>
    <w:rsid w:val="00376C01"/>
    <w:rPr>
      <w:vertAlign w:val="superscript"/>
    </w:rPr>
  </w:style>
  <w:style w:type="paragraph" w:styleId="Pidipagina">
    <w:name w:val="footer"/>
    <w:basedOn w:val="Normale"/>
    <w:link w:val="PidipaginaCarattere"/>
    <w:rsid w:val="00376C01"/>
    <w:pPr>
      <w:pBdr>
        <w:top w:val="single" w:sz="4" w:space="1" w:color="auto"/>
      </w:pBdr>
      <w:tabs>
        <w:tab w:val="center" w:pos="5103"/>
        <w:tab w:val="right" w:pos="10206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376C01"/>
    <w:rPr>
      <w:rFonts w:ascii="Arial" w:eastAsia="Times New Roman" w:hAnsi="Arial" w:cs="Times New Roman"/>
      <w:sz w:val="16"/>
      <w:szCs w:val="24"/>
      <w:lang w:eastAsia="ar-SA"/>
    </w:rPr>
  </w:style>
  <w:style w:type="character" w:styleId="Numeropagina">
    <w:name w:val="page number"/>
    <w:basedOn w:val="Carpredefinitoparagrafo"/>
    <w:rsid w:val="00376C01"/>
  </w:style>
  <w:style w:type="table" w:styleId="Grigliatabella">
    <w:name w:val="Table Grid"/>
    <w:basedOn w:val="Tabellanormale"/>
    <w:rsid w:val="00376C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6C0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provvestremo1">
    <w:name w:val="provv_estremo1"/>
    <w:basedOn w:val="Normale"/>
    <w:rsid w:val="00376C0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anchorantimarker1">
    <w:name w:val="anchor_anti_marker1"/>
    <w:rsid w:val="00376C01"/>
    <w:rPr>
      <w:rFonts w:ascii="Verdana" w:hAnsi="Verdana" w:hint="default"/>
      <w:color w:val="000000"/>
    </w:rPr>
  </w:style>
  <w:style w:type="paragraph" w:styleId="Rientrocorpodeltesto2">
    <w:name w:val="Body Text Indent 2"/>
    <w:basedOn w:val="Normale"/>
    <w:link w:val="Rientrocorpodeltesto2Carattere"/>
    <w:rsid w:val="00376C01"/>
    <w:pPr>
      <w:spacing w:after="0" w:line="240" w:lineRule="auto"/>
      <w:ind w:left="1134" w:hanging="1134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76C01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376C01"/>
    <w:pPr>
      <w:spacing w:after="0" w:line="240" w:lineRule="auto"/>
      <w:jc w:val="both"/>
    </w:pPr>
    <w:rPr>
      <w:rFonts w:ascii="Tahoma" w:eastAsia="Times New Roman" w:hAnsi="Tahoma" w:cs="Tahoma"/>
      <w:color w:val="0000FF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76C01"/>
    <w:rPr>
      <w:rFonts w:ascii="Tahoma" w:eastAsia="Times New Roman" w:hAnsi="Tahoma" w:cs="Tahoma"/>
      <w:color w:val="0000FF"/>
      <w:sz w:val="20"/>
      <w:szCs w:val="20"/>
      <w:lang w:eastAsia="it-IT"/>
    </w:rPr>
  </w:style>
  <w:style w:type="paragraph" w:customStyle="1" w:styleId="Descrizione">
    <w:name w:val="Descrizione"/>
    <w:basedOn w:val="Normale"/>
    <w:next w:val="Normale"/>
    <w:qFormat/>
    <w:rsid w:val="00376C01"/>
    <w:pPr>
      <w:spacing w:after="240" w:line="240" w:lineRule="auto"/>
    </w:pPr>
    <w:rPr>
      <w:rFonts w:ascii="Calibri" w:eastAsia="Times New Roman" w:hAnsi="Calibri" w:cs="Times New Roman"/>
      <w:i/>
      <w:sz w:val="18"/>
      <w:szCs w:val="18"/>
      <w:lang w:eastAsia="it-IT"/>
    </w:rPr>
  </w:style>
  <w:style w:type="paragraph" w:styleId="Corpodeltesto3">
    <w:name w:val="Body Text 3"/>
    <w:basedOn w:val="Normale"/>
    <w:link w:val="Corpodeltesto3Carattere"/>
    <w:rsid w:val="00376C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76C01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rsid w:val="00376C0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76C01"/>
    <w:pPr>
      <w:suppressAutoHyphens/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376C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6BB1-AB58-45AF-96F5-42C044CF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Pierluigi Grelli</cp:lastModifiedBy>
  <cp:revision>2</cp:revision>
  <cp:lastPrinted>2017-12-05T16:26:00Z</cp:lastPrinted>
  <dcterms:created xsi:type="dcterms:W3CDTF">2019-01-22T11:54:00Z</dcterms:created>
  <dcterms:modified xsi:type="dcterms:W3CDTF">2019-01-22T11:54:00Z</dcterms:modified>
</cp:coreProperties>
</file>