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E2" w:rsidRPr="002F44D9" w:rsidRDefault="00B17681">
      <w:pPr>
        <w:jc w:val="center"/>
        <w:rPr>
          <w:rFonts w:ascii="Garamond" w:hAnsi="Garamond"/>
        </w:rPr>
      </w:pPr>
      <w:r>
        <w:rPr>
          <w:rFonts w:ascii="Garamond" w:hAnsi="Garamond"/>
          <w:noProof/>
        </w:rPr>
        <w:drawing>
          <wp:inline distT="0" distB="0" distL="0" distR="0">
            <wp:extent cx="508635" cy="715645"/>
            <wp:effectExtent l="0" t="0" r="5715" b="825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 cy="715645"/>
                    </a:xfrm>
                    <a:prstGeom prst="rect">
                      <a:avLst/>
                    </a:prstGeom>
                    <a:noFill/>
                    <a:ln>
                      <a:noFill/>
                    </a:ln>
                  </pic:spPr>
                </pic:pic>
              </a:graphicData>
            </a:graphic>
          </wp:inline>
        </w:drawing>
      </w:r>
    </w:p>
    <w:p w:rsidR="00E538E2" w:rsidRPr="002F44D9" w:rsidRDefault="00E538E2">
      <w:pPr>
        <w:tabs>
          <w:tab w:val="left" w:pos="851"/>
        </w:tabs>
        <w:jc w:val="center"/>
        <w:rPr>
          <w:rFonts w:ascii="Garamond" w:hAnsi="Garamond"/>
          <w:sz w:val="16"/>
        </w:rPr>
      </w:pPr>
    </w:p>
    <w:p w:rsidR="00E538E2" w:rsidRPr="002F44D9" w:rsidRDefault="00E538E2">
      <w:pPr>
        <w:jc w:val="center"/>
        <w:rPr>
          <w:rFonts w:ascii="Garamond" w:hAnsi="Garamond"/>
          <w:b/>
          <w:sz w:val="40"/>
        </w:rPr>
      </w:pPr>
      <w:r w:rsidRPr="002F44D9">
        <w:rPr>
          <w:rFonts w:ascii="Garamond" w:hAnsi="Garamond"/>
          <w:b/>
          <w:sz w:val="36"/>
        </w:rPr>
        <w:t>COMUNE  DI  CALDAROLA</w:t>
      </w:r>
    </w:p>
    <w:p w:rsidR="00E538E2" w:rsidRPr="002F44D9" w:rsidRDefault="00E538E2">
      <w:pPr>
        <w:jc w:val="center"/>
        <w:rPr>
          <w:rFonts w:ascii="Garamond" w:hAnsi="Garamond"/>
          <w:sz w:val="28"/>
        </w:rPr>
      </w:pPr>
      <w:r w:rsidRPr="002F44D9">
        <w:rPr>
          <w:rFonts w:ascii="Garamond" w:hAnsi="Garamond"/>
          <w:sz w:val="28"/>
        </w:rPr>
        <w:t>Provincia di Macerata</w:t>
      </w:r>
    </w:p>
    <w:p w:rsidR="005276C9" w:rsidRPr="005276C9" w:rsidRDefault="005276C9" w:rsidP="005276C9">
      <w:pPr>
        <w:autoSpaceDE w:val="0"/>
        <w:autoSpaceDN w:val="0"/>
        <w:adjustRightInd w:val="0"/>
        <w:spacing w:before="4920" w:after="5160"/>
        <w:jc w:val="center"/>
        <w:rPr>
          <w:rFonts w:ascii="Garamond" w:hAnsi="Garamond"/>
          <w:b/>
          <w:sz w:val="36"/>
        </w:rPr>
      </w:pPr>
      <w:r w:rsidRPr="005276C9">
        <w:rPr>
          <w:rFonts w:ascii="Garamond" w:hAnsi="Garamond"/>
          <w:b/>
          <w:sz w:val="36"/>
        </w:rPr>
        <w:t>Regolamento per l’applicazione</w:t>
      </w:r>
      <w:r>
        <w:rPr>
          <w:rFonts w:ascii="Garamond" w:hAnsi="Garamond"/>
          <w:b/>
          <w:sz w:val="36"/>
        </w:rPr>
        <w:t xml:space="preserve"> </w:t>
      </w:r>
      <w:r w:rsidRPr="005276C9">
        <w:rPr>
          <w:rFonts w:ascii="Garamond" w:hAnsi="Garamond"/>
          <w:b/>
          <w:sz w:val="36"/>
        </w:rPr>
        <w:t xml:space="preserve">della </w:t>
      </w:r>
      <w:r>
        <w:rPr>
          <w:rFonts w:ascii="Garamond" w:hAnsi="Garamond"/>
          <w:b/>
          <w:sz w:val="36"/>
        </w:rPr>
        <w:t xml:space="preserve">                              </w:t>
      </w:r>
      <w:r w:rsidRPr="005276C9">
        <w:rPr>
          <w:rFonts w:ascii="Garamond" w:hAnsi="Garamond"/>
          <w:b/>
          <w:sz w:val="36"/>
        </w:rPr>
        <w:t>nuova IMU</w:t>
      </w:r>
      <w:r>
        <w:rPr>
          <w:rFonts w:ascii="Garamond" w:hAnsi="Garamond"/>
          <w:b/>
          <w:sz w:val="36"/>
        </w:rPr>
        <w:t xml:space="preserve">                                                                            (</w:t>
      </w:r>
      <w:r w:rsidRPr="005276C9">
        <w:rPr>
          <w:rFonts w:ascii="Garamond" w:hAnsi="Garamond"/>
          <w:b/>
          <w:sz w:val="36"/>
        </w:rPr>
        <w:t>Imposta</w:t>
      </w:r>
      <w:r>
        <w:rPr>
          <w:rFonts w:ascii="Garamond" w:hAnsi="Garamond"/>
          <w:b/>
          <w:sz w:val="36"/>
        </w:rPr>
        <w:t xml:space="preserve"> </w:t>
      </w:r>
      <w:r w:rsidRPr="005276C9">
        <w:rPr>
          <w:rFonts w:ascii="Garamond" w:hAnsi="Garamond"/>
          <w:b/>
          <w:sz w:val="36"/>
        </w:rPr>
        <w:t>Municipale Propria</w:t>
      </w:r>
      <w:r>
        <w:rPr>
          <w:rFonts w:ascii="Garamond" w:hAnsi="Garamond"/>
          <w:b/>
          <w:sz w:val="36"/>
        </w:rPr>
        <w:t>)</w:t>
      </w:r>
    </w:p>
    <w:p w:rsidR="005276C9" w:rsidRPr="005276C9" w:rsidRDefault="005276C9" w:rsidP="005276C9">
      <w:pPr>
        <w:pStyle w:val="Titolo1"/>
        <w:spacing w:before="120" w:after="120"/>
        <w:jc w:val="center"/>
        <w:rPr>
          <w:rFonts w:ascii="Arial" w:hAnsi="Arial" w:cs="Arial"/>
          <w:szCs w:val="24"/>
        </w:rPr>
      </w:pPr>
      <w:r w:rsidRPr="005276C9">
        <w:rPr>
          <w:rFonts w:ascii="Garamond" w:hAnsi="Garamond"/>
          <w:b w:val="0"/>
          <w:bCs w:val="0"/>
          <w:szCs w:val="24"/>
        </w:rPr>
        <w:t>Approvato con Delibera del Consiglio Comunale n. ............ del ....../....../............</w:t>
      </w:r>
    </w:p>
    <w:p w:rsidR="005276C9" w:rsidRPr="005276C9" w:rsidRDefault="005276C9" w:rsidP="005276C9">
      <w:pPr>
        <w:pStyle w:val="Titolo1"/>
        <w:spacing w:before="240" w:after="240"/>
        <w:rPr>
          <w:rFonts w:ascii="Garamond" w:hAnsi="Garamond"/>
          <w:bCs w:val="0"/>
          <w:szCs w:val="24"/>
        </w:rPr>
      </w:pPr>
      <w:r w:rsidRPr="009D7257">
        <w:rPr>
          <w:rFonts w:ascii="Arial" w:hAnsi="Arial" w:cs="Arial"/>
          <w:sz w:val="20"/>
          <w:szCs w:val="20"/>
        </w:rPr>
        <w:br w:type="page"/>
      </w:r>
      <w:r w:rsidRPr="005276C9">
        <w:rPr>
          <w:rFonts w:ascii="Garamond" w:hAnsi="Garamond"/>
          <w:bCs w:val="0"/>
          <w:szCs w:val="24"/>
        </w:rPr>
        <w:lastRenderedPageBreak/>
        <w:t xml:space="preserve">Art. 1 </w:t>
      </w:r>
      <w:bookmarkStart w:id="0" w:name="_Toc8712139"/>
      <w:r w:rsidRPr="005276C9">
        <w:rPr>
          <w:rFonts w:ascii="Garamond" w:hAnsi="Garamond"/>
          <w:bCs w:val="0"/>
          <w:szCs w:val="24"/>
        </w:rPr>
        <w:t>- Oggetto</w:t>
      </w:r>
      <w:bookmarkEnd w:id="0"/>
      <w:r w:rsidRPr="005276C9">
        <w:rPr>
          <w:rFonts w:ascii="Garamond" w:hAnsi="Garamond"/>
          <w:bCs w:val="0"/>
          <w:szCs w:val="24"/>
        </w:rPr>
        <w:t xml:space="preserve"> del regolamento ed ambito di applicazione</w:t>
      </w:r>
    </w:p>
    <w:p w:rsidR="005276C9" w:rsidRPr="005276C9" w:rsidRDefault="005276C9" w:rsidP="005276C9">
      <w:pPr>
        <w:numPr>
          <w:ilvl w:val="0"/>
          <w:numId w:val="2"/>
        </w:numPr>
        <w:spacing w:before="120" w:after="120"/>
        <w:jc w:val="both"/>
        <w:rPr>
          <w:rFonts w:ascii="Garamond" w:hAnsi="Garamond"/>
          <w:szCs w:val="24"/>
        </w:rPr>
      </w:pPr>
      <w:r w:rsidRPr="005276C9">
        <w:rPr>
          <w:rFonts w:ascii="Garamond" w:hAnsi="Garamond"/>
          <w:szCs w:val="24"/>
        </w:rPr>
        <w:t xml:space="preserve">Il presente Regolamento, adottato nell'ambito della potestà regolamentare prevista dall’art. 52 del Decreto Legislativo del 15 dicembre 1997, n. 446, disciplina l’applicazione nel Comune di </w:t>
      </w:r>
      <w:r>
        <w:rPr>
          <w:rFonts w:ascii="Garamond" w:hAnsi="Garamond"/>
          <w:szCs w:val="24"/>
        </w:rPr>
        <w:t xml:space="preserve">Caldarola </w:t>
      </w:r>
      <w:r w:rsidRPr="005276C9">
        <w:rPr>
          <w:rFonts w:ascii="Garamond" w:hAnsi="Garamond"/>
          <w:szCs w:val="24"/>
        </w:rPr>
        <w:t>della nuova IMU - Imposta municipale propria, in vigore dal 1 gennaio 2020 a seguito dell’abolizione dell’Imposta unica comunale (IUC) di cui all’art. 1, comma 639, della legge 27 dicembre 2013, n. 147.</w:t>
      </w:r>
    </w:p>
    <w:p w:rsidR="005276C9" w:rsidRPr="005276C9" w:rsidRDefault="005276C9" w:rsidP="005276C9">
      <w:pPr>
        <w:numPr>
          <w:ilvl w:val="0"/>
          <w:numId w:val="2"/>
        </w:numPr>
        <w:spacing w:before="120" w:after="120"/>
        <w:jc w:val="both"/>
        <w:rPr>
          <w:rFonts w:ascii="Garamond" w:hAnsi="Garamond"/>
          <w:szCs w:val="24"/>
        </w:rPr>
      </w:pPr>
      <w:r w:rsidRPr="005276C9">
        <w:rPr>
          <w:rFonts w:ascii="Garamond" w:hAnsi="Garamond"/>
          <w:szCs w:val="24"/>
        </w:rPr>
        <w:t>La nuova imposta locale sostituisce le precedenti forme di prelievo IMU e TASI ed è disciplinata dall’art. 1, commi 73</w:t>
      </w:r>
      <w:r w:rsidR="00E175E5">
        <w:rPr>
          <w:rFonts w:ascii="Garamond" w:hAnsi="Garamond"/>
          <w:szCs w:val="24"/>
        </w:rPr>
        <w:t>8</w:t>
      </w:r>
      <w:r w:rsidRPr="005276C9">
        <w:rPr>
          <w:rFonts w:ascii="Garamond" w:hAnsi="Garamond"/>
          <w:szCs w:val="24"/>
        </w:rPr>
        <w:t xml:space="preserve"> e seguenti della Legge 27 dicembre 2019, n. 160, nonché dal comma 1 dell’art. 8 e dal comma 9 dell’art. 9 del Decreto Legislativo 14 marzo 2011, n. 23 e dalle altre disposizioni richiamate nelle norme suddette.</w:t>
      </w:r>
    </w:p>
    <w:p w:rsidR="005276C9" w:rsidRPr="005276C9" w:rsidRDefault="005276C9" w:rsidP="005276C9">
      <w:pPr>
        <w:numPr>
          <w:ilvl w:val="0"/>
          <w:numId w:val="2"/>
        </w:numPr>
        <w:spacing w:before="120" w:after="120"/>
        <w:jc w:val="both"/>
        <w:rPr>
          <w:rFonts w:ascii="Garamond" w:hAnsi="Garamond"/>
          <w:szCs w:val="24"/>
        </w:rPr>
      </w:pPr>
      <w:r w:rsidRPr="005276C9">
        <w:rPr>
          <w:rFonts w:ascii="Garamond" w:hAnsi="Garamond"/>
          <w:szCs w:val="24"/>
        </w:rPr>
        <w:t>Per quanto non previsto dal presente regolamento si applicano le disposizioni normative vigenti nonché le norme regolamentari in materia di entrate tributarie dell’ente.</w:t>
      </w:r>
    </w:p>
    <w:p w:rsidR="005276C9" w:rsidRPr="00E175E5" w:rsidRDefault="005276C9" w:rsidP="005276C9">
      <w:pPr>
        <w:keepNext/>
        <w:autoSpaceDE w:val="0"/>
        <w:autoSpaceDN w:val="0"/>
        <w:adjustRightInd w:val="0"/>
        <w:spacing w:before="240" w:after="240"/>
        <w:outlineLvl w:val="0"/>
        <w:rPr>
          <w:rFonts w:ascii="Garamond" w:hAnsi="Garamond"/>
          <w:b/>
          <w:szCs w:val="24"/>
        </w:rPr>
      </w:pPr>
      <w:r w:rsidRPr="00E175E5">
        <w:rPr>
          <w:rFonts w:ascii="Garamond" w:hAnsi="Garamond"/>
          <w:b/>
          <w:szCs w:val="24"/>
        </w:rPr>
        <w:t xml:space="preserve">Art. 2 - Unità abitative assimilate all’abitazione principale </w:t>
      </w:r>
    </w:p>
    <w:p w:rsidR="005276C9" w:rsidRPr="005276C9" w:rsidRDefault="005276C9" w:rsidP="005276C9">
      <w:pPr>
        <w:numPr>
          <w:ilvl w:val="0"/>
          <w:numId w:val="3"/>
        </w:numPr>
        <w:tabs>
          <w:tab w:val="clear" w:pos="720"/>
          <w:tab w:val="num" w:pos="360"/>
        </w:tabs>
        <w:spacing w:before="120" w:after="120"/>
        <w:ind w:left="360"/>
        <w:jc w:val="both"/>
        <w:rPr>
          <w:rFonts w:ascii="Garamond" w:hAnsi="Garamond"/>
          <w:szCs w:val="24"/>
        </w:rPr>
      </w:pPr>
      <w:r w:rsidRPr="005276C9">
        <w:rPr>
          <w:rFonts w:ascii="Garamond" w:hAnsi="Garamond"/>
          <w:szCs w:val="24"/>
        </w:rPr>
        <w:t xml:space="preserve">A norma dell’art. 1, comma 741, </w:t>
      </w:r>
      <w:proofErr w:type="spellStart"/>
      <w:r w:rsidRPr="005276C9">
        <w:rPr>
          <w:rFonts w:ascii="Garamond" w:hAnsi="Garamond"/>
          <w:szCs w:val="24"/>
        </w:rPr>
        <w:t>lett</w:t>
      </w:r>
      <w:proofErr w:type="spellEnd"/>
      <w:r w:rsidRPr="005276C9">
        <w:rPr>
          <w:rFonts w:ascii="Garamond" w:hAnsi="Garamond"/>
          <w:szCs w:val="24"/>
        </w:rPr>
        <w:t xml:space="preserve">. c), n. 6) della Legge 27 dicembre 2019, n. 160, sono considerate abitazioni principali l'unità immobiliare posseduta da anziani o disabili che acquisiscono la residenza in istituti di ricovero o sanitari a seguito di ricovero permanente, a condizione che la stessa non risulti locata. </w:t>
      </w:r>
    </w:p>
    <w:p w:rsidR="005276C9" w:rsidRDefault="005276C9" w:rsidP="005276C9">
      <w:pPr>
        <w:numPr>
          <w:ilvl w:val="0"/>
          <w:numId w:val="3"/>
        </w:numPr>
        <w:tabs>
          <w:tab w:val="clear" w:pos="720"/>
          <w:tab w:val="num" w:pos="360"/>
        </w:tabs>
        <w:spacing w:before="120" w:after="120"/>
        <w:ind w:left="360"/>
        <w:jc w:val="both"/>
        <w:rPr>
          <w:rFonts w:ascii="Garamond" w:hAnsi="Garamond"/>
          <w:szCs w:val="24"/>
        </w:rPr>
      </w:pPr>
      <w:r w:rsidRPr="005276C9">
        <w:rPr>
          <w:rFonts w:ascii="Garamond" w:hAnsi="Garamond"/>
          <w:szCs w:val="24"/>
        </w:rPr>
        <w:t>In caso di più unità immobiliari, la predetta agevolazione può essere applicata ad una sola unità immobiliare.</w:t>
      </w:r>
    </w:p>
    <w:p w:rsidR="00305E1D" w:rsidRPr="005276C9" w:rsidRDefault="00305E1D" w:rsidP="005276C9">
      <w:pPr>
        <w:numPr>
          <w:ilvl w:val="0"/>
          <w:numId w:val="3"/>
        </w:numPr>
        <w:tabs>
          <w:tab w:val="clear" w:pos="720"/>
          <w:tab w:val="num" w:pos="360"/>
        </w:tabs>
        <w:spacing w:before="120" w:after="120"/>
        <w:ind w:left="360"/>
        <w:jc w:val="both"/>
        <w:rPr>
          <w:rFonts w:ascii="Garamond" w:hAnsi="Garamond"/>
          <w:szCs w:val="24"/>
        </w:rPr>
      </w:pPr>
      <w:r>
        <w:rPr>
          <w:rFonts w:ascii="Garamond" w:hAnsi="Garamond"/>
          <w:szCs w:val="24"/>
        </w:rPr>
        <w:t>Al fine di poter usufruire di tale agevolazione, il soggetto passivo del tributo deve presentare la dichiarazione IMU entro la data di scadenza prevista dalla normativa vigente.</w:t>
      </w:r>
    </w:p>
    <w:p w:rsidR="005276C9" w:rsidRPr="00E175E5" w:rsidRDefault="005276C9" w:rsidP="005276C9">
      <w:pPr>
        <w:keepNext/>
        <w:autoSpaceDE w:val="0"/>
        <w:autoSpaceDN w:val="0"/>
        <w:adjustRightInd w:val="0"/>
        <w:spacing w:before="240" w:after="240"/>
        <w:outlineLvl w:val="0"/>
        <w:rPr>
          <w:rFonts w:ascii="Garamond" w:hAnsi="Garamond"/>
          <w:b/>
          <w:szCs w:val="24"/>
        </w:rPr>
      </w:pPr>
      <w:r w:rsidRPr="00E175E5">
        <w:rPr>
          <w:rFonts w:ascii="Garamond" w:hAnsi="Garamond"/>
          <w:b/>
          <w:szCs w:val="24"/>
        </w:rPr>
        <w:t>Art. 3 - Immobili inagibili ed inabitabili</w:t>
      </w:r>
    </w:p>
    <w:p w:rsidR="005276C9" w:rsidRPr="005276C9" w:rsidRDefault="005276C9" w:rsidP="005276C9">
      <w:pPr>
        <w:numPr>
          <w:ilvl w:val="0"/>
          <w:numId w:val="4"/>
        </w:numPr>
        <w:tabs>
          <w:tab w:val="clear" w:pos="720"/>
          <w:tab w:val="num" w:pos="360"/>
        </w:tabs>
        <w:spacing w:before="120" w:after="120"/>
        <w:ind w:left="360"/>
        <w:jc w:val="both"/>
        <w:rPr>
          <w:rFonts w:ascii="Garamond" w:hAnsi="Garamond"/>
          <w:szCs w:val="24"/>
        </w:rPr>
      </w:pPr>
      <w:r w:rsidRPr="005276C9">
        <w:rPr>
          <w:rFonts w:ascii="Garamond" w:hAnsi="Garamond"/>
          <w:szCs w:val="24"/>
        </w:rPr>
        <w:t xml:space="preserve">Ai fini dell’applicazione della riduzione di cui all’art. 1, comma 747, </w:t>
      </w:r>
      <w:proofErr w:type="spellStart"/>
      <w:r w:rsidRPr="005276C9">
        <w:rPr>
          <w:rFonts w:ascii="Garamond" w:hAnsi="Garamond"/>
          <w:szCs w:val="24"/>
        </w:rPr>
        <w:t>lett</w:t>
      </w:r>
      <w:proofErr w:type="spellEnd"/>
      <w:r w:rsidRPr="005276C9">
        <w:rPr>
          <w:rFonts w:ascii="Garamond" w:hAnsi="Garamond"/>
          <w:szCs w:val="24"/>
        </w:rPr>
        <w:t>. b) della Legge 27 dicembre 2019, n. 160, deve sussistere una situazione di fatiscenza sopravvenuta.</w:t>
      </w:r>
    </w:p>
    <w:p w:rsidR="005276C9" w:rsidRPr="005276C9" w:rsidRDefault="005276C9" w:rsidP="005276C9">
      <w:pPr>
        <w:numPr>
          <w:ilvl w:val="0"/>
          <w:numId w:val="4"/>
        </w:numPr>
        <w:tabs>
          <w:tab w:val="clear" w:pos="720"/>
          <w:tab w:val="num" w:pos="360"/>
        </w:tabs>
        <w:spacing w:before="120" w:after="120"/>
        <w:ind w:left="360"/>
        <w:jc w:val="both"/>
        <w:rPr>
          <w:rFonts w:ascii="Garamond" w:hAnsi="Garamond"/>
          <w:szCs w:val="24"/>
        </w:rPr>
      </w:pPr>
      <w:r w:rsidRPr="005276C9">
        <w:rPr>
          <w:rFonts w:ascii="Garamond" w:hAnsi="Garamond"/>
          <w:szCs w:val="24"/>
        </w:rPr>
        <w:t>In particolare, l'inagibilità od inabitabilità deve consistere in un degrado fisico sopravvenuto (fabbricato diroccato, pericolante, fatiscente) non superabile con interventi di manutenzione ordinaria o straordinaria.</w:t>
      </w:r>
    </w:p>
    <w:p w:rsidR="005276C9" w:rsidRPr="005276C9" w:rsidRDefault="005276C9" w:rsidP="005276C9">
      <w:pPr>
        <w:numPr>
          <w:ilvl w:val="0"/>
          <w:numId w:val="4"/>
        </w:numPr>
        <w:tabs>
          <w:tab w:val="clear" w:pos="720"/>
          <w:tab w:val="num" w:pos="360"/>
        </w:tabs>
        <w:spacing w:before="120" w:after="120"/>
        <w:ind w:left="360"/>
        <w:jc w:val="both"/>
        <w:rPr>
          <w:rFonts w:ascii="Garamond" w:hAnsi="Garamond"/>
          <w:szCs w:val="24"/>
        </w:rPr>
      </w:pPr>
      <w:r w:rsidRPr="005276C9">
        <w:rPr>
          <w:rFonts w:ascii="Garamond" w:hAnsi="Garamond"/>
          <w:szCs w:val="24"/>
        </w:rPr>
        <w:t xml:space="preserve">I fabbricati devono possedere le caratteristiche di seguito indicate: immobili che necessitino di interventi di restauro e risanamento conservativo e/o di ristrutturazione edilizia, ai sensi dell'art. 31, comma 1, </w:t>
      </w:r>
      <w:proofErr w:type="spellStart"/>
      <w:r w:rsidRPr="005276C9">
        <w:rPr>
          <w:rFonts w:ascii="Garamond" w:hAnsi="Garamond"/>
          <w:szCs w:val="24"/>
        </w:rPr>
        <w:t>lett</w:t>
      </w:r>
      <w:proofErr w:type="spellEnd"/>
      <w:r w:rsidRPr="005276C9">
        <w:rPr>
          <w:rFonts w:ascii="Garamond" w:hAnsi="Garamond"/>
          <w:szCs w:val="24"/>
        </w:rPr>
        <w:t>. c) e d), della legge 5 agosto 1978, n. 457 ed ai sensi delle disposizioni contenute nel vigente strumento edilizio vigente e che, nel contempo, risultino diroccati, pericolanti e fatiscenti.</w:t>
      </w:r>
    </w:p>
    <w:p w:rsidR="005276C9" w:rsidRPr="005276C9" w:rsidRDefault="005276C9" w:rsidP="005276C9">
      <w:pPr>
        <w:numPr>
          <w:ilvl w:val="0"/>
          <w:numId w:val="4"/>
        </w:numPr>
        <w:tabs>
          <w:tab w:val="clear" w:pos="720"/>
          <w:tab w:val="num" w:pos="360"/>
        </w:tabs>
        <w:spacing w:before="120" w:after="120"/>
        <w:ind w:left="360"/>
        <w:jc w:val="both"/>
        <w:rPr>
          <w:rFonts w:ascii="Garamond" w:hAnsi="Garamond"/>
          <w:szCs w:val="24"/>
        </w:rPr>
      </w:pPr>
      <w:r w:rsidRPr="005276C9">
        <w:rPr>
          <w:rFonts w:ascii="Garamond" w:hAnsi="Garamond"/>
          <w:szCs w:val="24"/>
        </w:rPr>
        <w:t>A titolo esemplificativo, si considerano inagibili o inabitabili e di fatto non utilizzati i fabbricati aventi le seguenti caratteristiche:</w:t>
      </w:r>
    </w:p>
    <w:p w:rsidR="005276C9" w:rsidRPr="005276C9" w:rsidRDefault="005276C9" w:rsidP="005276C9">
      <w:pPr>
        <w:numPr>
          <w:ilvl w:val="0"/>
          <w:numId w:val="5"/>
        </w:numPr>
        <w:tabs>
          <w:tab w:val="clear" w:pos="1440"/>
        </w:tabs>
        <w:spacing w:before="120" w:after="120"/>
        <w:ind w:left="757"/>
        <w:jc w:val="both"/>
        <w:rPr>
          <w:rFonts w:ascii="Garamond" w:hAnsi="Garamond"/>
          <w:szCs w:val="24"/>
        </w:rPr>
      </w:pPr>
      <w:r w:rsidRPr="005276C9">
        <w:rPr>
          <w:rFonts w:ascii="Garamond" w:hAnsi="Garamond"/>
          <w:szCs w:val="24"/>
        </w:rPr>
        <w:t>strutture orizzontali (solai e tetto di copertura) con gravi lesioni che possano costituire pericolo a cose o persone, con rischi di crollo;</w:t>
      </w:r>
    </w:p>
    <w:p w:rsidR="005276C9" w:rsidRPr="005276C9" w:rsidRDefault="005276C9" w:rsidP="005276C9">
      <w:pPr>
        <w:numPr>
          <w:ilvl w:val="0"/>
          <w:numId w:val="5"/>
        </w:numPr>
        <w:tabs>
          <w:tab w:val="clear" w:pos="1440"/>
        </w:tabs>
        <w:spacing w:before="120" w:after="120"/>
        <w:ind w:left="757"/>
        <w:jc w:val="both"/>
        <w:rPr>
          <w:rFonts w:ascii="Garamond" w:hAnsi="Garamond"/>
          <w:szCs w:val="24"/>
        </w:rPr>
      </w:pPr>
      <w:r w:rsidRPr="005276C9">
        <w:rPr>
          <w:rFonts w:ascii="Garamond" w:hAnsi="Garamond"/>
          <w:szCs w:val="24"/>
        </w:rPr>
        <w:t>strutture verticali (muri perimetrali o di confine) con gravi lesioni che possano costituire pericolo e possano far presagire danni a cose o persone, con rischi di crollo parziale o totale;</w:t>
      </w:r>
    </w:p>
    <w:p w:rsidR="005276C9" w:rsidRPr="005276C9" w:rsidRDefault="005276C9" w:rsidP="005276C9">
      <w:pPr>
        <w:numPr>
          <w:ilvl w:val="0"/>
          <w:numId w:val="5"/>
        </w:numPr>
        <w:tabs>
          <w:tab w:val="clear" w:pos="1440"/>
        </w:tabs>
        <w:spacing w:before="120" w:after="120"/>
        <w:ind w:left="757"/>
        <w:jc w:val="both"/>
        <w:rPr>
          <w:rFonts w:ascii="Garamond" w:hAnsi="Garamond"/>
          <w:szCs w:val="24"/>
        </w:rPr>
      </w:pPr>
      <w:r w:rsidRPr="005276C9">
        <w:rPr>
          <w:rFonts w:ascii="Garamond" w:hAnsi="Garamond"/>
          <w:szCs w:val="24"/>
        </w:rPr>
        <w:t>edifici per i quali è stata emessa ordinanza sindacale di demolizione o ripristino atta ad evitare danni a cose o persone;</w:t>
      </w:r>
    </w:p>
    <w:p w:rsidR="005276C9" w:rsidRPr="005276C9" w:rsidRDefault="005276C9" w:rsidP="005276C9">
      <w:pPr>
        <w:numPr>
          <w:ilvl w:val="0"/>
          <w:numId w:val="5"/>
        </w:numPr>
        <w:tabs>
          <w:tab w:val="clear" w:pos="1440"/>
        </w:tabs>
        <w:spacing w:before="120" w:after="120"/>
        <w:ind w:left="757"/>
        <w:jc w:val="both"/>
        <w:rPr>
          <w:rFonts w:ascii="Garamond" w:hAnsi="Garamond"/>
          <w:szCs w:val="24"/>
        </w:rPr>
      </w:pPr>
      <w:r w:rsidRPr="005276C9">
        <w:rPr>
          <w:rFonts w:ascii="Garamond" w:hAnsi="Garamond"/>
          <w:szCs w:val="24"/>
        </w:rPr>
        <w:lastRenderedPageBreak/>
        <w:t>edifici che per le loro caratteristiche intrinseche ed estrinseche di fatiscenza non siano compatibili all'uso per il quale erano destinati, quali la vetustà della costruzione accompagnata dalla mancanza delle parti ornamentali e di finitura del fabbricato (mancanza di infissi, di allaccio alle opere di urbanizzazione primaria, etc.);</w:t>
      </w:r>
    </w:p>
    <w:p w:rsidR="005276C9" w:rsidRPr="005276C9" w:rsidRDefault="005276C9" w:rsidP="005276C9">
      <w:pPr>
        <w:numPr>
          <w:ilvl w:val="0"/>
          <w:numId w:val="4"/>
        </w:numPr>
        <w:tabs>
          <w:tab w:val="clear" w:pos="720"/>
          <w:tab w:val="num" w:pos="360"/>
        </w:tabs>
        <w:spacing w:before="120" w:after="120"/>
        <w:ind w:left="360"/>
        <w:jc w:val="both"/>
        <w:rPr>
          <w:rFonts w:ascii="Garamond" w:hAnsi="Garamond"/>
          <w:szCs w:val="24"/>
        </w:rPr>
      </w:pPr>
      <w:r w:rsidRPr="005276C9">
        <w:rPr>
          <w:rFonts w:ascii="Garamond" w:hAnsi="Garamond"/>
          <w:szCs w:val="24"/>
        </w:rPr>
        <w:t>Non costituisce, per sé solo, motivo di inagibilità o inabitabilità il rifacimento e/o il mancato allacciamento degli impianti (gas, luce, acqua, ecc.). Non possono essere considerate inagibili o inabitabili le unità immobiliari carenti delle normali operazioni di riparazione, rinnovamento e sostituzione delle finiture o di quelle necessarie ad integrare e/o mantenere in efficienza gli impianti tecnologici esistenti quali, a titolo di esempio, gli interventi di:</w:t>
      </w:r>
    </w:p>
    <w:p w:rsidR="005276C9" w:rsidRPr="005276C9" w:rsidRDefault="005276C9" w:rsidP="005276C9">
      <w:pPr>
        <w:numPr>
          <w:ilvl w:val="0"/>
          <w:numId w:val="6"/>
        </w:numPr>
        <w:tabs>
          <w:tab w:val="clear" w:pos="720"/>
        </w:tabs>
        <w:spacing w:before="120" w:after="120"/>
        <w:ind w:left="757"/>
        <w:jc w:val="both"/>
        <w:rPr>
          <w:rFonts w:ascii="Garamond" w:hAnsi="Garamond"/>
          <w:szCs w:val="24"/>
        </w:rPr>
      </w:pPr>
      <w:r w:rsidRPr="005276C9">
        <w:rPr>
          <w:rFonts w:ascii="Garamond" w:hAnsi="Garamond"/>
          <w:szCs w:val="24"/>
        </w:rPr>
        <w:t>tinteggiatura, dipintura e rifacimento intonaci interni ed esterni;</w:t>
      </w:r>
    </w:p>
    <w:p w:rsidR="005276C9" w:rsidRPr="005276C9" w:rsidRDefault="005276C9" w:rsidP="005276C9">
      <w:pPr>
        <w:numPr>
          <w:ilvl w:val="0"/>
          <w:numId w:val="6"/>
        </w:numPr>
        <w:tabs>
          <w:tab w:val="clear" w:pos="720"/>
        </w:tabs>
        <w:spacing w:before="120" w:after="120"/>
        <w:ind w:left="757"/>
        <w:jc w:val="both"/>
        <w:rPr>
          <w:rFonts w:ascii="Garamond" w:hAnsi="Garamond"/>
          <w:szCs w:val="24"/>
        </w:rPr>
      </w:pPr>
      <w:r w:rsidRPr="005276C9">
        <w:rPr>
          <w:rFonts w:ascii="Garamond" w:hAnsi="Garamond"/>
          <w:szCs w:val="24"/>
        </w:rPr>
        <w:t>pulitura, riparazione di manti di copertura e/o delle pavimentazioni;</w:t>
      </w:r>
    </w:p>
    <w:p w:rsidR="005276C9" w:rsidRPr="005276C9" w:rsidRDefault="005276C9" w:rsidP="005276C9">
      <w:pPr>
        <w:numPr>
          <w:ilvl w:val="0"/>
          <w:numId w:val="6"/>
        </w:numPr>
        <w:tabs>
          <w:tab w:val="clear" w:pos="720"/>
        </w:tabs>
        <w:spacing w:before="120" w:after="120"/>
        <w:ind w:left="757"/>
        <w:jc w:val="both"/>
        <w:rPr>
          <w:rFonts w:ascii="Garamond" w:hAnsi="Garamond"/>
          <w:szCs w:val="24"/>
        </w:rPr>
      </w:pPr>
      <w:r w:rsidRPr="005276C9">
        <w:rPr>
          <w:rFonts w:ascii="Garamond" w:hAnsi="Garamond"/>
          <w:szCs w:val="24"/>
        </w:rPr>
        <w:t>riparazione ed ammodernamento di impianti tecnici;</w:t>
      </w:r>
    </w:p>
    <w:p w:rsidR="005276C9" w:rsidRPr="005276C9" w:rsidRDefault="005276C9" w:rsidP="005276C9">
      <w:pPr>
        <w:numPr>
          <w:ilvl w:val="0"/>
          <w:numId w:val="6"/>
        </w:numPr>
        <w:tabs>
          <w:tab w:val="clear" w:pos="720"/>
        </w:tabs>
        <w:spacing w:before="120" w:after="120"/>
        <w:ind w:left="757"/>
        <w:jc w:val="both"/>
        <w:rPr>
          <w:rFonts w:ascii="Garamond" w:hAnsi="Garamond"/>
          <w:szCs w:val="24"/>
        </w:rPr>
      </w:pPr>
      <w:r w:rsidRPr="005276C9">
        <w:rPr>
          <w:rFonts w:ascii="Garamond" w:hAnsi="Garamond"/>
          <w:szCs w:val="24"/>
        </w:rPr>
        <w:t>riparazione e/o sostituzione di parti del tetto, anche con l’inserimento di materiali isolanti;</w:t>
      </w:r>
    </w:p>
    <w:p w:rsidR="005276C9" w:rsidRDefault="005276C9" w:rsidP="005276C9">
      <w:pPr>
        <w:numPr>
          <w:ilvl w:val="0"/>
          <w:numId w:val="6"/>
        </w:numPr>
        <w:tabs>
          <w:tab w:val="clear" w:pos="720"/>
        </w:tabs>
        <w:spacing w:before="120" w:after="120"/>
        <w:ind w:left="757"/>
        <w:jc w:val="both"/>
        <w:rPr>
          <w:rFonts w:ascii="Garamond" w:hAnsi="Garamond"/>
          <w:szCs w:val="24"/>
        </w:rPr>
      </w:pPr>
      <w:r w:rsidRPr="005276C9">
        <w:rPr>
          <w:rFonts w:ascii="Garamond" w:hAnsi="Garamond"/>
          <w:szCs w:val="24"/>
        </w:rPr>
        <w:t>rimozione di lastre di fibrocemento contenenti amianto.</w:t>
      </w:r>
    </w:p>
    <w:p w:rsidR="00305E1D" w:rsidRPr="00305E1D" w:rsidRDefault="00305E1D" w:rsidP="00305E1D">
      <w:pPr>
        <w:pStyle w:val="Paragrafoelenco"/>
        <w:numPr>
          <w:ilvl w:val="0"/>
          <w:numId w:val="4"/>
        </w:numPr>
        <w:tabs>
          <w:tab w:val="clear" w:pos="720"/>
          <w:tab w:val="num" w:pos="284"/>
        </w:tabs>
        <w:spacing w:before="120" w:after="120"/>
        <w:ind w:left="284" w:hanging="284"/>
        <w:jc w:val="both"/>
        <w:rPr>
          <w:rFonts w:ascii="Garamond" w:hAnsi="Garamond"/>
          <w:szCs w:val="24"/>
        </w:rPr>
      </w:pPr>
      <w:bookmarkStart w:id="1" w:name="_GoBack"/>
      <w:bookmarkEnd w:id="1"/>
      <w:r w:rsidRPr="00305E1D">
        <w:rPr>
          <w:rFonts w:ascii="Garamond" w:hAnsi="Garamond"/>
          <w:szCs w:val="24"/>
        </w:rPr>
        <w:t>Al fine di poter usufruire di tale agevolazione, il soggetto passivo del tributo deve presentare la dichiarazione IMU entro la data di scadenza prevista dalla normativa vigente.</w:t>
      </w:r>
    </w:p>
    <w:p w:rsidR="005276C9" w:rsidRPr="005276C9" w:rsidRDefault="005276C9" w:rsidP="005276C9">
      <w:pPr>
        <w:pStyle w:val="Titolo2"/>
        <w:autoSpaceDE w:val="0"/>
        <w:autoSpaceDN w:val="0"/>
        <w:adjustRightInd w:val="0"/>
        <w:spacing w:before="240" w:after="240"/>
        <w:jc w:val="left"/>
        <w:rPr>
          <w:rFonts w:ascii="Garamond" w:hAnsi="Garamond" w:cs="Times New Roman"/>
          <w:b w:val="0"/>
          <w:bCs w:val="0"/>
          <w:sz w:val="24"/>
        </w:rPr>
      </w:pPr>
      <w:r w:rsidRPr="00A4577E">
        <w:rPr>
          <w:rFonts w:ascii="Garamond" w:hAnsi="Garamond" w:cs="Times New Roman"/>
          <w:bCs w:val="0"/>
          <w:sz w:val="24"/>
        </w:rPr>
        <w:t>Art. 4 – Versamenti</w:t>
      </w:r>
      <w:r w:rsidRPr="005276C9">
        <w:rPr>
          <w:rFonts w:ascii="Garamond" w:hAnsi="Garamond" w:cs="Times New Roman"/>
          <w:b w:val="0"/>
          <w:bCs w:val="0"/>
          <w:sz w:val="24"/>
        </w:rPr>
        <w:t xml:space="preserve"> </w:t>
      </w:r>
    </w:p>
    <w:p w:rsidR="005276C9" w:rsidRPr="005276C9" w:rsidRDefault="005276C9" w:rsidP="005276C9">
      <w:pPr>
        <w:numPr>
          <w:ilvl w:val="0"/>
          <w:numId w:val="8"/>
        </w:numPr>
        <w:tabs>
          <w:tab w:val="clear" w:pos="2340"/>
          <w:tab w:val="num" w:pos="360"/>
        </w:tabs>
        <w:spacing w:before="120" w:after="120"/>
        <w:ind w:left="360"/>
        <w:jc w:val="both"/>
        <w:rPr>
          <w:rFonts w:ascii="Garamond" w:hAnsi="Garamond"/>
          <w:szCs w:val="24"/>
        </w:rPr>
      </w:pPr>
      <w:r w:rsidRPr="005276C9">
        <w:rPr>
          <w:rFonts w:ascii="Garamond" w:hAnsi="Garamond"/>
          <w:szCs w:val="24"/>
        </w:rPr>
        <w:t xml:space="preserve">Il versamento non è dovuto qualora l’importo dell’imposta sia uguale o inferiore a </w:t>
      </w:r>
      <w:r w:rsidR="00A4577E">
        <w:rPr>
          <w:rFonts w:ascii="Garamond" w:hAnsi="Garamond"/>
          <w:szCs w:val="24"/>
        </w:rPr>
        <w:t>12,00</w:t>
      </w:r>
      <w:r w:rsidRPr="005276C9">
        <w:rPr>
          <w:rFonts w:ascii="Garamond" w:hAnsi="Garamond"/>
          <w:szCs w:val="24"/>
        </w:rPr>
        <w:t xml:space="preserve"> euro. Tale importo si intende riferito all’imposta complessivamente dovuta per l’anno d’imposta e non alle singole rate di acconto e di saldo. </w:t>
      </w:r>
    </w:p>
    <w:p w:rsidR="005276C9" w:rsidRPr="005276C9" w:rsidRDefault="005276C9" w:rsidP="005276C9">
      <w:pPr>
        <w:numPr>
          <w:ilvl w:val="0"/>
          <w:numId w:val="8"/>
        </w:numPr>
        <w:tabs>
          <w:tab w:val="clear" w:pos="2340"/>
          <w:tab w:val="num" w:pos="360"/>
        </w:tabs>
        <w:spacing w:before="120" w:after="120"/>
        <w:ind w:left="360"/>
        <w:jc w:val="both"/>
        <w:rPr>
          <w:rFonts w:ascii="Garamond" w:hAnsi="Garamond"/>
          <w:szCs w:val="24"/>
        </w:rPr>
      </w:pPr>
      <w:r w:rsidRPr="005276C9">
        <w:rPr>
          <w:rFonts w:ascii="Garamond" w:hAnsi="Garamond"/>
          <w:szCs w:val="24"/>
        </w:rPr>
        <w:t>I versamenti dell’imposta si considerano regolarmente eseguiti anche se effettuati da un contitolare per conto degli altri, a condizione che ne sia data comunicazione all’ente impositore.</w:t>
      </w:r>
    </w:p>
    <w:p w:rsidR="005276C9" w:rsidRPr="005276C9" w:rsidRDefault="005276C9" w:rsidP="005276C9">
      <w:pPr>
        <w:keepNext/>
        <w:autoSpaceDE w:val="0"/>
        <w:autoSpaceDN w:val="0"/>
        <w:adjustRightInd w:val="0"/>
        <w:spacing w:before="240" w:after="240"/>
        <w:outlineLvl w:val="0"/>
        <w:rPr>
          <w:rFonts w:ascii="Garamond" w:hAnsi="Garamond"/>
          <w:szCs w:val="24"/>
        </w:rPr>
      </w:pPr>
      <w:r w:rsidRPr="00A4577E">
        <w:rPr>
          <w:rFonts w:ascii="Garamond" w:hAnsi="Garamond"/>
          <w:b/>
          <w:szCs w:val="24"/>
        </w:rPr>
        <w:t>Art. 5 – Rimborsi</w:t>
      </w:r>
      <w:r w:rsidRPr="005276C9">
        <w:rPr>
          <w:rFonts w:ascii="Garamond" w:hAnsi="Garamond"/>
          <w:szCs w:val="24"/>
        </w:rPr>
        <w:t xml:space="preserve"> </w:t>
      </w:r>
    </w:p>
    <w:p w:rsidR="005276C9" w:rsidRPr="005276C9" w:rsidRDefault="005276C9" w:rsidP="005276C9">
      <w:pPr>
        <w:numPr>
          <w:ilvl w:val="0"/>
          <w:numId w:val="9"/>
        </w:numPr>
        <w:tabs>
          <w:tab w:val="clear" w:pos="720"/>
          <w:tab w:val="num" w:pos="360"/>
        </w:tabs>
        <w:spacing w:before="120" w:after="120"/>
        <w:ind w:left="360"/>
        <w:jc w:val="both"/>
        <w:rPr>
          <w:rFonts w:ascii="Garamond" w:hAnsi="Garamond"/>
          <w:szCs w:val="24"/>
        </w:rPr>
      </w:pPr>
      <w:r w:rsidRPr="005276C9">
        <w:rPr>
          <w:rFonts w:ascii="Garamond" w:hAnsi="Garamond"/>
          <w:szCs w:val="24"/>
        </w:rPr>
        <w:t xml:space="preserve">Non si procede al rimborso di somme inferiori </w:t>
      </w:r>
      <w:r w:rsidR="00A4577E">
        <w:rPr>
          <w:rFonts w:ascii="Garamond" w:hAnsi="Garamond"/>
          <w:szCs w:val="24"/>
        </w:rPr>
        <w:t>a 12,00</w:t>
      </w:r>
      <w:r w:rsidRPr="005276C9">
        <w:rPr>
          <w:rFonts w:ascii="Garamond" w:hAnsi="Garamond"/>
          <w:szCs w:val="24"/>
        </w:rPr>
        <w:t xml:space="preserve"> euro</w:t>
      </w:r>
      <w:r w:rsidR="00A4577E">
        <w:rPr>
          <w:rFonts w:ascii="Garamond" w:hAnsi="Garamond"/>
          <w:szCs w:val="24"/>
        </w:rPr>
        <w:t>.</w:t>
      </w:r>
    </w:p>
    <w:p w:rsidR="005276C9" w:rsidRPr="005276C9" w:rsidRDefault="005276C9" w:rsidP="005276C9">
      <w:pPr>
        <w:numPr>
          <w:ilvl w:val="0"/>
          <w:numId w:val="9"/>
        </w:numPr>
        <w:tabs>
          <w:tab w:val="clear" w:pos="720"/>
          <w:tab w:val="num" w:pos="360"/>
        </w:tabs>
        <w:spacing w:before="120" w:after="120"/>
        <w:ind w:left="360"/>
        <w:jc w:val="both"/>
        <w:rPr>
          <w:rFonts w:ascii="Garamond" w:hAnsi="Garamond"/>
          <w:szCs w:val="24"/>
        </w:rPr>
      </w:pPr>
      <w:r w:rsidRPr="005276C9">
        <w:rPr>
          <w:rFonts w:ascii="Garamond" w:hAnsi="Garamond"/>
          <w:szCs w:val="24"/>
        </w:rPr>
        <w:t>Per le sole aree fabbricabili inserite tra le previsioni del Piano regolatore generale per il territorio urbanizzabile è prevista la possibilità, per il soggetto passivo d'imposta, di richiedere il rimborso dell'imposta versata nel caso in cui tali aree divengano fiscalmente non più edificabili a seguito della definitiva approvazione di un nuovo strumento urbanistico generale o sua variante.</w:t>
      </w:r>
    </w:p>
    <w:p w:rsidR="005276C9" w:rsidRPr="005276C9" w:rsidRDefault="005276C9" w:rsidP="005276C9">
      <w:pPr>
        <w:numPr>
          <w:ilvl w:val="0"/>
          <w:numId w:val="9"/>
        </w:numPr>
        <w:tabs>
          <w:tab w:val="clear" w:pos="720"/>
          <w:tab w:val="num" w:pos="360"/>
        </w:tabs>
        <w:spacing w:before="120" w:after="120"/>
        <w:ind w:left="360"/>
        <w:jc w:val="both"/>
        <w:rPr>
          <w:rFonts w:ascii="Garamond" w:hAnsi="Garamond"/>
          <w:szCs w:val="24"/>
        </w:rPr>
      </w:pPr>
      <w:r w:rsidRPr="005276C9">
        <w:rPr>
          <w:rFonts w:ascii="Garamond" w:hAnsi="Garamond"/>
          <w:szCs w:val="24"/>
        </w:rPr>
        <w:t>Non spetta alcun rimborso nel caso vi sia stata utilizzazione edificatoria, anche abusiva, dell'area interessata, a prescindere dagli eventuali provvedimenti amministrativi adottati in merito all'abuso.</w:t>
      </w:r>
    </w:p>
    <w:p w:rsidR="005276C9" w:rsidRPr="005276C9" w:rsidRDefault="005276C9" w:rsidP="005276C9">
      <w:pPr>
        <w:numPr>
          <w:ilvl w:val="0"/>
          <w:numId w:val="9"/>
        </w:numPr>
        <w:tabs>
          <w:tab w:val="clear" w:pos="720"/>
          <w:tab w:val="num" w:pos="360"/>
        </w:tabs>
        <w:spacing w:before="120" w:after="120"/>
        <w:ind w:left="360"/>
        <w:jc w:val="both"/>
        <w:rPr>
          <w:rFonts w:ascii="Garamond" w:hAnsi="Garamond"/>
          <w:szCs w:val="24"/>
        </w:rPr>
      </w:pPr>
      <w:r w:rsidRPr="005276C9">
        <w:rPr>
          <w:rFonts w:ascii="Garamond" w:hAnsi="Garamond"/>
          <w:szCs w:val="24"/>
        </w:rPr>
        <w:t>Il rimborso spetta per il periodo d'imposta decorrente dall'ultimo acquisto a titolo oneroso per atto tra vivi dell'area, e comunque per un periodo non eccedente 5 anni antecedenti l'adozione del nuovo strumento urbanistico generale o sua variante.</w:t>
      </w:r>
    </w:p>
    <w:p w:rsidR="005276C9" w:rsidRPr="005276C9" w:rsidRDefault="005276C9" w:rsidP="005276C9">
      <w:pPr>
        <w:numPr>
          <w:ilvl w:val="0"/>
          <w:numId w:val="9"/>
        </w:numPr>
        <w:tabs>
          <w:tab w:val="clear" w:pos="720"/>
          <w:tab w:val="num" w:pos="360"/>
        </w:tabs>
        <w:spacing w:before="120" w:after="120"/>
        <w:ind w:left="360"/>
        <w:jc w:val="both"/>
        <w:rPr>
          <w:rFonts w:ascii="Garamond" w:hAnsi="Garamond"/>
          <w:szCs w:val="24"/>
        </w:rPr>
      </w:pPr>
      <w:r w:rsidRPr="005276C9">
        <w:rPr>
          <w:rFonts w:ascii="Garamond" w:hAnsi="Garamond"/>
          <w:szCs w:val="24"/>
        </w:rPr>
        <w:t xml:space="preserve">L'istanza di rimborso dovrà essere presentata nel rispetto del termine previsto dalla legge vigente, decorrente dalla definitiva approvazione del nuovo strumento urbanistico generale o sua variante. </w:t>
      </w:r>
    </w:p>
    <w:p w:rsidR="005276C9" w:rsidRPr="005276C9" w:rsidRDefault="005276C9" w:rsidP="005276C9">
      <w:pPr>
        <w:pStyle w:val="Titolo2"/>
        <w:autoSpaceDE w:val="0"/>
        <w:autoSpaceDN w:val="0"/>
        <w:adjustRightInd w:val="0"/>
        <w:spacing w:before="240" w:after="240"/>
        <w:jc w:val="left"/>
        <w:rPr>
          <w:rFonts w:ascii="Garamond" w:hAnsi="Garamond" w:cs="Times New Roman"/>
          <w:b w:val="0"/>
          <w:bCs w:val="0"/>
          <w:sz w:val="24"/>
        </w:rPr>
      </w:pPr>
      <w:r w:rsidRPr="00594239">
        <w:rPr>
          <w:rFonts w:ascii="Garamond" w:hAnsi="Garamond" w:cs="Times New Roman"/>
          <w:bCs w:val="0"/>
          <w:sz w:val="24"/>
        </w:rPr>
        <w:lastRenderedPageBreak/>
        <w:t>Art. 6 – Valori di riferimento delle aree fabbricabili</w:t>
      </w:r>
    </w:p>
    <w:p w:rsidR="005276C9" w:rsidRPr="005276C9" w:rsidRDefault="005276C9" w:rsidP="005276C9">
      <w:pPr>
        <w:numPr>
          <w:ilvl w:val="0"/>
          <w:numId w:val="7"/>
        </w:numPr>
        <w:tabs>
          <w:tab w:val="clear" w:pos="2340"/>
          <w:tab w:val="num" w:pos="360"/>
        </w:tabs>
        <w:spacing w:before="120" w:after="120"/>
        <w:ind w:left="360"/>
        <w:jc w:val="both"/>
        <w:rPr>
          <w:rFonts w:ascii="Garamond" w:hAnsi="Garamond"/>
          <w:szCs w:val="24"/>
        </w:rPr>
      </w:pPr>
      <w:r w:rsidRPr="005276C9">
        <w:rPr>
          <w:rFonts w:ascii="Garamond" w:hAnsi="Garamond"/>
          <w:szCs w:val="24"/>
        </w:rPr>
        <w:t>Al fine di semplificare gli adempimenti a carico dei contribuenti e per orientare l’attività di controllo dell’ufficio, con propria delibera la Giunta Comunale può determinare periodicamente, per zone omogenee, i valori venali in comune commercio delle aree fabbricabili site nel territorio comunale.</w:t>
      </w:r>
    </w:p>
    <w:p w:rsidR="005276C9" w:rsidRPr="005276C9" w:rsidRDefault="005276C9" w:rsidP="005276C9">
      <w:pPr>
        <w:numPr>
          <w:ilvl w:val="0"/>
          <w:numId w:val="7"/>
        </w:numPr>
        <w:tabs>
          <w:tab w:val="clear" w:pos="2340"/>
          <w:tab w:val="num" w:pos="360"/>
        </w:tabs>
        <w:spacing w:before="120" w:after="120"/>
        <w:ind w:left="360"/>
        <w:jc w:val="both"/>
        <w:rPr>
          <w:rFonts w:ascii="Garamond" w:hAnsi="Garamond"/>
          <w:szCs w:val="24"/>
        </w:rPr>
      </w:pPr>
      <w:r w:rsidRPr="005276C9">
        <w:rPr>
          <w:rFonts w:ascii="Garamond" w:hAnsi="Garamond"/>
          <w:szCs w:val="24"/>
        </w:rPr>
        <w:t>L’adeguamento da parte dei contribuenti ai valori di cui al comma 2 non limita il potere di accertamento del Comune.</w:t>
      </w:r>
    </w:p>
    <w:p w:rsidR="005276C9" w:rsidRPr="005276C9" w:rsidRDefault="005276C9" w:rsidP="005276C9">
      <w:pPr>
        <w:numPr>
          <w:ilvl w:val="0"/>
          <w:numId w:val="7"/>
        </w:numPr>
        <w:tabs>
          <w:tab w:val="clear" w:pos="2340"/>
          <w:tab w:val="num" w:pos="360"/>
        </w:tabs>
        <w:spacing w:before="120" w:after="120"/>
        <w:ind w:left="360"/>
        <w:jc w:val="both"/>
        <w:rPr>
          <w:rFonts w:ascii="Garamond" w:hAnsi="Garamond"/>
          <w:szCs w:val="24"/>
        </w:rPr>
      </w:pPr>
      <w:r w:rsidRPr="005276C9">
        <w:rPr>
          <w:rFonts w:ascii="Garamond" w:hAnsi="Garamond"/>
          <w:szCs w:val="24"/>
        </w:rPr>
        <w:t>Al fine della limitazione del potere di accertamento del comune e di ridurre al massimo l'insorgenza di contenzioso, il Consiglio Comunale, con deliberazione avente natura regolamentare, può determinare periodicamente, per zone omogenee, i valori venali in comune commercio delle aree fabbricabili site nel territorio comunale.</w:t>
      </w:r>
    </w:p>
    <w:p w:rsidR="005276C9" w:rsidRPr="005276C9" w:rsidRDefault="005276C9" w:rsidP="005276C9">
      <w:pPr>
        <w:numPr>
          <w:ilvl w:val="0"/>
          <w:numId w:val="7"/>
        </w:numPr>
        <w:tabs>
          <w:tab w:val="clear" w:pos="2340"/>
          <w:tab w:val="num" w:pos="360"/>
        </w:tabs>
        <w:spacing w:before="120" w:after="120"/>
        <w:ind w:left="360"/>
        <w:jc w:val="both"/>
        <w:rPr>
          <w:rFonts w:ascii="Garamond" w:hAnsi="Garamond"/>
          <w:szCs w:val="24"/>
        </w:rPr>
      </w:pPr>
      <w:r w:rsidRPr="005276C9">
        <w:rPr>
          <w:rFonts w:ascii="Garamond" w:hAnsi="Garamond"/>
          <w:szCs w:val="24"/>
        </w:rPr>
        <w:t>L’ufficio competente non esercita il potere di accertamento qualora l'imposta sia stata versata sulla base di un valore non inferiore a quello predeterminato ai sensi del precedente comma 3.</w:t>
      </w:r>
    </w:p>
    <w:p w:rsidR="005276C9" w:rsidRPr="005276C9" w:rsidRDefault="005276C9" w:rsidP="005276C9">
      <w:pPr>
        <w:pStyle w:val="Titolo2"/>
        <w:autoSpaceDE w:val="0"/>
        <w:autoSpaceDN w:val="0"/>
        <w:adjustRightInd w:val="0"/>
        <w:spacing w:before="240" w:after="240"/>
        <w:jc w:val="left"/>
        <w:rPr>
          <w:rFonts w:ascii="Garamond" w:hAnsi="Garamond" w:cs="Times New Roman"/>
          <w:b w:val="0"/>
          <w:bCs w:val="0"/>
          <w:sz w:val="24"/>
        </w:rPr>
      </w:pPr>
      <w:r w:rsidRPr="00594239">
        <w:rPr>
          <w:rFonts w:ascii="Garamond" w:hAnsi="Garamond" w:cs="Times New Roman"/>
          <w:bCs w:val="0"/>
          <w:sz w:val="24"/>
        </w:rPr>
        <w:t>Art. 7 – Esenzioni</w:t>
      </w:r>
      <w:r w:rsidRPr="005276C9">
        <w:rPr>
          <w:rFonts w:ascii="Garamond" w:hAnsi="Garamond" w:cs="Times New Roman"/>
          <w:b w:val="0"/>
          <w:bCs w:val="0"/>
          <w:sz w:val="24"/>
        </w:rPr>
        <w:t xml:space="preserve"> </w:t>
      </w:r>
    </w:p>
    <w:p w:rsidR="005276C9" w:rsidRPr="005276C9" w:rsidRDefault="005276C9" w:rsidP="00305E1D">
      <w:pPr>
        <w:pStyle w:val="Corpotesto"/>
        <w:numPr>
          <w:ilvl w:val="2"/>
          <w:numId w:val="4"/>
        </w:numPr>
        <w:tabs>
          <w:tab w:val="num" w:pos="360"/>
        </w:tabs>
        <w:spacing w:before="120" w:after="120"/>
        <w:ind w:left="360"/>
        <w:rPr>
          <w:rFonts w:ascii="Garamond" w:hAnsi="Garamond" w:cs="Times New Roman"/>
          <w:sz w:val="24"/>
        </w:rPr>
      </w:pPr>
      <w:r w:rsidRPr="005276C9">
        <w:rPr>
          <w:rFonts w:ascii="Garamond" w:hAnsi="Garamond" w:cs="Times New Roman"/>
          <w:sz w:val="24"/>
        </w:rPr>
        <w:t>Sono esenti dall’imposta gli immobili dati in comodato gratuito al comune o ad altro ente territoriale o ad ente non commerciale, esclusivamente per l'esercizio dei rispettivi scopi istituzionali o statutari.</w:t>
      </w:r>
    </w:p>
    <w:p w:rsidR="005276C9" w:rsidRPr="005276C9" w:rsidRDefault="005276C9" w:rsidP="00305E1D">
      <w:pPr>
        <w:pStyle w:val="Corpotesto"/>
        <w:numPr>
          <w:ilvl w:val="2"/>
          <w:numId w:val="4"/>
        </w:numPr>
        <w:tabs>
          <w:tab w:val="num" w:pos="360"/>
        </w:tabs>
        <w:spacing w:before="120" w:after="120"/>
        <w:ind w:left="360"/>
        <w:rPr>
          <w:rFonts w:ascii="Garamond" w:hAnsi="Garamond" w:cs="Times New Roman"/>
          <w:sz w:val="24"/>
        </w:rPr>
      </w:pPr>
      <w:r w:rsidRPr="005276C9">
        <w:rPr>
          <w:rFonts w:ascii="Garamond" w:hAnsi="Garamond" w:cs="Times New Roman"/>
          <w:sz w:val="24"/>
        </w:rPr>
        <w:t>L’esenzione di cui al comma precedente è limitata al periodo dell’anno durante il quale sussistono le condizioni prescritte.</w:t>
      </w:r>
    </w:p>
    <w:p w:rsidR="005276C9" w:rsidRPr="005276C9" w:rsidRDefault="005276C9" w:rsidP="005276C9">
      <w:pPr>
        <w:pStyle w:val="Titolo2"/>
        <w:autoSpaceDE w:val="0"/>
        <w:autoSpaceDN w:val="0"/>
        <w:adjustRightInd w:val="0"/>
        <w:spacing w:before="240" w:after="240"/>
        <w:jc w:val="left"/>
        <w:rPr>
          <w:rFonts w:ascii="Garamond" w:hAnsi="Garamond" w:cs="Times New Roman"/>
          <w:b w:val="0"/>
          <w:bCs w:val="0"/>
          <w:sz w:val="24"/>
        </w:rPr>
      </w:pPr>
      <w:r w:rsidRPr="00594239">
        <w:rPr>
          <w:rFonts w:ascii="Garamond" w:hAnsi="Garamond" w:cs="Times New Roman"/>
          <w:bCs w:val="0"/>
          <w:sz w:val="24"/>
        </w:rPr>
        <w:t>Art. 8 – Gestione del tributo</w:t>
      </w:r>
      <w:r w:rsidRPr="005276C9">
        <w:rPr>
          <w:rFonts w:ascii="Garamond" w:hAnsi="Garamond" w:cs="Times New Roman"/>
          <w:b w:val="0"/>
          <w:bCs w:val="0"/>
          <w:sz w:val="24"/>
        </w:rPr>
        <w:t xml:space="preserve"> </w:t>
      </w:r>
    </w:p>
    <w:p w:rsidR="005276C9" w:rsidRPr="005276C9" w:rsidRDefault="005276C9" w:rsidP="005276C9">
      <w:pPr>
        <w:pStyle w:val="Corpotesto"/>
        <w:numPr>
          <w:ilvl w:val="1"/>
          <w:numId w:val="5"/>
        </w:numPr>
        <w:tabs>
          <w:tab w:val="clear" w:pos="1440"/>
          <w:tab w:val="num" w:pos="360"/>
        </w:tabs>
        <w:spacing w:before="120" w:after="120"/>
        <w:ind w:left="360"/>
        <w:rPr>
          <w:rFonts w:ascii="Garamond" w:hAnsi="Garamond" w:cs="Times New Roman"/>
          <w:sz w:val="24"/>
        </w:rPr>
      </w:pPr>
      <w:r w:rsidRPr="005276C9">
        <w:rPr>
          <w:rFonts w:ascii="Garamond" w:hAnsi="Garamond" w:cs="Times New Roman"/>
          <w:sz w:val="24"/>
        </w:rPr>
        <w:t>Nell’esercizio dei poteri attribuiti a norma dell’art. 1, comma 778 della Legge 27 dicembre 2019, n. 160, il Funzionario responsabile dell’imposta gestisce le funzioni ed organizza le attività dell’Ufficio in modo che queste siano orientate al conseguimento delle seguenti finalità:</w:t>
      </w:r>
    </w:p>
    <w:p w:rsidR="005276C9" w:rsidRPr="005276C9" w:rsidRDefault="005276C9" w:rsidP="005276C9">
      <w:pPr>
        <w:pStyle w:val="Corpotesto"/>
        <w:numPr>
          <w:ilvl w:val="2"/>
          <w:numId w:val="5"/>
        </w:numPr>
        <w:tabs>
          <w:tab w:val="clear" w:pos="2340"/>
        </w:tabs>
        <w:spacing w:before="120" w:after="120"/>
        <w:ind w:left="757"/>
        <w:rPr>
          <w:rFonts w:ascii="Garamond" w:hAnsi="Garamond" w:cs="Times New Roman"/>
          <w:sz w:val="24"/>
        </w:rPr>
      </w:pPr>
      <w:r w:rsidRPr="005276C9">
        <w:rPr>
          <w:rFonts w:ascii="Garamond" w:hAnsi="Garamond" w:cs="Times New Roman"/>
          <w:sz w:val="24"/>
        </w:rPr>
        <w:t>supportare i contribuenti al fine di favorire l'assolvimento spontaneo degli adempimenti tributari ed il corretto versamento delle imposte dovute, facilitando l’accesso da parte dei cittadini, lo sviluppo di azioni di semplificazione delle procedure e di informazione/consulenza ai contribuenti per gli adempimenti;</w:t>
      </w:r>
    </w:p>
    <w:p w:rsidR="005276C9" w:rsidRPr="005276C9" w:rsidRDefault="005276C9" w:rsidP="005276C9">
      <w:pPr>
        <w:pStyle w:val="Corpotesto"/>
        <w:numPr>
          <w:ilvl w:val="2"/>
          <w:numId w:val="5"/>
        </w:numPr>
        <w:tabs>
          <w:tab w:val="clear" w:pos="2340"/>
        </w:tabs>
        <w:spacing w:before="120" w:after="120"/>
        <w:ind w:left="757"/>
        <w:rPr>
          <w:rFonts w:ascii="Garamond" w:hAnsi="Garamond" w:cs="Times New Roman"/>
          <w:sz w:val="24"/>
        </w:rPr>
      </w:pPr>
      <w:r w:rsidRPr="005276C9">
        <w:rPr>
          <w:rFonts w:ascii="Garamond" w:hAnsi="Garamond" w:cs="Times New Roman"/>
          <w:sz w:val="24"/>
        </w:rPr>
        <w:t xml:space="preserve">promuovere la </w:t>
      </w:r>
      <w:proofErr w:type="spellStart"/>
      <w:r w:rsidRPr="005276C9">
        <w:rPr>
          <w:rFonts w:ascii="Garamond" w:hAnsi="Garamond" w:cs="Times New Roman"/>
          <w:sz w:val="24"/>
        </w:rPr>
        <w:t>compliance</w:t>
      </w:r>
      <w:proofErr w:type="spellEnd"/>
      <w:r w:rsidRPr="005276C9">
        <w:rPr>
          <w:rFonts w:ascii="Garamond" w:hAnsi="Garamond" w:cs="Times New Roman"/>
          <w:sz w:val="24"/>
        </w:rPr>
        <w:t xml:space="preserve"> fiscale attraverso il miglioramento del rapporto Ufficio-contribuente, favorendo un rapporto di cooperazione e collaborazione reciproca, incentivando l’assolvimento spontaneo degli obblighi tributari e l’emersione spontanea delle basi imponibili, anche attraverso l’impiego degli strumenti deflativi del contenzioso tributario quali l’interpello, il ravvedimento operoso, l’autotute</w:t>
      </w:r>
      <w:r w:rsidR="00594239">
        <w:rPr>
          <w:rFonts w:ascii="Garamond" w:hAnsi="Garamond" w:cs="Times New Roman"/>
          <w:sz w:val="24"/>
        </w:rPr>
        <w:t>la, l’accertamento con adesione</w:t>
      </w:r>
      <w:r w:rsidRPr="005276C9">
        <w:rPr>
          <w:rFonts w:ascii="Garamond" w:hAnsi="Garamond" w:cs="Times New Roman"/>
          <w:sz w:val="24"/>
        </w:rPr>
        <w:t>, la mediazione e la conciliazione tributaria;</w:t>
      </w:r>
    </w:p>
    <w:p w:rsidR="005276C9" w:rsidRPr="005276C9" w:rsidRDefault="005276C9" w:rsidP="00305E1D">
      <w:pPr>
        <w:pStyle w:val="Corpotesto"/>
        <w:numPr>
          <w:ilvl w:val="2"/>
          <w:numId w:val="5"/>
        </w:numPr>
        <w:tabs>
          <w:tab w:val="clear" w:pos="2340"/>
          <w:tab w:val="left" w:pos="851"/>
        </w:tabs>
        <w:spacing w:before="120" w:after="120"/>
        <w:ind w:left="757"/>
        <w:rPr>
          <w:rFonts w:ascii="Garamond" w:hAnsi="Garamond" w:cs="Times New Roman"/>
          <w:sz w:val="24"/>
        </w:rPr>
      </w:pPr>
      <w:r w:rsidRPr="00305E1D">
        <w:rPr>
          <w:rFonts w:ascii="Garamond" w:hAnsi="Garamond" w:cs="Times New Roman"/>
          <w:sz w:val="24"/>
        </w:rPr>
        <w:t>perseguire l’equità nell’esercizio della funzione impositiva attraverso un’assidua attività di contrasto all’evasione ed all’elusione fiscale, consolidando l'azione di recupero sugli omessi versamenti e sviluppando strategie di individuazione delle basi imponibili occultate o dichiarate in modo infedele.</w:t>
      </w:r>
    </w:p>
    <w:sectPr w:rsidR="005276C9" w:rsidRPr="005276C9" w:rsidSect="00FB7024">
      <w:footerReference w:type="default" r:id="rId9"/>
      <w:pgSz w:w="11907" w:h="16840"/>
      <w:pgMar w:top="568" w:right="1134" w:bottom="1134" w:left="1134" w:header="720" w:footer="8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A06" w:rsidRDefault="00D55A06">
      <w:r>
        <w:separator/>
      </w:r>
    </w:p>
  </w:endnote>
  <w:endnote w:type="continuationSeparator" w:id="0">
    <w:p w:rsidR="00D55A06" w:rsidRDefault="00D5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BookAntiqua-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5020503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6C9" w:rsidRDefault="005276C9">
    <w:pPr>
      <w:pStyle w:val="Pidipagina"/>
      <w:jc w:val="center"/>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A06" w:rsidRDefault="00D55A06">
      <w:r>
        <w:separator/>
      </w:r>
    </w:p>
  </w:footnote>
  <w:footnote w:type="continuationSeparator" w:id="0">
    <w:p w:rsidR="00D55A06" w:rsidRDefault="00D55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648"/>
    <w:multiLevelType w:val="hybridMultilevel"/>
    <w:tmpl w:val="2DD0F72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ACF5E6B"/>
    <w:multiLevelType w:val="hybridMultilevel"/>
    <w:tmpl w:val="9E083D92"/>
    <w:lvl w:ilvl="0" w:tplc="0410000F">
      <w:start w:val="1"/>
      <w:numFmt w:val="decimal"/>
      <w:lvlText w:val="%1."/>
      <w:lvlJc w:val="left"/>
      <w:pPr>
        <w:tabs>
          <w:tab w:val="num" w:pos="720"/>
        </w:tabs>
        <w:ind w:left="720" w:hanging="360"/>
      </w:pPr>
    </w:lvl>
    <w:lvl w:ilvl="1" w:tplc="45AC5916">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25206C21"/>
    <w:multiLevelType w:val="hybridMultilevel"/>
    <w:tmpl w:val="FF2ABBAA"/>
    <w:lvl w:ilvl="0" w:tplc="EAA098A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F366BEF"/>
    <w:multiLevelType w:val="hybridMultilevel"/>
    <w:tmpl w:val="9AD68198"/>
    <w:lvl w:ilvl="0" w:tplc="73F6316A">
      <w:start w:val="1"/>
      <w:numFmt w:val="lowerLetter"/>
      <w:lvlText w:val="%1)"/>
      <w:lvlJc w:val="left"/>
      <w:pPr>
        <w:tabs>
          <w:tab w:val="num" w:pos="1440"/>
        </w:tabs>
        <w:ind w:left="1440" w:hanging="360"/>
      </w:pPr>
      <w:rPr>
        <w:rFonts w:hint="default"/>
      </w:rPr>
    </w:lvl>
    <w:lvl w:ilvl="1" w:tplc="47EEDA0E">
      <w:start w:val="1"/>
      <w:numFmt w:val="decimal"/>
      <w:lvlText w:val="%2."/>
      <w:lvlJc w:val="left"/>
      <w:pPr>
        <w:tabs>
          <w:tab w:val="num" w:pos="1440"/>
        </w:tabs>
        <w:ind w:left="1440" w:hanging="360"/>
      </w:pPr>
      <w:rPr>
        <w:rFonts w:hint="default"/>
      </w:rPr>
    </w:lvl>
    <w:lvl w:ilvl="2" w:tplc="D5BC2704">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3102DB3"/>
    <w:multiLevelType w:val="hybridMultilevel"/>
    <w:tmpl w:val="B64AAF5A"/>
    <w:lvl w:ilvl="0" w:tplc="37DAF97A">
      <w:start w:val="1"/>
      <w:numFmt w:val="decimal"/>
      <w:lvlText w:val="%1."/>
      <w:lvlJc w:val="left"/>
      <w:pPr>
        <w:tabs>
          <w:tab w:val="num" w:pos="2340"/>
        </w:tabs>
        <w:ind w:left="2340" w:hanging="360"/>
      </w:pPr>
      <w:rPr>
        <w:rFonts w:hint="default"/>
      </w:rPr>
    </w:lvl>
    <w:lvl w:ilvl="1" w:tplc="BBF433EC">
      <w:start w:val="1"/>
      <w:numFmt w:val="lowerLetter"/>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413F5FAB"/>
    <w:multiLevelType w:val="hybridMultilevel"/>
    <w:tmpl w:val="B5C28838"/>
    <w:lvl w:ilvl="0" w:tplc="37DAF97A">
      <w:start w:val="1"/>
      <w:numFmt w:val="decimal"/>
      <w:lvlText w:val="%1."/>
      <w:lvlJc w:val="left"/>
      <w:pPr>
        <w:tabs>
          <w:tab w:val="num" w:pos="2340"/>
        </w:tabs>
        <w:ind w:left="23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562B6EF3"/>
    <w:multiLevelType w:val="hybridMultilevel"/>
    <w:tmpl w:val="AFFAA116"/>
    <w:lvl w:ilvl="0" w:tplc="D5BC2704">
      <w:numFmt w:val="bullet"/>
      <w:lvlText w:val="–"/>
      <w:lvlJc w:val="left"/>
      <w:pPr>
        <w:tabs>
          <w:tab w:val="num" w:pos="720"/>
        </w:tabs>
        <w:ind w:left="720" w:hanging="360"/>
      </w:pPr>
      <w:rPr>
        <w:rFonts w:ascii="Times New Roman" w:eastAsia="Times New Roman" w:hAnsi="Times New Roman" w:cs="Times New Roman" w:hint="default"/>
      </w:rPr>
    </w:lvl>
    <w:lvl w:ilvl="1" w:tplc="45AC5916">
      <w:start w:val="1"/>
      <w:numFmt w:val="bullet"/>
      <w:lvlText w:val=""/>
      <w:lvlJc w:val="left"/>
      <w:pPr>
        <w:tabs>
          <w:tab w:val="num" w:pos="1440"/>
        </w:tabs>
        <w:ind w:left="1440" w:hanging="360"/>
      </w:pPr>
      <w:rPr>
        <w:rFonts w:ascii="Symbol" w:hAnsi="Symbol" w:hint="default"/>
      </w:rPr>
    </w:lvl>
    <w:lvl w:ilvl="2" w:tplc="39D073B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583D58DC"/>
    <w:multiLevelType w:val="hybridMultilevel"/>
    <w:tmpl w:val="811C86BE"/>
    <w:lvl w:ilvl="0" w:tplc="55725A78">
      <w:start w:val="1"/>
      <w:numFmt w:val="lowerLetter"/>
      <w:lvlText w:val="%1)"/>
      <w:lvlJc w:val="left"/>
      <w:pPr>
        <w:ind w:left="720" w:hanging="360"/>
      </w:pPr>
      <w:rPr>
        <w:rFonts w:cs="Times New Roman"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66E455C"/>
    <w:multiLevelType w:val="singleLevel"/>
    <w:tmpl w:val="0410000F"/>
    <w:lvl w:ilvl="0">
      <w:start w:val="1"/>
      <w:numFmt w:val="decimal"/>
      <w:lvlText w:val="%1."/>
      <w:lvlJc w:val="left"/>
      <w:pPr>
        <w:tabs>
          <w:tab w:val="num" w:pos="360"/>
        </w:tabs>
        <w:ind w:left="360" w:hanging="360"/>
      </w:pPr>
    </w:lvl>
  </w:abstractNum>
  <w:abstractNum w:abstractNumId="9">
    <w:nsid w:val="6D285F17"/>
    <w:multiLevelType w:val="hybridMultilevel"/>
    <w:tmpl w:val="7826B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0"/>
  </w:num>
  <w:num w:numId="4">
    <w:abstractNumId w:val="1"/>
  </w:num>
  <w:num w:numId="5">
    <w:abstractNumId w:val="3"/>
  </w:num>
  <w:num w:numId="6">
    <w:abstractNumId w:val="6"/>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1"/>
    <w:rsid w:val="002C0F26"/>
    <w:rsid w:val="002F44D9"/>
    <w:rsid w:val="00305E1D"/>
    <w:rsid w:val="003C73CF"/>
    <w:rsid w:val="005276C9"/>
    <w:rsid w:val="00594239"/>
    <w:rsid w:val="005C5D18"/>
    <w:rsid w:val="00631760"/>
    <w:rsid w:val="0087619C"/>
    <w:rsid w:val="00994B34"/>
    <w:rsid w:val="00A4577E"/>
    <w:rsid w:val="00B17681"/>
    <w:rsid w:val="00D55A06"/>
    <w:rsid w:val="00D75517"/>
    <w:rsid w:val="00E175E5"/>
    <w:rsid w:val="00E538E2"/>
    <w:rsid w:val="00F83BF1"/>
    <w:rsid w:val="00FB7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1">
    <w:name w:val="heading 1"/>
    <w:basedOn w:val="Normale"/>
    <w:next w:val="Normale"/>
    <w:link w:val="Titolo1Carattere"/>
    <w:qFormat/>
    <w:rsid w:val="005276C9"/>
    <w:pPr>
      <w:keepNext/>
      <w:autoSpaceDE w:val="0"/>
      <w:autoSpaceDN w:val="0"/>
      <w:adjustRightInd w:val="0"/>
      <w:outlineLvl w:val="0"/>
    </w:pPr>
    <w:rPr>
      <w:rFonts w:ascii="BookAntiqua-Bold" w:hAnsi="BookAntiqua-Bold"/>
      <w:b/>
      <w:bCs/>
      <w:szCs w:val="28"/>
    </w:rPr>
  </w:style>
  <w:style w:type="paragraph" w:styleId="Titolo2">
    <w:name w:val="heading 2"/>
    <w:basedOn w:val="Normale"/>
    <w:next w:val="Normale"/>
    <w:link w:val="Titolo2Carattere"/>
    <w:qFormat/>
    <w:rsid w:val="005276C9"/>
    <w:pPr>
      <w:keepNext/>
      <w:jc w:val="both"/>
      <w:outlineLvl w:val="1"/>
    </w:pPr>
    <w:rPr>
      <w:rFonts w:ascii="Arial" w:hAnsi="Arial" w:cs="Arial"/>
      <w:b/>
      <w:bCs/>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character" w:styleId="Collegamentoipertestuale">
    <w:name w:val="Hyperlink"/>
    <w:basedOn w:val="Carpredefinitoparagrafo"/>
    <w:rPr>
      <w:color w:val="0000FF"/>
      <w:u w:val="single"/>
    </w:rPr>
  </w:style>
  <w:style w:type="paragraph" w:styleId="Testofumetto">
    <w:name w:val="Balloon Text"/>
    <w:basedOn w:val="Normale"/>
    <w:link w:val="TestofumettoCarattere"/>
    <w:uiPriority w:val="99"/>
    <w:semiHidden/>
    <w:unhideWhenUsed/>
    <w:rsid w:val="005276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76C9"/>
    <w:rPr>
      <w:rFonts w:ascii="Tahoma" w:hAnsi="Tahoma" w:cs="Tahoma"/>
      <w:sz w:val="16"/>
      <w:szCs w:val="16"/>
    </w:rPr>
  </w:style>
  <w:style w:type="character" w:customStyle="1" w:styleId="Titolo1Carattere">
    <w:name w:val="Titolo 1 Carattere"/>
    <w:basedOn w:val="Carpredefinitoparagrafo"/>
    <w:link w:val="Titolo1"/>
    <w:rsid w:val="005276C9"/>
    <w:rPr>
      <w:rFonts w:ascii="BookAntiqua-Bold" w:hAnsi="BookAntiqua-Bold"/>
      <w:b/>
      <w:bCs/>
      <w:sz w:val="24"/>
      <w:szCs w:val="28"/>
    </w:rPr>
  </w:style>
  <w:style w:type="character" w:customStyle="1" w:styleId="Titolo2Carattere">
    <w:name w:val="Titolo 2 Carattere"/>
    <w:basedOn w:val="Carpredefinitoparagrafo"/>
    <w:link w:val="Titolo2"/>
    <w:rsid w:val="005276C9"/>
    <w:rPr>
      <w:rFonts w:ascii="Arial" w:hAnsi="Arial" w:cs="Arial"/>
      <w:b/>
      <w:bCs/>
      <w:sz w:val="22"/>
      <w:szCs w:val="24"/>
    </w:rPr>
  </w:style>
  <w:style w:type="paragraph" w:styleId="Rientrocorpodeltesto">
    <w:name w:val="Body Text Indent"/>
    <w:basedOn w:val="Normale"/>
    <w:link w:val="RientrocorpodeltestoCarattere"/>
    <w:semiHidden/>
    <w:rsid w:val="005276C9"/>
    <w:pPr>
      <w:ind w:left="360"/>
      <w:jc w:val="both"/>
    </w:pPr>
    <w:rPr>
      <w:rFonts w:ascii="Arial" w:hAnsi="Arial" w:cs="Arial"/>
      <w:sz w:val="22"/>
      <w:szCs w:val="24"/>
    </w:rPr>
  </w:style>
  <w:style w:type="character" w:customStyle="1" w:styleId="RientrocorpodeltestoCarattere">
    <w:name w:val="Rientro corpo del testo Carattere"/>
    <w:basedOn w:val="Carpredefinitoparagrafo"/>
    <w:link w:val="Rientrocorpodeltesto"/>
    <w:semiHidden/>
    <w:rsid w:val="005276C9"/>
    <w:rPr>
      <w:rFonts w:ascii="Arial" w:hAnsi="Arial" w:cs="Arial"/>
      <w:sz w:val="22"/>
      <w:szCs w:val="24"/>
    </w:rPr>
  </w:style>
  <w:style w:type="paragraph" w:styleId="Corpotesto">
    <w:name w:val="Body Text"/>
    <w:basedOn w:val="Normale"/>
    <w:link w:val="CorpotestoCarattere"/>
    <w:semiHidden/>
    <w:rsid w:val="005276C9"/>
    <w:pPr>
      <w:jc w:val="both"/>
    </w:pPr>
    <w:rPr>
      <w:rFonts w:ascii="Arial" w:hAnsi="Arial" w:cs="Arial"/>
      <w:sz w:val="22"/>
      <w:szCs w:val="24"/>
    </w:rPr>
  </w:style>
  <w:style w:type="character" w:customStyle="1" w:styleId="CorpotestoCarattere">
    <w:name w:val="Corpo testo Carattere"/>
    <w:basedOn w:val="Carpredefinitoparagrafo"/>
    <w:link w:val="Corpotesto"/>
    <w:semiHidden/>
    <w:rsid w:val="005276C9"/>
    <w:rPr>
      <w:rFonts w:ascii="Arial" w:hAnsi="Arial" w:cs="Arial"/>
      <w:sz w:val="22"/>
      <w:szCs w:val="24"/>
    </w:rPr>
  </w:style>
  <w:style w:type="paragraph" w:styleId="Paragrafoelenco">
    <w:name w:val="List Paragraph"/>
    <w:basedOn w:val="Normale"/>
    <w:uiPriority w:val="34"/>
    <w:qFormat/>
    <w:rsid w:val="00305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1">
    <w:name w:val="heading 1"/>
    <w:basedOn w:val="Normale"/>
    <w:next w:val="Normale"/>
    <w:link w:val="Titolo1Carattere"/>
    <w:qFormat/>
    <w:rsid w:val="005276C9"/>
    <w:pPr>
      <w:keepNext/>
      <w:autoSpaceDE w:val="0"/>
      <w:autoSpaceDN w:val="0"/>
      <w:adjustRightInd w:val="0"/>
      <w:outlineLvl w:val="0"/>
    </w:pPr>
    <w:rPr>
      <w:rFonts w:ascii="BookAntiqua-Bold" w:hAnsi="BookAntiqua-Bold"/>
      <w:b/>
      <w:bCs/>
      <w:szCs w:val="28"/>
    </w:rPr>
  </w:style>
  <w:style w:type="paragraph" w:styleId="Titolo2">
    <w:name w:val="heading 2"/>
    <w:basedOn w:val="Normale"/>
    <w:next w:val="Normale"/>
    <w:link w:val="Titolo2Carattere"/>
    <w:qFormat/>
    <w:rsid w:val="005276C9"/>
    <w:pPr>
      <w:keepNext/>
      <w:jc w:val="both"/>
      <w:outlineLvl w:val="1"/>
    </w:pPr>
    <w:rPr>
      <w:rFonts w:ascii="Arial" w:hAnsi="Arial" w:cs="Arial"/>
      <w:b/>
      <w:bCs/>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character" w:styleId="Collegamentoipertestuale">
    <w:name w:val="Hyperlink"/>
    <w:basedOn w:val="Carpredefinitoparagrafo"/>
    <w:rPr>
      <w:color w:val="0000FF"/>
      <w:u w:val="single"/>
    </w:rPr>
  </w:style>
  <w:style w:type="paragraph" w:styleId="Testofumetto">
    <w:name w:val="Balloon Text"/>
    <w:basedOn w:val="Normale"/>
    <w:link w:val="TestofumettoCarattere"/>
    <w:uiPriority w:val="99"/>
    <w:semiHidden/>
    <w:unhideWhenUsed/>
    <w:rsid w:val="005276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76C9"/>
    <w:rPr>
      <w:rFonts w:ascii="Tahoma" w:hAnsi="Tahoma" w:cs="Tahoma"/>
      <w:sz w:val="16"/>
      <w:szCs w:val="16"/>
    </w:rPr>
  </w:style>
  <w:style w:type="character" w:customStyle="1" w:styleId="Titolo1Carattere">
    <w:name w:val="Titolo 1 Carattere"/>
    <w:basedOn w:val="Carpredefinitoparagrafo"/>
    <w:link w:val="Titolo1"/>
    <w:rsid w:val="005276C9"/>
    <w:rPr>
      <w:rFonts w:ascii="BookAntiqua-Bold" w:hAnsi="BookAntiqua-Bold"/>
      <w:b/>
      <w:bCs/>
      <w:sz w:val="24"/>
      <w:szCs w:val="28"/>
    </w:rPr>
  </w:style>
  <w:style w:type="character" w:customStyle="1" w:styleId="Titolo2Carattere">
    <w:name w:val="Titolo 2 Carattere"/>
    <w:basedOn w:val="Carpredefinitoparagrafo"/>
    <w:link w:val="Titolo2"/>
    <w:rsid w:val="005276C9"/>
    <w:rPr>
      <w:rFonts w:ascii="Arial" w:hAnsi="Arial" w:cs="Arial"/>
      <w:b/>
      <w:bCs/>
      <w:sz w:val="22"/>
      <w:szCs w:val="24"/>
    </w:rPr>
  </w:style>
  <w:style w:type="paragraph" w:styleId="Rientrocorpodeltesto">
    <w:name w:val="Body Text Indent"/>
    <w:basedOn w:val="Normale"/>
    <w:link w:val="RientrocorpodeltestoCarattere"/>
    <w:semiHidden/>
    <w:rsid w:val="005276C9"/>
    <w:pPr>
      <w:ind w:left="360"/>
      <w:jc w:val="both"/>
    </w:pPr>
    <w:rPr>
      <w:rFonts w:ascii="Arial" w:hAnsi="Arial" w:cs="Arial"/>
      <w:sz w:val="22"/>
      <w:szCs w:val="24"/>
    </w:rPr>
  </w:style>
  <w:style w:type="character" w:customStyle="1" w:styleId="RientrocorpodeltestoCarattere">
    <w:name w:val="Rientro corpo del testo Carattere"/>
    <w:basedOn w:val="Carpredefinitoparagrafo"/>
    <w:link w:val="Rientrocorpodeltesto"/>
    <w:semiHidden/>
    <w:rsid w:val="005276C9"/>
    <w:rPr>
      <w:rFonts w:ascii="Arial" w:hAnsi="Arial" w:cs="Arial"/>
      <w:sz w:val="22"/>
      <w:szCs w:val="24"/>
    </w:rPr>
  </w:style>
  <w:style w:type="paragraph" w:styleId="Corpotesto">
    <w:name w:val="Body Text"/>
    <w:basedOn w:val="Normale"/>
    <w:link w:val="CorpotestoCarattere"/>
    <w:semiHidden/>
    <w:rsid w:val="005276C9"/>
    <w:pPr>
      <w:jc w:val="both"/>
    </w:pPr>
    <w:rPr>
      <w:rFonts w:ascii="Arial" w:hAnsi="Arial" w:cs="Arial"/>
      <w:sz w:val="22"/>
      <w:szCs w:val="24"/>
    </w:rPr>
  </w:style>
  <w:style w:type="character" w:customStyle="1" w:styleId="CorpotestoCarattere">
    <w:name w:val="Corpo testo Carattere"/>
    <w:basedOn w:val="Carpredefinitoparagrafo"/>
    <w:link w:val="Corpotesto"/>
    <w:semiHidden/>
    <w:rsid w:val="005276C9"/>
    <w:rPr>
      <w:rFonts w:ascii="Arial" w:hAnsi="Arial" w:cs="Arial"/>
      <w:sz w:val="22"/>
      <w:szCs w:val="24"/>
    </w:rPr>
  </w:style>
  <w:style w:type="paragraph" w:styleId="Paragrafoelenco">
    <w:name w:val="List Paragraph"/>
    <w:basedOn w:val="Normale"/>
    <w:uiPriority w:val="34"/>
    <w:qFormat/>
    <w:rsid w:val="00305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une%20Caldarola\Desktop\1B%20Carta%20intestata%20COMUNE%20GARAMOND%20%20-%20Copia%20(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 Carta intestata COMUNE GARAMOND  - Copia (2).dot</Template>
  <TotalTime>0</TotalTime>
  <Pages>4</Pages>
  <Words>1352</Words>
  <Characters>7711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Caldarola</Company>
  <LinksUpToDate>false</LinksUpToDate>
  <CharactersWithSpaces>9045</CharactersWithSpaces>
  <SharedDoc>false</SharedDoc>
  <HLinks>
    <vt:vector size="18" baseType="variant">
      <vt:variant>
        <vt:i4>7929942</vt:i4>
      </vt:variant>
      <vt:variant>
        <vt:i4>6</vt:i4>
      </vt:variant>
      <vt:variant>
        <vt:i4>0</vt:i4>
      </vt:variant>
      <vt:variant>
        <vt:i4>5</vt:i4>
      </vt:variant>
      <vt:variant>
        <vt:lpwstr>mailto:comune.caldarola.mc@legalmail.it</vt:lpwstr>
      </vt:variant>
      <vt:variant>
        <vt:lpwstr/>
      </vt:variant>
      <vt:variant>
        <vt:i4>7602179</vt:i4>
      </vt:variant>
      <vt:variant>
        <vt:i4>3</vt:i4>
      </vt:variant>
      <vt:variant>
        <vt:i4>0</vt:i4>
      </vt:variant>
      <vt:variant>
        <vt:i4>5</vt:i4>
      </vt:variant>
      <vt:variant>
        <vt:lpwstr>mailto:comune@caldarola.sinp.net</vt:lpwstr>
      </vt:variant>
      <vt:variant>
        <vt:lpwstr/>
      </vt:variant>
      <vt:variant>
        <vt:i4>7667832</vt:i4>
      </vt:variant>
      <vt:variant>
        <vt:i4>0</vt:i4>
      </vt:variant>
      <vt:variant>
        <vt:i4>0</vt:i4>
      </vt:variant>
      <vt:variant>
        <vt:i4>5</vt:i4>
      </vt:variant>
      <vt:variant>
        <vt:lpwstr>http://www.comune.caldarola.mc.it/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bucossi.elisabetta</cp:lastModifiedBy>
  <cp:revision>2</cp:revision>
  <cp:lastPrinted>2000-03-14T10:17:00Z</cp:lastPrinted>
  <dcterms:created xsi:type="dcterms:W3CDTF">2020-03-20T10:45:00Z</dcterms:created>
  <dcterms:modified xsi:type="dcterms:W3CDTF">2020-03-20T10:45:00Z</dcterms:modified>
</cp:coreProperties>
</file>