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77" w:rsidRDefault="00814A77">
      <w:pPr>
        <w:spacing w:before="1044" w:line="299" w:lineRule="exact"/>
        <w:rPr>
          <w:rFonts w:ascii="Times New Roman" w:hAnsi="Times New Roman"/>
          <w:b/>
          <w:color w:val="000000"/>
          <w:spacing w:val="1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1"/>
          <w:sz w:val="24"/>
          <w:lang w:val="it-IT"/>
        </w:rPr>
        <w:t>PROTOCOLLO DI INTESA PER LA REALIZZAZIONE DI UN SISTEMA INTEGRATO DI VIDEOSORVEGLIANZA (MEDIANTE L'UTILIZZO DI TELECAMERE OCR)</w:t>
      </w:r>
    </w:p>
    <w:p w:rsidR="00814A77" w:rsidRDefault="00814A77">
      <w:pPr>
        <w:tabs>
          <w:tab w:val="right" w:leader="dot" w:pos="5853"/>
        </w:tabs>
        <w:spacing w:before="180" w:line="237" w:lineRule="exact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Il Sindaco del Comune di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ab/>
      </w:r>
    </w:p>
    <w:p w:rsidR="00814A77" w:rsidRDefault="00814A77">
      <w:pPr>
        <w:tabs>
          <w:tab w:val="right" w:leader="dot" w:pos="5353"/>
        </w:tabs>
        <w:spacing w:before="216" w:line="234" w:lineRule="exact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il Sindaco del Comune di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ab/>
      </w:r>
    </w:p>
    <w:p w:rsidR="00814A77" w:rsidRDefault="00814A77">
      <w:pPr>
        <w:spacing w:before="180" w:line="284" w:lineRule="exact"/>
        <w:rPr>
          <w:rFonts w:ascii="Times New Roman" w:hAnsi="Times New Roman"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color w:val="000000"/>
          <w:spacing w:val="3"/>
          <w:sz w:val="23"/>
          <w:lang w:val="it-IT"/>
        </w:rPr>
        <w:t>ciascuno per quanto di competenza in relazione agli impegni di seguito assunti,</w:t>
      </w:r>
    </w:p>
    <w:p w:rsidR="00814A77" w:rsidRDefault="00814A77">
      <w:pPr>
        <w:spacing w:before="180" w:line="235" w:lineRule="exact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PREMESSO CHE:</w:t>
      </w:r>
    </w:p>
    <w:p w:rsidR="00814A77" w:rsidRDefault="00814A77">
      <w:pPr>
        <w:numPr>
          <w:ilvl w:val="0"/>
          <w:numId w:val="1"/>
        </w:numPr>
        <w:tabs>
          <w:tab w:val="clear" w:pos="432"/>
          <w:tab w:val="decimal" w:pos="792"/>
        </w:tabs>
        <w:spacing w:before="216" w:line="308" w:lineRule="exact"/>
        <w:ind w:left="792" w:hanging="432"/>
        <w:jc w:val="both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la sicurezza del territorio rappresenta un bene primario da tutelare e promuovere attraverso </w:t>
      </w:r>
      <w:r>
        <w:rPr>
          <w:rFonts w:ascii="Times New Roman" w:hAnsi="Times New Roman"/>
          <w:color w:val="000000"/>
          <w:sz w:val="23"/>
          <w:lang w:val="it-IT"/>
        </w:rPr>
        <w:t xml:space="preserve">la collaborazione e la sinergia delle amministrazioni statali e locali preposte e degli organi di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polizia statale e locale, nel rispettivo ambito di competenza;</w:t>
      </w:r>
    </w:p>
    <w:p w:rsidR="00814A77" w:rsidRDefault="00814A77">
      <w:pPr>
        <w:spacing w:line="308" w:lineRule="exact"/>
        <w:ind w:left="720"/>
        <w:jc w:val="both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la garanzia di adeguati livelli di sicurezza costituisce elemento qualificante ai fini dello </w:t>
      </w:r>
      <w:r>
        <w:rPr>
          <w:rFonts w:ascii="Times New Roman" w:hAnsi="Times New Roman"/>
          <w:color w:val="000000"/>
          <w:spacing w:val="13"/>
          <w:sz w:val="23"/>
          <w:lang w:val="it-IT"/>
        </w:rPr>
        <w:t xml:space="preserve">sviluppo, anche sociale ed economico, del contesto di riferimento, nonché fattore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determinante per la vivibilità del territorio e il miglioramento della qualità della vita;</w:t>
      </w:r>
    </w:p>
    <w:p w:rsidR="00814A77" w:rsidRDefault="00814A77">
      <w:pPr>
        <w:numPr>
          <w:ilvl w:val="0"/>
          <w:numId w:val="1"/>
        </w:numPr>
        <w:tabs>
          <w:tab w:val="clear" w:pos="432"/>
          <w:tab w:val="decimal" w:pos="792"/>
        </w:tabs>
        <w:spacing w:line="309" w:lineRule="exact"/>
        <w:ind w:left="792" w:hanging="432"/>
        <w:jc w:val="both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gli obiettivi sopraindicati rendono necessaria l'azione congiunta di più livelli di governo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nella prospettiva di una sicurezza integrata, in grado di assicurare i più adeguati interventi a </w:t>
      </w:r>
      <w:r>
        <w:rPr>
          <w:rFonts w:ascii="Times New Roman" w:hAnsi="Times New Roman"/>
          <w:color w:val="000000"/>
          <w:sz w:val="23"/>
          <w:lang w:val="it-IT"/>
        </w:rPr>
        <w:t xml:space="preserve">tutela dell'ordine e della sicurezza pubblica e il miglioramento della vivibilità del territorio,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coniugando a tale scopo azioni di prevenzione, controllo e repressione;</w:t>
      </w:r>
    </w:p>
    <w:p w:rsidR="00814A77" w:rsidRDefault="00814A77">
      <w:pPr>
        <w:numPr>
          <w:ilvl w:val="0"/>
          <w:numId w:val="1"/>
        </w:numPr>
        <w:tabs>
          <w:tab w:val="clear" w:pos="432"/>
          <w:tab w:val="decimal" w:pos="792"/>
        </w:tabs>
        <w:spacing w:line="307" w:lineRule="exact"/>
        <w:ind w:left="792" w:hanging="432"/>
        <w:jc w:val="both"/>
        <w:rPr>
          <w:rFonts w:ascii="Times New Roman" w:hAnsi="Times New Roman"/>
          <w:color w:val="000000"/>
          <w:spacing w:val="1"/>
          <w:sz w:val="23"/>
          <w:lang w:val="it-IT"/>
        </w:rPr>
      </w:pPr>
      <w:r>
        <w:rPr>
          <w:rFonts w:ascii="Times New Roman" w:hAnsi="Times New Roman"/>
          <w:color w:val="000000"/>
          <w:spacing w:val="1"/>
          <w:sz w:val="23"/>
          <w:lang w:val="it-IT"/>
        </w:rPr>
        <w:t xml:space="preserve">in tale direzione, gli interventi legislativi degli ultimi anni hanno potenziato ed ampliato le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funzioni degli enti locali in materia di sicurezza urbana, anche attraverso la predisposizione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e l'utilizzo di sistemi di videosorveglianza, quali idonei strumenti di prevenzione;</w:t>
      </w:r>
    </w:p>
    <w:p w:rsidR="00814A77" w:rsidRDefault="00814A77">
      <w:pPr>
        <w:numPr>
          <w:ilvl w:val="0"/>
          <w:numId w:val="1"/>
        </w:numPr>
        <w:tabs>
          <w:tab w:val="clear" w:pos="432"/>
          <w:tab w:val="decimal" w:pos="792"/>
        </w:tabs>
        <w:spacing w:line="311" w:lineRule="exact"/>
        <w:ind w:left="792" w:hanging="432"/>
        <w:jc w:val="both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l'utilizzo di telecamere "OCR" consente la captazione e la trasformazione dell'immagine </w:t>
      </w:r>
      <w:r>
        <w:rPr>
          <w:rFonts w:ascii="Times New Roman" w:hAnsi="Times New Roman"/>
          <w:color w:val="000000"/>
          <w:sz w:val="23"/>
          <w:lang w:val="it-IT"/>
        </w:rPr>
        <w:t xml:space="preserve">relativa alle targhe dei veicoli in file digitali utilizzabili per la trasmissione a distanza e per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l'implementazione di ricerche su banche dati; conseguentemente, per tali caratteristiche </w:t>
      </w:r>
      <w:r>
        <w:rPr>
          <w:rFonts w:ascii="Times New Roman" w:hAnsi="Times New Roman"/>
          <w:color w:val="000000"/>
          <w:sz w:val="23"/>
          <w:lang w:val="it-IT"/>
        </w:rPr>
        <w:t xml:space="preserve">funzionali, attraverso tale strumento è possibile utilizzare e scambiare dati in tempo reale in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relazione alla mobilità dei veicoli sottoposti a indagine e controllo;</w:t>
      </w:r>
    </w:p>
    <w:p w:rsidR="00814A77" w:rsidRDefault="00814A77">
      <w:pPr>
        <w:numPr>
          <w:ilvl w:val="0"/>
          <w:numId w:val="1"/>
        </w:numPr>
        <w:tabs>
          <w:tab w:val="clear" w:pos="432"/>
          <w:tab w:val="decimal" w:pos="792"/>
        </w:tabs>
        <w:spacing w:line="281" w:lineRule="exact"/>
        <w:ind w:left="792" w:hanging="432"/>
        <w:jc w:val="both"/>
        <w:rPr>
          <w:rFonts w:ascii="Times New Roman" w:hAnsi="Times New Roman"/>
          <w:color w:val="000000"/>
          <w:spacing w:val="13"/>
          <w:sz w:val="23"/>
          <w:lang w:val="it-IT"/>
        </w:rPr>
      </w:pPr>
      <w:r>
        <w:rPr>
          <w:rFonts w:ascii="Times New Roman" w:hAnsi="Times New Roman"/>
          <w:color w:val="000000"/>
          <w:spacing w:val="13"/>
          <w:sz w:val="23"/>
          <w:lang w:val="it-IT"/>
        </w:rPr>
        <w:t>risultano effettuati numerosi investimenti da parte degli enti del territorio al fine di</w:t>
      </w:r>
    </w:p>
    <w:p w:rsidR="00814A77" w:rsidRDefault="00814A77">
      <w:pPr>
        <w:spacing w:line="280" w:lineRule="exact"/>
        <w:jc w:val="right"/>
        <w:rPr>
          <w:rFonts w:ascii="Times New Roman" w:hAnsi="Times New Roman"/>
          <w:color w:val="000000"/>
          <w:spacing w:val="11"/>
          <w:sz w:val="23"/>
          <w:lang w:val="it-IT"/>
        </w:rPr>
      </w:pPr>
      <w:r>
        <w:rPr>
          <w:rFonts w:ascii="Times New Roman" w:hAnsi="Times New Roman"/>
          <w:color w:val="000000"/>
          <w:spacing w:val="11"/>
          <w:sz w:val="23"/>
          <w:lang w:val="it-IT"/>
        </w:rPr>
        <w:t>realizzare e potenziare sistemi di videosorveglianza che utilizzano videocamere OCR;</w:t>
      </w:r>
    </w:p>
    <w:p w:rsidR="00814A77" w:rsidRDefault="00814A77">
      <w:pPr>
        <w:spacing w:line="292" w:lineRule="exact"/>
        <w:jc w:val="right"/>
        <w:rPr>
          <w:rFonts w:ascii="Times New Roman" w:hAnsi="Times New Roman"/>
          <w:color w:val="000000"/>
          <w:spacing w:val="7"/>
          <w:sz w:val="23"/>
          <w:lang w:val="it-IT"/>
        </w:rPr>
      </w:pPr>
      <w:r>
        <w:rPr>
          <w:rFonts w:ascii="Times New Roman" w:hAnsi="Times New Roman"/>
          <w:color w:val="000000"/>
          <w:spacing w:val="7"/>
          <w:sz w:val="23"/>
          <w:lang w:val="it-IT"/>
        </w:rPr>
        <w:t>l'impiego di tali risorse su scala territoriale più ampia è in grado di renderne, dunque, più</w:t>
      </w:r>
    </w:p>
    <w:p w:rsidR="00814A77" w:rsidRDefault="00814A77">
      <w:pPr>
        <w:spacing w:line="414" w:lineRule="exact"/>
        <w:ind w:firstLine="720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efficace l'utilizzo rispetto agli obiettivi di sicurezza e prevenzione sopraindicati; </w:t>
      </w:r>
      <w:r>
        <w:rPr>
          <w:rFonts w:ascii="Times New Roman" w:hAnsi="Times New Roman"/>
          <w:b/>
          <w:color w:val="000000"/>
          <w:spacing w:val="6"/>
          <w:sz w:val="24"/>
          <w:lang w:val="it-IT"/>
        </w:rPr>
        <w:t xml:space="preserve">RICHIAMATO </w:t>
      </w: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l'art. 6, comma 7, D.L. 11/2009, convertito con legge n. 38/2009, secondo cui </w:t>
      </w:r>
      <w:r>
        <w:rPr>
          <w:rFonts w:ascii="Times New Roman" w:hAnsi="Times New Roman"/>
          <w:i/>
          <w:color w:val="000000"/>
          <w:spacing w:val="6"/>
          <w:sz w:val="23"/>
          <w:lang w:val="it-IT"/>
        </w:rPr>
        <w:t>"per la tutela della sicurezza urbana, i comuni possono utilizzare sistemi di videosorveglianza in</w:t>
      </w:r>
    </w:p>
    <w:p w:rsidR="00814A77" w:rsidRDefault="00814A77">
      <w:pPr>
        <w:spacing w:line="284" w:lineRule="exact"/>
        <w:rPr>
          <w:rFonts w:ascii="Times New Roman" w:hAnsi="Times New Roman"/>
          <w:i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i/>
          <w:color w:val="000000"/>
          <w:spacing w:val="3"/>
          <w:sz w:val="23"/>
          <w:lang w:val="it-IT"/>
        </w:rPr>
        <w:t>luoghi pubblici o aperti al pubblico";</w:t>
      </w:r>
    </w:p>
    <w:p w:rsidR="00814A77" w:rsidRDefault="00814A77">
      <w:pPr>
        <w:spacing w:before="252" w:line="235" w:lineRule="exact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VISTI:</w:t>
      </w:r>
    </w:p>
    <w:p w:rsidR="00814A77" w:rsidRPr="002C3CD6" w:rsidRDefault="00814A77" w:rsidP="002C3CD6">
      <w:pPr>
        <w:numPr>
          <w:ilvl w:val="0"/>
          <w:numId w:val="2"/>
        </w:numPr>
        <w:tabs>
          <w:tab w:val="clear" w:pos="216"/>
          <w:tab w:val="decimal" w:pos="576"/>
        </w:tabs>
        <w:spacing w:before="72" w:line="293" w:lineRule="exact"/>
        <w:ind w:left="360"/>
        <w:rPr>
          <w:rFonts w:ascii="Times New Roman" w:hAnsi="Times New Roman"/>
          <w:color w:val="000000"/>
          <w:spacing w:val="9"/>
          <w:sz w:val="23"/>
          <w:lang w:val="it-IT"/>
        </w:rPr>
      </w:pPr>
      <w:r>
        <w:rPr>
          <w:rFonts w:ascii="Times New Roman" w:hAnsi="Times New Roman"/>
          <w:color w:val="000000"/>
          <w:spacing w:val="7"/>
          <w:sz w:val="23"/>
          <w:lang w:val="it-IT"/>
        </w:rPr>
        <w:t xml:space="preserve">la legge 1 aprile 1981, n. 121, recante </w:t>
      </w:r>
      <w:r>
        <w:rPr>
          <w:rFonts w:ascii="Times New Roman" w:hAnsi="Times New Roman"/>
          <w:i/>
          <w:color w:val="000000"/>
          <w:spacing w:val="7"/>
          <w:sz w:val="23"/>
          <w:lang w:val="it-IT"/>
        </w:rPr>
        <w:t xml:space="preserve">"Nuovo ordinamento dell'Amministrazione della </w:t>
      </w:r>
      <w:r>
        <w:rPr>
          <w:rFonts w:ascii="Times New Roman" w:hAnsi="Times New Roman"/>
          <w:i/>
          <w:color w:val="000000"/>
          <w:spacing w:val="2"/>
          <w:sz w:val="23"/>
          <w:lang w:val="it-IT"/>
        </w:rPr>
        <w:t>Pubblica sicurezza";</w:t>
      </w:r>
    </w:p>
    <w:p w:rsidR="00814A77" w:rsidRDefault="00814A77" w:rsidP="002C3CD6">
      <w:pPr>
        <w:numPr>
          <w:ilvl w:val="0"/>
          <w:numId w:val="2"/>
        </w:numPr>
        <w:tabs>
          <w:tab w:val="clear" w:pos="216"/>
          <w:tab w:val="decimal" w:pos="576"/>
        </w:tabs>
        <w:spacing w:before="72" w:line="293" w:lineRule="exact"/>
        <w:ind w:left="360"/>
        <w:rPr>
          <w:rFonts w:ascii="Times New Roman" w:hAnsi="Times New Roman"/>
          <w:color w:val="000000"/>
          <w:spacing w:val="9"/>
          <w:sz w:val="23"/>
          <w:lang w:val="it-IT"/>
        </w:rPr>
      </w:pPr>
      <w:r>
        <w:rPr>
          <w:rFonts w:ascii="Times New Roman" w:hAnsi="Times New Roman"/>
          <w:color w:val="000000"/>
          <w:spacing w:val="9"/>
          <w:sz w:val="23"/>
          <w:lang w:val="it-IT"/>
        </w:rPr>
        <w:t xml:space="preserve">la legge 7 marzo 1986, n. 65 recante </w:t>
      </w:r>
      <w:r>
        <w:rPr>
          <w:rFonts w:ascii="Times New Roman" w:hAnsi="Times New Roman"/>
          <w:i/>
          <w:color w:val="000000"/>
          <w:spacing w:val="9"/>
          <w:sz w:val="24"/>
          <w:lang w:val="it-IT"/>
        </w:rPr>
        <w:t xml:space="preserve">"Legge quadro sull'ordinamento della Polizia </w:t>
      </w:r>
      <w:r>
        <w:rPr>
          <w:rFonts w:ascii="Times New Roman" w:hAnsi="Times New Roman"/>
          <w:i/>
          <w:color w:val="000000"/>
          <w:sz w:val="24"/>
          <w:lang w:val="it-IT"/>
        </w:rPr>
        <w:t>Municipale"</w:t>
      </w:r>
    </w:p>
    <w:p w:rsidR="00814A77" w:rsidRDefault="00814A77" w:rsidP="002C3CD6">
      <w:pPr>
        <w:numPr>
          <w:ilvl w:val="0"/>
          <w:numId w:val="4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color w:val="000000"/>
          <w:spacing w:val="3"/>
          <w:sz w:val="23"/>
          <w:lang w:val="it-IT"/>
        </w:rPr>
        <w:t xml:space="preserve">la legge 24 luglio 2008, n. 125 recante"Misure </w:t>
      </w:r>
      <w:r>
        <w:rPr>
          <w:rFonts w:ascii="Times New Roman" w:hAnsi="Times New Roman"/>
          <w:i/>
          <w:color w:val="000000"/>
          <w:spacing w:val="3"/>
          <w:sz w:val="24"/>
          <w:lang w:val="it-IT"/>
        </w:rPr>
        <w:t>urgenti in materia di sicurezza pubblica";</w:t>
      </w:r>
    </w:p>
    <w:p w:rsidR="00814A77" w:rsidRDefault="00814A77" w:rsidP="002C3CD6">
      <w:pPr>
        <w:numPr>
          <w:ilvl w:val="0"/>
          <w:numId w:val="4"/>
        </w:numPr>
        <w:tabs>
          <w:tab w:val="clear" w:pos="216"/>
          <w:tab w:val="decimal" w:pos="576"/>
        </w:tabs>
        <w:spacing w:line="276" w:lineRule="auto"/>
        <w:ind w:left="288" w:firstLine="72"/>
        <w:jc w:val="both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il decreto legge 23 febbraio 2009 n. 11, recante </w:t>
      </w:r>
      <w:r>
        <w:rPr>
          <w:rFonts w:ascii="Times New Roman" w:hAnsi="Times New Roman"/>
          <w:i/>
          <w:color w:val="000000"/>
          <w:spacing w:val="4"/>
          <w:sz w:val="24"/>
          <w:lang w:val="it-IT"/>
        </w:rPr>
        <w:t xml:space="preserve">"Misure urgenti in materia di sicurezza </w:t>
      </w:r>
      <w:r>
        <w:rPr>
          <w:rFonts w:ascii="Times New Roman" w:hAnsi="Times New Roman"/>
          <w:i/>
          <w:color w:val="000000"/>
          <w:sz w:val="24"/>
          <w:lang w:val="it-IT"/>
        </w:rPr>
        <w:t xml:space="preserve">pubblica e contrasto alla violenza sessuale, nonché in tema di atti persecutori", </w:t>
      </w:r>
      <w:r>
        <w:rPr>
          <w:rFonts w:ascii="Times New Roman" w:hAnsi="Times New Roman"/>
          <w:color w:val="000000"/>
          <w:sz w:val="23"/>
          <w:lang w:val="it-IT"/>
        </w:rPr>
        <w:t xml:space="preserve">convertito dalla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>legge 23 aprile 2009 n. 38;</w:t>
      </w:r>
    </w:p>
    <w:p w:rsidR="00814A77" w:rsidRDefault="00814A77" w:rsidP="002C3CD6">
      <w:pPr>
        <w:numPr>
          <w:ilvl w:val="0"/>
          <w:numId w:val="4"/>
        </w:numPr>
        <w:tabs>
          <w:tab w:val="clear" w:pos="216"/>
          <w:tab w:val="decimal" w:pos="576"/>
        </w:tabs>
        <w:spacing w:line="268" w:lineRule="auto"/>
        <w:ind w:left="288" w:firstLine="72"/>
        <w:rPr>
          <w:rFonts w:ascii="Times New Roman" w:hAnsi="Times New Roman"/>
          <w:color w:val="000000"/>
          <w:spacing w:val="8"/>
          <w:sz w:val="23"/>
          <w:lang w:val="it-IT"/>
        </w:rPr>
      </w:pPr>
      <w:r>
        <w:rPr>
          <w:rFonts w:ascii="Times New Roman" w:hAnsi="Times New Roman"/>
          <w:color w:val="000000"/>
          <w:spacing w:val="8"/>
          <w:sz w:val="23"/>
          <w:lang w:val="it-IT"/>
        </w:rPr>
        <w:t xml:space="preserve">la legge n. 94 del 15 luglio 2009, n. 94 recante </w:t>
      </w:r>
      <w:r>
        <w:rPr>
          <w:rFonts w:ascii="Times New Roman" w:hAnsi="Times New Roman"/>
          <w:i/>
          <w:color w:val="000000"/>
          <w:spacing w:val="8"/>
          <w:sz w:val="24"/>
          <w:lang w:val="it-IT"/>
        </w:rPr>
        <w:t xml:space="preserve">"Disposizioni in materia di sicurezza </w:t>
      </w:r>
      <w:r>
        <w:rPr>
          <w:rFonts w:ascii="Times New Roman" w:hAnsi="Times New Roman"/>
          <w:i/>
          <w:color w:val="000000"/>
          <w:sz w:val="24"/>
          <w:lang w:val="it-IT"/>
        </w:rPr>
        <w:t>pubblica";</w:t>
      </w:r>
    </w:p>
    <w:p w:rsidR="00814A77" w:rsidRDefault="00814A77" w:rsidP="002C3CD6">
      <w:pPr>
        <w:numPr>
          <w:ilvl w:val="0"/>
          <w:numId w:val="5"/>
        </w:numPr>
        <w:tabs>
          <w:tab w:val="clear" w:pos="144"/>
          <w:tab w:val="decimal" w:pos="504"/>
        </w:tabs>
        <w:ind w:left="360"/>
        <w:rPr>
          <w:rFonts w:ascii="Times New Roman" w:hAnsi="Times New Roman"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color w:val="000000"/>
          <w:spacing w:val="3"/>
          <w:sz w:val="23"/>
          <w:lang w:val="it-IT"/>
        </w:rPr>
        <w:t>il decreto del Ministro dell'Interno del 5 agosto 2008;</w:t>
      </w:r>
    </w:p>
    <w:p w:rsidR="00814A77" w:rsidRDefault="00814A77" w:rsidP="002C3CD6">
      <w:pPr>
        <w:numPr>
          <w:ilvl w:val="0"/>
          <w:numId w:val="5"/>
        </w:numPr>
        <w:tabs>
          <w:tab w:val="clear" w:pos="144"/>
          <w:tab w:val="decimal" w:pos="504"/>
        </w:tabs>
        <w:ind w:left="360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>il decreto legge n. 14/2017, convertito nella legge n. 48/2017;</w:t>
      </w:r>
    </w:p>
    <w:p w:rsidR="00814A77" w:rsidRDefault="00814A77" w:rsidP="002C3CD6">
      <w:pPr>
        <w:spacing w:before="432" w:line="204" w:lineRule="auto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RILEVATO CHE:</w:t>
      </w:r>
    </w:p>
    <w:p w:rsidR="00814A77" w:rsidRDefault="00814A77" w:rsidP="002C3CD6">
      <w:pPr>
        <w:numPr>
          <w:ilvl w:val="0"/>
          <w:numId w:val="6"/>
        </w:numPr>
        <w:tabs>
          <w:tab w:val="clear" w:pos="360"/>
          <w:tab w:val="decimal" w:pos="720"/>
        </w:tabs>
        <w:spacing w:before="108" w:line="307" w:lineRule="auto"/>
        <w:ind w:hanging="360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secondo la direttiva n. 558/SICPART/421.2/70 del Ministero dell'Interno del 2 marzo 2012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 xml:space="preserve">la cooperazione tra le forze di polizia a competenza generale e polizia locale </w:t>
      </w:r>
      <w:r>
        <w:rPr>
          <w:rFonts w:ascii="Times New Roman" w:hAnsi="Times New Roman"/>
          <w:i/>
          <w:color w:val="000000"/>
          <w:spacing w:val="3"/>
          <w:sz w:val="24"/>
          <w:lang w:val="it-IT"/>
        </w:rPr>
        <w:t xml:space="preserve">"può trovare </w:t>
      </w:r>
      <w:r>
        <w:rPr>
          <w:rFonts w:ascii="Times New Roman" w:hAnsi="Times New Roman"/>
          <w:i/>
          <w:color w:val="000000"/>
          <w:spacing w:val="2"/>
          <w:sz w:val="24"/>
          <w:lang w:val="it-IT"/>
        </w:rPr>
        <w:t xml:space="preserve">nella gestione dei sistemi di videosorveglianza una possibile risposta e contribuire ad innalzare le attuali aspettative in termini di sicurezza o di vivere la Città "in sicurezza"; </w:t>
      </w: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le circolari del Ministero dell'Interno nr. 11001/110 del 30 aprile 2015 e nr. MI-U-C-1-1- </w:t>
      </w:r>
      <w:r>
        <w:rPr>
          <w:rFonts w:ascii="Times New Roman" w:hAnsi="Times New Roman"/>
          <w:color w:val="000000"/>
          <w:spacing w:val="11"/>
          <w:sz w:val="23"/>
          <w:lang w:val="it-IT"/>
        </w:rPr>
        <w:t xml:space="preserve">2015-77 del 21 maggio 2015, contenenti le nuove linee strategiche per il controllo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coordinato del territorio, ribadiscono la necessità di valorizzare le potenzialità dei sistemi di</w:t>
      </w:r>
    </w:p>
    <w:p w:rsidR="00814A77" w:rsidRDefault="00814A77" w:rsidP="002C3CD6">
      <w:pPr>
        <w:spacing w:line="266" w:lineRule="auto"/>
        <w:ind w:left="648"/>
        <w:rPr>
          <w:rFonts w:ascii="Times New Roman" w:hAnsi="Times New Roman"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color w:val="000000"/>
          <w:spacing w:val="3"/>
          <w:sz w:val="23"/>
          <w:lang w:val="it-IT"/>
        </w:rPr>
        <w:t>videosorveglianza, favorendo il collegamento con le sale operative delle forze di polizia;</w:t>
      </w:r>
    </w:p>
    <w:p w:rsidR="00814A77" w:rsidRDefault="00814A77" w:rsidP="002C3CD6">
      <w:pPr>
        <w:numPr>
          <w:ilvl w:val="0"/>
          <w:numId w:val="7"/>
        </w:numPr>
        <w:tabs>
          <w:tab w:val="clear" w:pos="432"/>
          <w:tab w:val="decimal" w:pos="720"/>
        </w:tabs>
        <w:ind w:left="288"/>
        <w:rPr>
          <w:rFonts w:ascii="Times New Roman" w:hAnsi="Times New Roman"/>
          <w:color w:val="000000"/>
          <w:spacing w:val="6"/>
          <w:sz w:val="23"/>
          <w:lang w:val="it-IT"/>
        </w:rPr>
      </w:pPr>
      <w:r>
        <w:rPr>
          <w:rFonts w:ascii="Times New Roman" w:hAnsi="Times New Roman"/>
          <w:color w:val="000000"/>
          <w:spacing w:val="6"/>
          <w:sz w:val="23"/>
          <w:lang w:val="it-IT"/>
        </w:rPr>
        <w:t>la Circolare n. 2107 del 4 febbraio 2016 del Capo della Polizia - Direttore Generale della</w:t>
      </w:r>
    </w:p>
    <w:p w:rsidR="00814A77" w:rsidRDefault="00814A77" w:rsidP="002C3CD6">
      <w:pPr>
        <w:spacing w:line="266" w:lineRule="auto"/>
        <w:ind w:right="36"/>
        <w:jc w:val="right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>Pubblica Sicurezza - sottolinea il ruolo delle Polizie Locali che possono fornire un decisivo</w:t>
      </w:r>
    </w:p>
    <w:p w:rsidR="00814A77" w:rsidRDefault="00814A77" w:rsidP="002C3CD6">
      <w:pPr>
        <w:ind w:left="648"/>
        <w:rPr>
          <w:rFonts w:ascii="Times New Roman" w:hAnsi="Times New Roman"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color w:val="000000"/>
          <w:spacing w:val="3"/>
          <w:sz w:val="23"/>
          <w:lang w:val="it-IT"/>
        </w:rPr>
        <w:t>apporto nell'ambito di una strategia condivisa in materia di sicurezza urbana;</w:t>
      </w:r>
    </w:p>
    <w:p w:rsidR="00814A77" w:rsidRDefault="00814A77" w:rsidP="002C3CD6">
      <w:pPr>
        <w:numPr>
          <w:ilvl w:val="0"/>
          <w:numId w:val="7"/>
        </w:numPr>
        <w:tabs>
          <w:tab w:val="clear" w:pos="432"/>
          <w:tab w:val="decimal" w:pos="720"/>
        </w:tabs>
        <w:ind w:left="288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>con accordo raggiunto in sede di Conferenza Unificata Stato — Città il 26 luglio 2018 sono</w:t>
      </w:r>
    </w:p>
    <w:p w:rsidR="00814A77" w:rsidRDefault="00814A77" w:rsidP="002C3CD6">
      <w:pPr>
        <w:spacing w:before="180" w:line="276" w:lineRule="auto"/>
        <w:ind w:left="648"/>
        <w:jc w:val="both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state adottate </w:t>
      </w:r>
      <w:r>
        <w:rPr>
          <w:rFonts w:ascii="Times New Roman" w:hAnsi="Times New Roman"/>
          <w:i/>
          <w:color w:val="000000"/>
          <w:spacing w:val="4"/>
          <w:sz w:val="24"/>
          <w:lang w:val="it-IT"/>
        </w:rPr>
        <w:t xml:space="preserve">linee guida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per l'attuazione della normativa in materia di sicurezza urbana, </w:t>
      </w:r>
      <w:r>
        <w:rPr>
          <w:rFonts w:ascii="Times New Roman" w:hAnsi="Times New Roman"/>
          <w:color w:val="000000"/>
          <w:sz w:val="23"/>
          <w:lang w:val="it-IT"/>
        </w:rPr>
        <w:t xml:space="preserve">secondo cui: </w:t>
      </w:r>
      <w:r>
        <w:rPr>
          <w:rFonts w:ascii="Times New Roman" w:hAnsi="Times New Roman"/>
          <w:i/>
          <w:color w:val="000000"/>
          <w:sz w:val="24"/>
          <w:lang w:val="it-IT"/>
        </w:rPr>
        <w:t xml:space="preserve">"la cooperazione tra Forze di polizia e Polizia locale trova nella gestione dei </w:t>
      </w:r>
      <w:r>
        <w:rPr>
          <w:rFonts w:ascii="Times New Roman" w:hAnsi="Times New Roman"/>
          <w:i/>
          <w:color w:val="000000"/>
          <w:spacing w:val="2"/>
          <w:sz w:val="24"/>
          <w:lang w:val="it-IT"/>
        </w:rPr>
        <w:t xml:space="preserve">sistemi di videosorveglianza una delle attuazioni concrete e contribuisce ad innalzare le </w:t>
      </w:r>
      <w:r>
        <w:rPr>
          <w:rFonts w:ascii="Times New Roman" w:hAnsi="Times New Roman"/>
          <w:i/>
          <w:color w:val="000000"/>
          <w:spacing w:val="9"/>
          <w:sz w:val="24"/>
          <w:lang w:val="it-IT"/>
        </w:rPr>
        <w:t xml:space="preserve">attuali aspettative in termini di sicurezza delle città. In tal senso, nel riconoscere </w:t>
      </w:r>
      <w:r>
        <w:rPr>
          <w:rFonts w:ascii="Times New Roman" w:hAnsi="Times New Roman"/>
          <w:i/>
          <w:color w:val="000000"/>
          <w:spacing w:val="-2"/>
          <w:sz w:val="24"/>
          <w:lang w:val="it-IT"/>
        </w:rPr>
        <w:t xml:space="preserve">l'importanza dell'installazione di nuovi sistemi, si sottolinea contemporaneamente anche la </w:t>
      </w:r>
      <w:r>
        <w:rPr>
          <w:rFonts w:ascii="Times New Roman" w:hAnsi="Times New Roman"/>
          <w:i/>
          <w:color w:val="000000"/>
          <w:spacing w:val="-1"/>
          <w:sz w:val="24"/>
          <w:lang w:val="it-IT"/>
        </w:rPr>
        <w:t xml:space="preserve">rilevanza di interventi utili all'upgrade dei sistemi già esistenti ai fini dell'utilizzo in comune degli apparati. Le misure contemplate dai "patti per l'attuazione della sicurezza urbana", </w:t>
      </w:r>
      <w:r>
        <w:rPr>
          <w:rFonts w:ascii="Times New Roman" w:hAnsi="Times New Roman"/>
          <w:i/>
          <w:color w:val="000000"/>
          <w:spacing w:val="-2"/>
          <w:sz w:val="24"/>
          <w:lang w:val="it-IT"/>
        </w:rPr>
        <w:t xml:space="preserve">relativamente a questo aspetto, dovranno naturalmente muoversi nell'ambito della cornice </w:t>
      </w:r>
      <w:r>
        <w:rPr>
          <w:rFonts w:ascii="Times New Roman" w:hAnsi="Times New Roman"/>
          <w:i/>
          <w:color w:val="000000"/>
          <w:sz w:val="24"/>
          <w:lang w:val="it-IT"/>
        </w:rPr>
        <w:t xml:space="preserve">delineata dalle "'linee generali" per le politiche di sicurezza integrata e delle opportunità </w:t>
      </w:r>
      <w:r>
        <w:rPr>
          <w:rFonts w:ascii="Times New Roman" w:hAnsi="Times New Roman"/>
          <w:i/>
          <w:color w:val="000000"/>
          <w:spacing w:val="-2"/>
          <w:sz w:val="24"/>
          <w:lang w:val="it-IT"/>
        </w:rPr>
        <w:t xml:space="preserve">dischiuse dagli accordi stipulati tra Io Stato, le Regioni e le Province autonome di Trento e </w:t>
      </w:r>
      <w:r>
        <w:rPr>
          <w:rFonts w:ascii="Times New Roman" w:hAnsi="Times New Roman"/>
          <w:i/>
          <w:color w:val="000000"/>
          <w:spacing w:val="3"/>
          <w:sz w:val="24"/>
          <w:lang w:val="it-IT"/>
        </w:rPr>
        <w:t xml:space="preserve">Bolzano, ai sensi dell'art. 3, comma I, del decreto-legge e delle conseguenti iniziative </w:t>
      </w:r>
      <w:r>
        <w:rPr>
          <w:rFonts w:ascii="Times New Roman" w:hAnsi="Times New Roman"/>
          <w:i/>
          <w:color w:val="000000"/>
          <w:spacing w:val="4"/>
          <w:sz w:val="24"/>
          <w:lang w:val="it-IT"/>
        </w:rPr>
        <w:t xml:space="preserve">attuative. Negli ultimi anni, infatti, grazie a diversi interventi di sostegno da parte dei </w:t>
      </w:r>
      <w:r>
        <w:rPr>
          <w:rFonts w:ascii="Times New Roman" w:hAnsi="Times New Roman"/>
          <w:i/>
          <w:color w:val="000000"/>
          <w:sz w:val="24"/>
          <w:lang w:val="it-IT"/>
        </w:rPr>
        <w:t>Comuni, delle Regioni e dello Stato, è stata realizzata una copertura di videocamere sul territorio che ora si rende necessario ottimizzare e promuovere come sistemi integrati";</w:t>
      </w:r>
    </w:p>
    <w:p w:rsidR="00814A77" w:rsidRDefault="00814A77" w:rsidP="002C3CD6">
      <w:pPr>
        <w:spacing w:before="684" w:line="280" w:lineRule="auto"/>
        <w:jc w:val="both"/>
        <w:rPr>
          <w:rFonts w:ascii="Times New Roman" w:hAnsi="Times New Roman"/>
          <w:b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4"/>
          <w:sz w:val="24"/>
          <w:lang w:val="it-IT"/>
        </w:rPr>
        <w:t xml:space="preserve">RICORDATI,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inoltre, l'art. 54 D.lgs. 267/2000 secondo cui i sindaci, in qualità di Ufficiali del Governo, nell'esercizio delle funzioni loro affidate dalla legge in materia di pubblica sicurezza,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 xml:space="preserve">concorrono ad assicurare anche la cooperazione della polizia locale con le Forze di polizia statali e </w:t>
      </w: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l'art. 7, comma 1, d.P.C.M. 12 settembre 2000, secondo cui, in materia di polizia amministrativa, </w:t>
      </w:r>
      <w:r>
        <w:rPr>
          <w:rFonts w:ascii="Times New Roman" w:hAnsi="Times New Roman"/>
          <w:i/>
          <w:color w:val="000000"/>
          <w:spacing w:val="-1"/>
          <w:sz w:val="24"/>
          <w:lang w:val="it-IT"/>
        </w:rPr>
        <w:t xml:space="preserve">"lo Stato, le Regioni e gli Enti locali collaborano in via permanente, nell'àmbito delle rispettive </w:t>
      </w:r>
      <w:r>
        <w:rPr>
          <w:rFonts w:ascii="Times New Roman" w:hAnsi="Times New Roman"/>
          <w:i/>
          <w:color w:val="000000"/>
          <w:spacing w:val="1"/>
          <w:sz w:val="24"/>
          <w:lang w:val="it-IT"/>
        </w:rPr>
        <w:t xml:space="preserve">attribuzioni e competenze, al perseguimento di condizioni ottimali di sicurezza delle città e del </w:t>
      </w:r>
      <w:r>
        <w:rPr>
          <w:rFonts w:ascii="Times New Roman" w:hAnsi="Times New Roman"/>
          <w:i/>
          <w:color w:val="000000"/>
          <w:spacing w:val="-2"/>
          <w:sz w:val="24"/>
          <w:lang w:val="it-IT"/>
        </w:rPr>
        <w:t xml:space="preserve">territorio extraurbano e di tutela dei diritti di sicurezza dei cittadini, nonché per la realizzazione di </w:t>
      </w:r>
      <w:r>
        <w:rPr>
          <w:rFonts w:ascii="Times New Roman" w:hAnsi="Times New Roman"/>
          <w:i/>
          <w:color w:val="000000"/>
          <w:sz w:val="24"/>
          <w:lang w:val="it-IT"/>
        </w:rPr>
        <w:t xml:space="preserve">specifici progetti di ammodernamento e potenziamento tecnico-logistico delle strutture e dei servizi di polizia amministrativa regionale e locale, nonché dei servizi integrativi di sicurezza e </w:t>
      </w:r>
      <w:r>
        <w:rPr>
          <w:rFonts w:ascii="Times New Roman" w:hAnsi="Times New Roman"/>
          <w:i/>
          <w:color w:val="000000"/>
          <w:sz w:val="23"/>
          <w:lang w:val="it-IT"/>
        </w:rPr>
        <w:t xml:space="preserve">di </w:t>
      </w:r>
      <w:r>
        <w:rPr>
          <w:rFonts w:ascii="Times New Roman" w:hAnsi="Times New Roman"/>
          <w:i/>
          <w:color w:val="000000"/>
          <w:sz w:val="24"/>
          <w:lang w:val="it-IT"/>
        </w:rPr>
        <w:t xml:space="preserve">tutela </w:t>
      </w:r>
      <w:r>
        <w:rPr>
          <w:rFonts w:ascii="Times New Roman" w:hAnsi="Times New Roman"/>
          <w:i/>
          <w:color w:val="000000"/>
          <w:spacing w:val="1"/>
          <w:sz w:val="24"/>
          <w:lang w:val="it-IT"/>
        </w:rPr>
        <w:t xml:space="preserve">sociale, agli interventi di riduzione dei danni, all'educazione alla convivenza nel rispetto della </w:t>
      </w:r>
      <w:r>
        <w:rPr>
          <w:rFonts w:ascii="Times New Roman" w:hAnsi="Times New Roman"/>
          <w:i/>
          <w:color w:val="000000"/>
          <w:sz w:val="24"/>
          <w:lang w:val="it-IT"/>
        </w:rPr>
        <w:t>legalità",</w:t>
      </w:r>
    </w:p>
    <w:p w:rsidR="00814A77" w:rsidRDefault="00814A77" w:rsidP="002C3CD6">
      <w:pPr>
        <w:spacing w:before="612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 xml:space="preserve">VISTI, </w:t>
      </w:r>
      <w:r>
        <w:rPr>
          <w:rFonts w:ascii="Times New Roman" w:hAnsi="Times New Roman"/>
          <w:color w:val="000000"/>
          <w:sz w:val="23"/>
          <w:lang w:val="it-IT"/>
        </w:rPr>
        <w:t>inoltre:</w:t>
      </w:r>
    </w:p>
    <w:p w:rsidR="00814A77" w:rsidRDefault="00814A77" w:rsidP="002C3CD6">
      <w:pPr>
        <w:numPr>
          <w:ilvl w:val="0"/>
          <w:numId w:val="8"/>
        </w:numPr>
        <w:tabs>
          <w:tab w:val="clear" w:pos="360"/>
          <w:tab w:val="decimal" w:pos="792"/>
        </w:tabs>
        <w:spacing w:line="288" w:lineRule="auto"/>
        <w:ind w:left="792" w:hanging="360"/>
        <w:rPr>
          <w:rFonts w:ascii="Times New Roman" w:hAnsi="Times New Roman"/>
          <w:color w:val="000000"/>
          <w:spacing w:val="6"/>
          <w:sz w:val="23"/>
          <w:lang w:val="it-IT"/>
        </w:rPr>
      </w:pP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l'atto di indirizzo espresso nel provvedimento generale del Garante Privacy dell'8 aprile </w:t>
      </w:r>
      <w:r>
        <w:rPr>
          <w:rFonts w:ascii="Times New Roman" w:hAnsi="Times New Roman"/>
          <w:color w:val="000000"/>
          <w:sz w:val="23"/>
          <w:lang w:val="it-IT"/>
        </w:rPr>
        <w:t>2010</w:t>
      </w:r>
    </w:p>
    <w:p w:rsidR="00814A77" w:rsidRDefault="00814A77" w:rsidP="002C3CD6">
      <w:pPr>
        <w:numPr>
          <w:ilvl w:val="0"/>
          <w:numId w:val="8"/>
        </w:numPr>
        <w:tabs>
          <w:tab w:val="clear" w:pos="360"/>
          <w:tab w:val="decimal" w:pos="792"/>
        </w:tabs>
        <w:spacing w:before="108" w:line="288" w:lineRule="auto"/>
        <w:ind w:left="792" w:hanging="360"/>
        <w:jc w:val="both"/>
        <w:rPr>
          <w:rFonts w:ascii="Times New Roman" w:hAnsi="Times New Roman"/>
          <w:color w:val="000000"/>
          <w:spacing w:val="2"/>
          <w:sz w:val="23"/>
          <w:lang w:val="it-IT"/>
        </w:rPr>
      </w:pP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Il Regolamento (UE) 2016/679 del Parlamento Europeo e del Consiglio del 27 aprile 2016 relativo alla protezione delle persone fisiche con riguardo al trattamento dei dati personali, </w:t>
      </w:r>
      <w:r>
        <w:rPr>
          <w:rFonts w:ascii="Times New Roman" w:hAnsi="Times New Roman"/>
          <w:color w:val="000000"/>
          <w:sz w:val="23"/>
          <w:lang w:val="it-IT"/>
        </w:rPr>
        <w:t>nonché alla libera circolazione di tali dati e che abroga la direttiva 95/46/CE (di seguito solo GDPR);</w:t>
      </w:r>
    </w:p>
    <w:p w:rsidR="00814A77" w:rsidRDefault="00814A77" w:rsidP="002C3CD6">
      <w:pPr>
        <w:numPr>
          <w:ilvl w:val="0"/>
          <w:numId w:val="8"/>
        </w:numPr>
        <w:tabs>
          <w:tab w:val="clear" w:pos="360"/>
          <w:tab w:val="decimal" w:pos="792"/>
        </w:tabs>
        <w:spacing w:line="278" w:lineRule="auto"/>
        <w:ind w:left="792" w:hanging="360"/>
        <w:jc w:val="both"/>
        <w:rPr>
          <w:rFonts w:ascii="Times New Roman" w:hAnsi="Times New Roman"/>
          <w:color w:val="000000"/>
          <w:spacing w:val="2"/>
          <w:sz w:val="23"/>
          <w:lang w:val="it-IT"/>
        </w:rPr>
      </w:pP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Il decreto legislativo del 10 agosto 2018, n. 101, recante </w:t>
      </w:r>
      <w:r>
        <w:rPr>
          <w:rFonts w:ascii="Times New Roman" w:hAnsi="Times New Roman"/>
          <w:i/>
          <w:color w:val="000000"/>
          <w:spacing w:val="2"/>
          <w:sz w:val="24"/>
          <w:lang w:val="it-IT"/>
        </w:rPr>
        <w:t xml:space="preserve">"Disposizioni per l'adeguamento </w:t>
      </w:r>
      <w:r>
        <w:rPr>
          <w:rFonts w:ascii="Times New Roman" w:hAnsi="Times New Roman"/>
          <w:i/>
          <w:color w:val="000000"/>
          <w:spacing w:val="-4"/>
          <w:sz w:val="24"/>
          <w:lang w:val="it-IT"/>
        </w:rPr>
        <w:t xml:space="preserve">della normativa nazionale alle disposizioni del regolamento (UE) 2016/679 del Parlamento </w:t>
      </w:r>
      <w:r>
        <w:rPr>
          <w:rFonts w:ascii="Times New Roman" w:hAnsi="Times New Roman"/>
          <w:i/>
          <w:color w:val="000000"/>
          <w:spacing w:val="1"/>
          <w:sz w:val="24"/>
          <w:lang w:val="it-IT"/>
        </w:rPr>
        <w:t xml:space="preserve">europeo e del Consiglio, del 27 aprile 2016, relativo alla protezione delle persone fisiche </w:t>
      </w:r>
      <w:r>
        <w:rPr>
          <w:rFonts w:ascii="Times New Roman" w:hAnsi="Times New Roman"/>
          <w:i/>
          <w:color w:val="000000"/>
          <w:spacing w:val="-1"/>
          <w:sz w:val="24"/>
          <w:lang w:val="it-IT"/>
        </w:rPr>
        <w:t xml:space="preserve">con riguardo al trattamento dei dati personali, nonché alla libera circolazione di tali dati e </w:t>
      </w:r>
      <w:r>
        <w:rPr>
          <w:rFonts w:ascii="Times New Roman" w:hAnsi="Times New Roman"/>
          <w:i/>
          <w:color w:val="000000"/>
          <w:spacing w:val="4"/>
          <w:sz w:val="24"/>
          <w:lang w:val="it-IT"/>
        </w:rPr>
        <w:t xml:space="preserve">che abroga la direttiva 95/46/CE (regolamento generale sulla protezione dei dati)",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pubblicato in G.U. 4 settembre 2018 n.205;</w:t>
      </w:r>
    </w:p>
    <w:p w:rsidR="00814A77" w:rsidRDefault="00814A77" w:rsidP="002C3CD6">
      <w:pPr>
        <w:numPr>
          <w:ilvl w:val="0"/>
          <w:numId w:val="8"/>
        </w:numPr>
        <w:tabs>
          <w:tab w:val="clear" w:pos="360"/>
          <w:tab w:val="decimal" w:pos="792"/>
        </w:tabs>
        <w:spacing w:line="276" w:lineRule="auto"/>
        <w:ind w:left="792" w:hanging="360"/>
        <w:jc w:val="both"/>
        <w:rPr>
          <w:rFonts w:ascii="Times New Roman" w:hAnsi="Times New Roman"/>
          <w:color w:val="000000"/>
          <w:spacing w:val="7"/>
          <w:sz w:val="23"/>
          <w:lang w:val="it-IT"/>
        </w:rPr>
      </w:pPr>
      <w:r>
        <w:rPr>
          <w:rFonts w:ascii="Times New Roman" w:hAnsi="Times New Roman"/>
          <w:color w:val="000000"/>
          <w:spacing w:val="7"/>
          <w:sz w:val="23"/>
          <w:lang w:val="it-IT"/>
        </w:rPr>
        <w:t xml:space="preserve">Il decreto legislativo 18 maggio 2018, n.51 recante </w:t>
      </w:r>
      <w:r>
        <w:rPr>
          <w:rFonts w:ascii="Times New Roman" w:hAnsi="Times New Roman"/>
          <w:i/>
          <w:color w:val="000000"/>
          <w:spacing w:val="7"/>
          <w:sz w:val="24"/>
          <w:lang w:val="it-IT"/>
        </w:rPr>
        <w:t xml:space="preserve">"Attuazione della direttiva (UE) </w:t>
      </w:r>
      <w:r>
        <w:rPr>
          <w:rFonts w:ascii="Times New Roman" w:hAnsi="Times New Roman"/>
          <w:i/>
          <w:color w:val="000000"/>
          <w:spacing w:val="6"/>
          <w:sz w:val="24"/>
          <w:lang w:val="it-IT"/>
        </w:rPr>
        <w:t xml:space="preserve">2016/680 del Parlamento europeo e del Consiglio del 27 aprile 2016, relativa alla </w:t>
      </w:r>
      <w:r>
        <w:rPr>
          <w:rFonts w:ascii="Times New Roman" w:hAnsi="Times New Roman"/>
          <w:i/>
          <w:color w:val="000000"/>
          <w:spacing w:val="2"/>
          <w:sz w:val="24"/>
          <w:lang w:val="it-IT"/>
        </w:rPr>
        <w:t xml:space="preserve">protezione delle persone fisiche con riguardo al trattamento dei dati personali da parte </w:t>
      </w:r>
      <w:r>
        <w:rPr>
          <w:rFonts w:ascii="Times New Roman" w:hAnsi="Times New Roman"/>
          <w:i/>
          <w:color w:val="000000"/>
          <w:spacing w:val="-1"/>
          <w:sz w:val="24"/>
          <w:lang w:val="it-IT"/>
        </w:rPr>
        <w:t xml:space="preserve">delle autorità competenti a fini di prevenzione, indagine, accertamento e perseguimento di </w:t>
      </w:r>
      <w:r>
        <w:rPr>
          <w:rFonts w:ascii="Times New Roman" w:hAnsi="Times New Roman"/>
          <w:i/>
          <w:color w:val="000000"/>
          <w:spacing w:val="3"/>
          <w:sz w:val="24"/>
          <w:lang w:val="it-IT"/>
        </w:rPr>
        <w:t xml:space="preserve">reati o esecuzione di sanzioni penali, nonché alla libera circolazione di tali dati e che </w:t>
      </w:r>
      <w:r>
        <w:rPr>
          <w:rFonts w:ascii="Times New Roman" w:hAnsi="Times New Roman"/>
          <w:i/>
          <w:color w:val="000000"/>
          <w:sz w:val="24"/>
          <w:lang w:val="it-IT"/>
        </w:rPr>
        <w:t>abroga la decisione quadro 2008/977/GAI del Consiglio";</w:t>
      </w:r>
    </w:p>
    <w:p w:rsidR="00814A77" w:rsidRDefault="00814A77" w:rsidP="002C3CD6">
      <w:pPr>
        <w:spacing w:before="684" w:line="204" w:lineRule="auto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DATO ATTO CHE:</w:t>
      </w:r>
    </w:p>
    <w:p w:rsidR="00814A77" w:rsidRDefault="00814A77" w:rsidP="002C3CD6">
      <w:pPr>
        <w:numPr>
          <w:ilvl w:val="0"/>
          <w:numId w:val="9"/>
        </w:numPr>
        <w:tabs>
          <w:tab w:val="clear" w:pos="432"/>
          <w:tab w:val="decimal" w:pos="792"/>
        </w:tabs>
        <w:spacing w:before="288" w:line="285" w:lineRule="auto"/>
        <w:ind w:left="792" w:hanging="432"/>
        <w:jc w:val="both"/>
        <w:rPr>
          <w:rFonts w:ascii="Times New Roman" w:hAnsi="Times New Roman"/>
          <w:color w:val="000000"/>
          <w:spacing w:val="-2"/>
          <w:sz w:val="23"/>
          <w:lang w:val="it-IT"/>
        </w:rPr>
      </w:pPr>
      <w:r>
        <w:rPr>
          <w:rFonts w:ascii="Times New Roman" w:hAnsi="Times New Roman"/>
          <w:color w:val="000000"/>
          <w:spacing w:val="-2"/>
          <w:sz w:val="23"/>
          <w:lang w:val="it-IT"/>
        </w:rPr>
        <w:t xml:space="preserve">su iniziativa del Comune di Macerata, lo scorso 4 giugno si è tenuto un incontro tra i comuni </w:t>
      </w:r>
      <w:r>
        <w:rPr>
          <w:rFonts w:ascii="Times New Roman" w:hAnsi="Times New Roman"/>
          <w:color w:val="000000"/>
          <w:spacing w:val="11"/>
          <w:sz w:val="23"/>
          <w:lang w:val="it-IT"/>
        </w:rPr>
        <w:t xml:space="preserve">interessati, dal quale ha preso avvio una serie di attività istruttorie finalizzate alla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realizzazione di un sistema integrato di videosorveglianza in ambito sovracomunale;</w:t>
      </w:r>
    </w:p>
    <w:p w:rsidR="00814A77" w:rsidRDefault="00814A77" w:rsidP="002C3CD6">
      <w:pPr>
        <w:numPr>
          <w:ilvl w:val="0"/>
          <w:numId w:val="9"/>
        </w:numPr>
        <w:tabs>
          <w:tab w:val="clear" w:pos="432"/>
          <w:tab w:val="decimal" w:pos="792"/>
        </w:tabs>
        <w:spacing w:line="288" w:lineRule="auto"/>
        <w:ind w:left="792" w:hanging="432"/>
        <w:jc w:val="both"/>
        <w:rPr>
          <w:rFonts w:ascii="Times New Roman" w:hAnsi="Times New Roman"/>
          <w:color w:val="000000"/>
          <w:sz w:val="23"/>
          <w:lang w:val="it-IT"/>
        </w:rPr>
      </w:pPr>
      <w:r>
        <w:rPr>
          <w:rFonts w:ascii="Times New Roman" w:hAnsi="Times New Roman"/>
          <w:color w:val="000000"/>
          <w:sz w:val="23"/>
          <w:lang w:val="it-IT"/>
        </w:rPr>
        <w:t xml:space="preserve">in particolare, nei mesi seguenti si è provveduto alla costituzione informale di due tavoli di </w:t>
      </w:r>
      <w:r>
        <w:rPr>
          <w:rFonts w:ascii="Times New Roman" w:hAnsi="Times New Roman"/>
          <w:color w:val="000000"/>
          <w:spacing w:val="7"/>
          <w:sz w:val="23"/>
          <w:lang w:val="it-IT"/>
        </w:rPr>
        <w:t>confronto, con la partecipazione di rappresentanti e dipendenti degli enti interessati, che</w:t>
      </w:r>
    </w:p>
    <w:p w:rsidR="00814A77" w:rsidRDefault="00814A77" w:rsidP="00143F3F">
      <w:pPr>
        <w:spacing w:before="612" w:line="288" w:lineRule="auto"/>
        <w:ind w:left="504"/>
        <w:jc w:val="both"/>
        <w:rPr>
          <w:rFonts w:ascii="Times New Roman" w:hAnsi="Times New Roman"/>
          <w:color w:val="000000"/>
          <w:spacing w:val="9"/>
          <w:sz w:val="23"/>
          <w:lang w:val="it-IT"/>
        </w:rPr>
      </w:pPr>
      <w:r>
        <w:rPr>
          <w:rFonts w:ascii="Times New Roman" w:hAnsi="Times New Roman"/>
          <w:color w:val="000000"/>
          <w:spacing w:val="9"/>
          <w:sz w:val="23"/>
          <w:lang w:val="it-IT"/>
        </w:rPr>
        <w:t xml:space="preserve">hanno rispettivamente affrontato l'analisi dei profili concernenti l'applicazione della </w:t>
      </w:r>
      <w:r>
        <w:rPr>
          <w:rFonts w:ascii="Times New Roman" w:hAnsi="Times New Roman"/>
          <w:color w:val="000000"/>
          <w:spacing w:val="11"/>
          <w:sz w:val="23"/>
          <w:lang w:val="it-IT"/>
        </w:rPr>
        <w:t>normativa in materia di tutela dei dati personali e delle questioni di natura tecnico-</w:t>
      </w:r>
      <w:r>
        <w:rPr>
          <w:rFonts w:ascii="Times New Roman" w:hAnsi="Times New Roman"/>
          <w:color w:val="000000"/>
          <w:sz w:val="23"/>
          <w:lang w:val="it-IT"/>
        </w:rPr>
        <w:t>informatica;</w:t>
      </w:r>
    </w:p>
    <w:p w:rsidR="00814A77" w:rsidRDefault="00814A77" w:rsidP="00143F3F">
      <w:pPr>
        <w:spacing w:before="324" w:line="288" w:lineRule="auto"/>
        <w:ind w:left="144"/>
        <w:rPr>
          <w:rFonts w:ascii="Times New Roman" w:hAnsi="Times New Roman"/>
          <w:color w:val="000000"/>
          <w:spacing w:val="7"/>
          <w:sz w:val="23"/>
          <w:lang w:val="it-IT"/>
        </w:rPr>
      </w:pPr>
      <w:r>
        <w:rPr>
          <w:rFonts w:ascii="Times New Roman" w:hAnsi="Times New Roman"/>
          <w:color w:val="000000"/>
          <w:spacing w:val="7"/>
          <w:sz w:val="23"/>
          <w:lang w:val="it-IT"/>
        </w:rPr>
        <w:t xml:space="preserve">Tutto ciò premesso, all'esito del confronto preliminare svolto e delle risultanze dell'analisi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condotta dai tavoli tematici sopraindicati, le parti come sopra rappresentate</w:t>
      </w:r>
    </w:p>
    <w:p w:rsidR="00814A77" w:rsidRDefault="00814A77" w:rsidP="00143F3F">
      <w:pPr>
        <w:spacing w:before="324"/>
        <w:ind w:left="2736"/>
        <w:rPr>
          <w:rFonts w:ascii="Times New Roman" w:hAnsi="Times New Roman"/>
          <w:b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b/>
          <w:color w:val="000000"/>
          <w:spacing w:val="4"/>
          <w:sz w:val="23"/>
          <w:lang w:val="it-IT"/>
        </w:rPr>
        <w:t>CONVENGONO QUANTO SEGUE</w:t>
      </w:r>
    </w:p>
    <w:p w:rsidR="00814A77" w:rsidRDefault="00814A77" w:rsidP="00143F3F">
      <w:pPr>
        <w:spacing w:before="396" w:line="206" w:lineRule="auto"/>
        <w:ind w:left="4320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Art. i</w:t>
      </w:r>
    </w:p>
    <w:p w:rsidR="00814A77" w:rsidRDefault="00814A77" w:rsidP="00143F3F">
      <w:pPr>
        <w:spacing w:before="108" w:line="208" w:lineRule="auto"/>
        <w:ind w:left="4176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Obiettivi</w:t>
      </w:r>
    </w:p>
    <w:p w:rsidR="00814A77" w:rsidRDefault="00814A77" w:rsidP="00143F3F">
      <w:pPr>
        <w:numPr>
          <w:ilvl w:val="0"/>
          <w:numId w:val="10"/>
        </w:numPr>
        <w:tabs>
          <w:tab w:val="clear" w:pos="288"/>
          <w:tab w:val="decimal" w:pos="576"/>
        </w:tabs>
        <w:spacing w:before="72" w:line="290" w:lineRule="auto"/>
        <w:ind w:left="576" w:hanging="288"/>
        <w:jc w:val="both"/>
        <w:rPr>
          <w:rFonts w:ascii="Times New Roman" w:hAnsi="Times New Roman"/>
          <w:color w:val="000000"/>
          <w:spacing w:val="15"/>
          <w:sz w:val="23"/>
          <w:lang w:val="it-IT"/>
        </w:rPr>
      </w:pPr>
      <w:r>
        <w:rPr>
          <w:rFonts w:ascii="Times New Roman" w:hAnsi="Times New Roman"/>
          <w:color w:val="000000"/>
          <w:spacing w:val="15"/>
          <w:sz w:val="23"/>
          <w:lang w:val="it-IT"/>
        </w:rPr>
        <w:t xml:space="preserve">Il presente protocollo è finalizzato alla realizzazione di un sistema integrato di </w:t>
      </w:r>
      <w:r>
        <w:rPr>
          <w:rFonts w:ascii="Times New Roman" w:hAnsi="Times New Roman"/>
          <w:color w:val="000000"/>
          <w:spacing w:val="14"/>
          <w:sz w:val="23"/>
          <w:lang w:val="it-IT"/>
        </w:rPr>
        <w:t xml:space="preserve">videosorveglianza (tramite telecamere OCR) in ambito sovracomunale, mediante </w:t>
      </w:r>
      <w:r>
        <w:rPr>
          <w:rFonts w:ascii="Times New Roman" w:hAnsi="Times New Roman"/>
          <w:color w:val="000000"/>
          <w:sz w:val="23"/>
          <w:lang w:val="it-IT"/>
        </w:rPr>
        <w:t xml:space="preserve">l'integrazione delle informazioni relative ai transiti generate dai sistemi dei comuni aderenti </w:t>
      </w:r>
      <w:r>
        <w:rPr>
          <w:rFonts w:ascii="Times New Roman" w:hAnsi="Times New Roman"/>
          <w:color w:val="000000"/>
          <w:spacing w:val="8"/>
          <w:sz w:val="23"/>
          <w:lang w:val="it-IT"/>
        </w:rPr>
        <w:t xml:space="preserve">all'accordo, al fine di renderle accessibili agli organi di polizia statali e locali, per lo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>svolgimento delle finalità d'istituto.</w:t>
      </w:r>
    </w:p>
    <w:p w:rsidR="00814A77" w:rsidRDefault="00814A77" w:rsidP="00143F3F">
      <w:pPr>
        <w:numPr>
          <w:ilvl w:val="0"/>
          <w:numId w:val="10"/>
        </w:numPr>
        <w:tabs>
          <w:tab w:val="clear" w:pos="288"/>
          <w:tab w:val="decimal" w:pos="576"/>
        </w:tabs>
        <w:spacing w:line="288" w:lineRule="auto"/>
        <w:ind w:left="576" w:hanging="288"/>
        <w:jc w:val="both"/>
        <w:rPr>
          <w:rFonts w:ascii="Times New Roman" w:hAnsi="Times New Roman"/>
          <w:color w:val="000000"/>
          <w:spacing w:val="-1"/>
          <w:sz w:val="23"/>
          <w:lang w:val="it-IT"/>
        </w:rPr>
      </w:pPr>
      <w:r>
        <w:rPr>
          <w:rFonts w:ascii="Times New Roman" w:hAnsi="Times New Roman"/>
          <w:color w:val="000000"/>
          <w:spacing w:val="-1"/>
          <w:sz w:val="23"/>
          <w:lang w:val="it-IT"/>
        </w:rPr>
        <w:t xml:space="preserve">Il sistema operativo potrà costituire in futuro, ricorrendone i presupposti e previo assenso del </w:t>
      </w:r>
      <w:r>
        <w:rPr>
          <w:rFonts w:ascii="Times New Roman" w:hAnsi="Times New Roman"/>
          <w:color w:val="000000"/>
          <w:sz w:val="23"/>
          <w:lang w:val="it-IT"/>
        </w:rPr>
        <w:t xml:space="preserve">Ministero dell'Interno, oggetto di collegamento al Sistema Centralizzato Nazionale Targhe e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>Transiti (SCNTT).</w:t>
      </w:r>
    </w:p>
    <w:p w:rsidR="00814A77" w:rsidRDefault="00814A77" w:rsidP="00143F3F">
      <w:pPr>
        <w:spacing w:before="360" w:line="204" w:lineRule="auto"/>
        <w:ind w:left="4752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Art. 2</w:t>
      </w:r>
    </w:p>
    <w:p w:rsidR="00814A77" w:rsidRDefault="00814A77" w:rsidP="00143F3F">
      <w:pPr>
        <w:spacing w:before="72"/>
        <w:ind w:left="2088"/>
        <w:rPr>
          <w:rFonts w:ascii="Times New Roman" w:hAnsi="Times New Roman"/>
          <w:b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b/>
          <w:color w:val="000000"/>
          <w:spacing w:val="3"/>
          <w:sz w:val="23"/>
          <w:lang w:val="it-IT"/>
        </w:rPr>
        <w:t>Oggetto del protocollo e definizione degli impegni</w:t>
      </w:r>
    </w:p>
    <w:p w:rsidR="00814A77" w:rsidRDefault="00814A77" w:rsidP="00143F3F">
      <w:pPr>
        <w:numPr>
          <w:ilvl w:val="0"/>
          <w:numId w:val="11"/>
        </w:numPr>
        <w:tabs>
          <w:tab w:val="clear" w:pos="360"/>
          <w:tab w:val="decimal" w:pos="576"/>
        </w:tabs>
        <w:spacing w:before="36" w:line="288" w:lineRule="auto"/>
        <w:ind w:left="576" w:hanging="360"/>
        <w:jc w:val="both"/>
        <w:rPr>
          <w:rFonts w:ascii="Times New Roman" w:hAnsi="Times New Roman"/>
          <w:color w:val="000000"/>
          <w:spacing w:val="6"/>
          <w:sz w:val="23"/>
          <w:lang w:val="it-IT"/>
        </w:rPr>
      </w:pP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Gli enti aderenti al protocollo manifestano il loro interesse ed assenso preliminare alla </w:t>
      </w: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prosecuzione dell'iniziativa finalizzata all'integrazione e al raccordo territoriale dei sistemi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di videosorveglianza, di cui condividono finalità ed obiettivi.</w:t>
      </w:r>
    </w:p>
    <w:p w:rsidR="00814A77" w:rsidRDefault="00814A77" w:rsidP="00143F3F">
      <w:pPr>
        <w:numPr>
          <w:ilvl w:val="0"/>
          <w:numId w:val="11"/>
        </w:numPr>
        <w:tabs>
          <w:tab w:val="clear" w:pos="360"/>
          <w:tab w:val="decimal" w:pos="576"/>
          <w:tab w:val="left" w:pos="7200"/>
        </w:tabs>
        <w:spacing w:line="290" w:lineRule="auto"/>
        <w:ind w:left="576" w:hanging="360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A tale scopo si impegnano a collaborare per la definizione progressiva delle modalità di realizzazione del sistema di rete e per l'attuazione del progetto. Essi prendono atto delle risultanze delle analisi condotte dai tavoli tematici indicati in premessa e, in particolare, </w:t>
      </w: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manifestano di condividere, per la progettazione del sistema, i contenuti del documento </w:t>
      </w:r>
      <w:r>
        <w:rPr>
          <w:rFonts w:ascii="Times New Roman" w:hAnsi="Times New Roman"/>
          <w:color w:val="000000"/>
          <w:spacing w:val="17"/>
          <w:sz w:val="23"/>
          <w:lang w:val="it-IT"/>
        </w:rPr>
        <w:t xml:space="preserve">finale redatto in relazione ai profili tecnico -informatici, trasmesso a ciascuna </w:t>
      </w:r>
      <w:r>
        <w:rPr>
          <w:rFonts w:ascii="Times New Roman" w:hAnsi="Times New Roman"/>
          <w:color w:val="000000"/>
          <w:spacing w:val="7"/>
          <w:sz w:val="23"/>
          <w:lang w:val="it-IT"/>
        </w:rPr>
        <w:t>amministrazione (con protocollo Comune di Macerata n. del</w:t>
      </w:r>
      <w:r>
        <w:rPr>
          <w:rFonts w:ascii="Times New Roman" w:hAnsi="Times New Roman"/>
          <w:color w:val="000000"/>
          <w:spacing w:val="7"/>
          <w:sz w:val="23"/>
          <w:lang w:val="it-IT"/>
        </w:rPr>
        <w:tab/>
      </w:r>
      <w:r>
        <w:rPr>
          <w:rFonts w:ascii="Times New Roman" w:hAnsi="Times New Roman"/>
          <w:color w:val="000000"/>
          <w:spacing w:val="1"/>
          <w:sz w:val="23"/>
          <w:lang w:val="it-IT"/>
        </w:rPr>
        <w:t xml:space="preserve">), il quale, seppure non </w:t>
      </w:r>
      <w:r>
        <w:rPr>
          <w:rFonts w:ascii="Times New Roman" w:hAnsi="Times New Roman"/>
          <w:color w:val="000000"/>
          <w:spacing w:val="1"/>
          <w:sz w:val="23"/>
          <w:lang w:val="it-IT"/>
        </w:rPr>
        <w:br/>
      </w:r>
      <w:r>
        <w:rPr>
          <w:rFonts w:ascii="Times New Roman" w:hAnsi="Times New Roman"/>
          <w:color w:val="000000"/>
          <w:spacing w:val="3"/>
          <w:sz w:val="23"/>
          <w:lang w:val="it-IT"/>
        </w:rPr>
        <w:t>materialmente allegato, forma parte integrante del presente atto.</w:t>
      </w:r>
    </w:p>
    <w:p w:rsidR="00814A77" w:rsidRDefault="00814A77" w:rsidP="00143F3F">
      <w:pPr>
        <w:numPr>
          <w:ilvl w:val="0"/>
          <w:numId w:val="11"/>
        </w:numPr>
        <w:tabs>
          <w:tab w:val="clear" w:pos="360"/>
          <w:tab w:val="decimal" w:pos="576"/>
        </w:tabs>
        <w:spacing w:line="288" w:lineRule="auto"/>
        <w:ind w:left="576" w:hanging="360"/>
        <w:jc w:val="both"/>
        <w:rPr>
          <w:rFonts w:ascii="Times New Roman" w:hAnsi="Times New Roman"/>
          <w:color w:val="000000"/>
          <w:spacing w:val="13"/>
          <w:sz w:val="23"/>
          <w:lang w:val="it-IT"/>
        </w:rPr>
      </w:pPr>
      <w:r>
        <w:rPr>
          <w:rFonts w:ascii="Times New Roman" w:hAnsi="Times New Roman"/>
          <w:color w:val="000000"/>
          <w:spacing w:val="13"/>
          <w:sz w:val="23"/>
          <w:lang w:val="it-IT"/>
        </w:rPr>
        <w:t xml:space="preserve">Il Comune di Macerata viene individuato quale soggetto referente del progetto di </w:t>
      </w:r>
      <w:r>
        <w:rPr>
          <w:rFonts w:ascii="Times New Roman" w:hAnsi="Times New Roman"/>
          <w:color w:val="000000"/>
          <w:spacing w:val="8"/>
          <w:sz w:val="23"/>
          <w:lang w:val="it-IT"/>
        </w:rPr>
        <w:t xml:space="preserve">integrazione e raccordo, con funzioni di coordinamento dell'iniziativa e delle attività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istruttorie necessarie alla sua realizzazione, i cui risultati saranno sottoposti all'attenzione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degli enti aderenti al protocollo, per l'assunzione delle conseguenti decisioni.</w:t>
      </w:r>
    </w:p>
    <w:p w:rsidR="00814A77" w:rsidRDefault="00814A77" w:rsidP="00143F3F">
      <w:pPr>
        <w:numPr>
          <w:ilvl w:val="0"/>
          <w:numId w:val="11"/>
        </w:numPr>
        <w:tabs>
          <w:tab w:val="clear" w:pos="360"/>
          <w:tab w:val="decimal" w:pos="576"/>
        </w:tabs>
        <w:spacing w:line="288" w:lineRule="auto"/>
        <w:ind w:left="576" w:hanging="360"/>
        <w:jc w:val="both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In ogni caso, le parti rinviano ad un successivo accordo la definizione degli oneri finanziari </w:t>
      </w:r>
      <w:r>
        <w:rPr>
          <w:rFonts w:ascii="Times New Roman" w:hAnsi="Times New Roman"/>
          <w:color w:val="000000"/>
          <w:spacing w:val="9"/>
          <w:sz w:val="23"/>
          <w:lang w:val="it-IT"/>
        </w:rPr>
        <w:t xml:space="preserve">e degli impegni finali relativi alla creazione del sistema integrato e l'individuazione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>dell'ente o degli enti capofila per l'attuazione del progetto.</w:t>
      </w:r>
    </w:p>
    <w:p w:rsidR="00814A77" w:rsidRDefault="00814A77" w:rsidP="00143F3F">
      <w:pPr>
        <w:spacing w:line="206" w:lineRule="auto"/>
        <w:ind w:left="4752"/>
        <w:rPr>
          <w:rFonts w:ascii="Times New Roman" w:hAnsi="Times New Roman"/>
          <w:b/>
          <w:color w:val="000000"/>
          <w:sz w:val="23"/>
          <w:lang w:val="it-IT"/>
        </w:rPr>
      </w:pPr>
    </w:p>
    <w:p w:rsidR="00814A77" w:rsidRDefault="00814A77" w:rsidP="00143F3F">
      <w:pPr>
        <w:spacing w:line="206" w:lineRule="auto"/>
        <w:ind w:left="4752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Art. 3</w:t>
      </w:r>
    </w:p>
    <w:p w:rsidR="00814A77" w:rsidRDefault="00814A77" w:rsidP="00143F3F">
      <w:pPr>
        <w:spacing w:before="612" w:line="264" w:lineRule="auto"/>
        <w:rPr>
          <w:rFonts w:ascii="Times New Roman" w:hAnsi="Times New Roman"/>
          <w:b/>
          <w:color w:val="000000"/>
          <w:spacing w:val="3"/>
          <w:sz w:val="23"/>
          <w:lang w:val="it-IT"/>
        </w:rPr>
      </w:pPr>
      <w:r>
        <w:rPr>
          <w:rFonts w:ascii="Times New Roman" w:hAnsi="Times New Roman"/>
          <w:b/>
          <w:color w:val="000000"/>
          <w:spacing w:val="3"/>
          <w:sz w:val="23"/>
          <w:lang w:val="it-IT"/>
        </w:rPr>
        <w:t>Tutela dei dati personali e parere del Garante per la protezione dei dati personali</w:t>
      </w:r>
    </w:p>
    <w:p w:rsidR="00814A77" w:rsidRDefault="00814A77" w:rsidP="00143F3F">
      <w:pPr>
        <w:numPr>
          <w:ilvl w:val="0"/>
          <w:numId w:val="12"/>
        </w:numPr>
        <w:tabs>
          <w:tab w:val="clear" w:pos="288"/>
          <w:tab w:val="decimal" w:pos="720"/>
        </w:tabs>
        <w:spacing w:before="216" w:line="290" w:lineRule="auto"/>
        <w:ind w:left="360" w:right="72" w:firstLine="72"/>
        <w:jc w:val="both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Nella realizzazione e nell'esecuzione del progetto i Comuni si impegnano a rispettare la </w:t>
      </w: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disciplina sulla tutela dei dati personali, ed in particolare ad osservare quanto previsto dal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Regolamento UE n. 679/2016 (cd. GDPR), dal conseguente d.lgs. 10 agosto 2018, n. </w:t>
      </w:r>
      <w:r>
        <w:rPr>
          <w:rFonts w:ascii="Times New Roman" w:hAnsi="Times New Roman"/>
          <w:b/>
          <w:color w:val="000000"/>
          <w:spacing w:val="4"/>
          <w:sz w:val="23"/>
          <w:lang w:val="it-IT"/>
        </w:rPr>
        <w:t xml:space="preserve">101,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di adeguamento del cd. "Codice privacy" (d.lgs. 30 giugno 2003, n. 196), e dal decreto legislativo </w:t>
      </w:r>
      <w:r>
        <w:rPr>
          <w:rFonts w:ascii="Times New Roman" w:hAnsi="Times New Roman"/>
          <w:color w:val="000000"/>
          <w:spacing w:val="7"/>
          <w:sz w:val="23"/>
          <w:lang w:val="it-IT"/>
        </w:rPr>
        <w:t xml:space="preserve">18 maggio 2018, n.51 recante l' "Attuazione della direttiva (UE) 2016/680 del Parlamento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europeo e del Consiglio del 27 aprile 2016, relativa alla protezione delle persone fisiche con </w:t>
      </w:r>
      <w:r>
        <w:rPr>
          <w:rFonts w:ascii="Times New Roman" w:hAnsi="Times New Roman"/>
          <w:color w:val="000000"/>
          <w:spacing w:val="14"/>
          <w:sz w:val="23"/>
          <w:lang w:val="it-IT"/>
        </w:rPr>
        <w:t xml:space="preserve">riguardo al trattamento dei dati personali da parte delle autorità competenti a fini di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 xml:space="preserve">prevenzione, indagine, accertamento e perseguimento di reati o esecuzione di sanzioni penali,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nonché alla libera circolazione di tali dati e che abroga la decisione quadro 2008/977/GAI del </w:t>
      </w:r>
      <w:r>
        <w:rPr>
          <w:rFonts w:ascii="Times New Roman" w:hAnsi="Times New Roman"/>
          <w:color w:val="000000"/>
          <w:spacing w:val="1"/>
          <w:sz w:val="23"/>
          <w:lang w:val="it-IT"/>
        </w:rPr>
        <w:t xml:space="preserve">Consiglio; ad approvare ed aggiornare, secondo criteri condivisi di omogeneità e di adeguatezza </w:t>
      </w:r>
      <w:r>
        <w:rPr>
          <w:rFonts w:ascii="Times New Roman" w:hAnsi="Times New Roman"/>
          <w:color w:val="000000"/>
          <w:spacing w:val="19"/>
          <w:sz w:val="23"/>
          <w:lang w:val="it-IT"/>
        </w:rPr>
        <w:t xml:space="preserve">rispetto al presente progetto, la rispettiva disciplina regolamentare in materia di </w:t>
      </w:r>
      <w:r>
        <w:rPr>
          <w:rFonts w:ascii="Times New Roman" w:hAnsi="Times New Roman"/>
          <w:color w:val="000000"/>
          <w:spacing w:val="-1"/>
          <w:sz w:val="23"/>
          <w:lang w:val="it-IT"/>
        </w:rPr>
        <w:t xml:space="preserve">videosorveglianza e i relativi protocolli d'intesa con le Forze di polizia; e, infine, ad assicurare la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predisposizione di comuni ed adeguate misure tecniche, organizzative e di sicurezza da riportare </w:t>
      </w: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nei rispettivi registri dei trattamenti e volte a garantire la corretta e piena attuazione della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 xml:space="preserve">disciplina sul trattamento dei dati personali, a partire dai principi di responsabilizzazione e di </w:t>
      </w:r>
      <w:r>
        <w:rPr>
          <w:rFonts w:ascii="Times New Roman" w:hAnsi="Times New Roman"/>
          <w:i/>
          <w:color w:val="000000"/>
          <w:spacing w:val="4"/>
          <w:sz w:val="23"/>
          <w:lang w:val="it-IT"/>
        </w:rPr>
        <w:t xml:space="preserve">privacy by design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e </w:t>
      </w:r>
      <w:r>
        <w:rPr>
          <w:rFonts w:ascii="Times New Roman" w:hAnsi="Times New Roman"/>
          <w:i/>
          <w:color w:val="000000"/>
          <w:spacing w:val="4"/>
          <w:sz w:val="23"/>
          <w:lang w:val="it-IT"/>
        </w:rPr>
        <w:t>privacy by default.</w:t>
      </w:r>
    </w:p>
    <w:p w:rsidR="00814A77" w:rsidRDefault="00814A77" w:rsidP="00143F3F">
      <w:pPr>
        <w:numPr>
          <w:ilvl w:val="0"/>
          <w:numId w:val="12"/>
        </w:numPr>
        <w:tabs>
          <w:tab w:val="clear" w:pos="288"/>
          <w:tab w:val="decimal" w:pos="720"/>
        </w:tabs>
        <w:spacing w:before="216" w:line="288" w:lineRule="auto"/>
        <w:ind w:left="360" w:right="72" w:firstLine="72"/>
        <w:jc w:val="both"/>
        <w:rPr>
          <w:rFonts w:ascii="Times New Roman" w:hAnsi="Times New Roman"/>
          <w:color w:val="000000"/>
          <w:spacing w:val="5"/>
          <w:sz w:val="23"/>
          <w:lang w:val="it-IT"/>
        </w:rPr>
      </w:pP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A tal fine, considerate la novità del progetto e l'esigenza di adottare misure tecniche ed </w:t>
      </w:r>
      <w:r>
        <w:rPr>
          <w:rFonts w:ascii="Times New Roman" w:hAnsi="Times New Roman"/>
          <w:color w:val="000000"/>
          <w:sz w:val="23"/>
          <w:lang w:val="it-IT"/>
        </w:rPr>
        <w:t xml:space="preserve">organizzative che riducano o comunque consentano di attenuare i rischi di impatto elevato sulla </w:t>
      </w:r>
      <w:r>
        <w:rPr>
          <w:rFonts w:ascii="Times New Roman" w:hAnsi="Times New Roman"/>
          <w:color w:val="000000"/>
          <w:spacing w:val="11"/>
          <w:sz w:val="23"/>
          <w:lang w:val="it-IT"/>
        </w:rPr>
        <w:t xml:space="preserve">protezione dei dati personali, i Comuni si impegnano a procedere congiuntamente alla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consultazione preventiva del Garante per la protezione dei dati personali, secondo la procedura </w:t>
      </w:r>
      <w:r>
        <w:rPr>
          <w:rFonts w:ascii="Times New Roman" w:hAnsi="Times New Roman"/>
          <w:color w:val="000000"/>
          <w:spacing w:val="6"/>
          <w:sz w:val="23"/>
          <w:lang w:val="it-IT"/>
        </w:rPr>
        <w:t xml:space="preserve">indicata nell'art. 36 del GDPR e nell'art. 24 del d.lgs. n. 51/2018, e, conseguentemente, ad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applicare in modo coordinato le eventuali indicazioni provenienti dal Garante.</w:t>
      </w:r>
    </w:p>
    <w:p w:rsidR="00814A77" w:rsidRDefault="00814A77" w:rsidP="00143F3F">
      <w:pPr>
        <w:numPr>
          <w:ilvl w:val="0"/>
          <w:numId w:val="12"/>
        </w:numPr>
        <w:tabs>
          <w:tab w:val="clear" w:pos="288"/>
          <w:tab w:val="decimal" w:pos="720"/>
        </w:tabs>
        <w:spacing w:before="216" w:line="290" w:lineRule="auto"/>
        <w:ind w:left="360" w:right="72" w:firstLine="72"/>
        <w:jc w:val="both"/>
        <w:rPr>
          <w:rFonts w:ascii="Times New Roman" w:hAnsi="Times New Roman"/>
          <w:color w:val="000000"/>
          <w:spacing w:val="2"/>
          <w:sz w:val="23"/>
          <w:lang w:val="it-IT"/>
        </w:rPr>
      </w:pPr>
      <w:r>
        <w:rPr>
          <w:rFonts w:ascii="Times New Roman" w:hAnsi="Times New Roman"/>
          <w:color w:val="000000"/>
          <w:spacing w:val="2"/>
          <w:sz w:val="23"/>
          <w:lang w:val="it-IT"/>
        </w:rPr>
        <w:t xml:space="preserve">Il perseguimento di tali obiettivi sarà assicurato dai Comuni secondo modalità coordinate, con </w:t>
      </w:r>
      <w:r>
        <w:rPr>
          <w:rFonts w:ascii="Times New Roman" w:hAnsi="Times New Roman"/>
          <w:color w:val="000000"/>
          <w:spacing w:val="-1"/>
          <w:sz w:val="23"/>
          <w:lang w:val="it-IT"/>
        </w:rPr>
        <w:t xml:space="preserve">il supporto di soggetti individuati mediante procedure condivise e dotati di sicura e sperimentata </w:t>
      </w: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competenza nei settori rispettivamente della protezione dei dati personali e della predisposizione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e gestione dei sistemi di videosorveglianza, e, secondo quando previsto dalla vigente normativa, in collaborazione con i rispettivi Responsabili per la protezione dei dati personali (cd. DPO).</w:t>
      </w:r>
    </w:p>
    <w:p w:rsidR="00814A77" w:rsidRDefault="00814A77" w:rsidP="00143F3F">
      <w:pPr>
        <w:spacing w:before="540" w:line="290" w:lineRule="auto"/>
        <w:jc w:val="center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 xml:space="preserve">Art. 4 </w:t>
      </w:r>
      <w:r>
        <w:rPr>
          <w:rFonts w:ascii="Times New Roman" w:hAnsi="Times New Roman"/>
          <w:b/>
          <w:color w:val="000000"/>
          <w:sz w:val="23"/>
          <w:lang w:val="it-IT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it-IT"/>
        </w:rPr>
        <w:t>Durata del protocollo e adesione successiva</w:t>
      </w:r>
    </w:p>
    <w:p w:rsidR="00814A77" w:rsidRDefault="00814A77" w:rsidP="00143F3F">
      <w:pPr>
        <w:numPr>
          <w:ilvl w:val="0"/>
          <w:numId w:val="13"/>
        </w:numPr>
        <w:tabs>
          <w:tab w:val="clear" w:pos="1440"/>
          <w:tab w:val="decimal" w:pos="1512"/>
        </w:tabs>
        <w:spacing w:before="324" w:line="288" w:lineRule="auto"/>
        <w:ind w:left="360" w:right="72" w:hanging="288"/>
        <w:jc w:val="both"/>
        <w:rPr>
          <w:rFonts w:ascii="Times New Roman" w:hAnsi="Times New Roman"/>
          <w:color w:val="000000"/>
          <w:spacing w:val="11"/>
          <w:sz w:val="23"/>
          <w:lang w:val="it-IT"/>
        </w:rPr>
      </w:pPr>
      <w:r>
        <w:rPr>
          <w:rFonts w:ascii="Times New Roman" w:hAnsi="Times New Roman"/>
          <w:color w:val="000000"/>
          <w:spacing w:val="11"/>
          <w:sz w:val="23"/>
          <w:lang w:val="it-IT"/>
        </w:rPr>
        <w:t xml:space="preserve">Il presente protocollo resta in vigore fino alla definizione delle modalità di </w:t>
      </w:r>
      <w:r>
        <w:rPr>
          <w:rFonts w:ascii="Times New Roman" w:hAnsi="Times New Roman"/>
          <w:color w:val="000000"/>
          <w:spacing w:val="5"/>
          <w:sz w:val="23"/>
          <w:lang w:val="it-IT"/>
        </w:rPr>
        <w:t xml:space="preserve">realizzazione del sistema integrato e all'adozione del successivo accordo attuativo di cui all'art. </w:t>
      </w:r>
      <w:r>
        <w:rPr>
          <w:rFonts w:ascii="Times New Roman" w:hAnsi="Times New Roman"/>
          <w:color w:val="000000"/>
          <w:spacing w:val="3"/>
          <w:sz w:val="23"/>
          <w:lang w:val="it-IT"/>
        </w:rPr>
        <w:t>2, comma 4, e, in ogni caso, per il termine massimo di due anni.</w:t>
      </w:r>
    </w:p>
    <w:p w:rsidR="00814A77" w:rsidRDefault="00814A77" w:rsidP="00143F3F">
      <w:pPr>
        <w:numPr>
          <w:ilvl w:val="0"/>
          <w:numId w:val="13"/>
        </w:numPr>
        <w:tabs>
          <w:tab w:val="clear" w:pos="1440"/>
          <w:tab w:val="decimal" w:pos="1512"/>
        </w:tabs>
        <w:ind w:left="360" w:hanging="288"/>
        <w:jc w:val="both"/>
        <w:rPr>
          <w:rFonts w:ascii="Times New Roman" w:hAnsi="Times New Roman"/>
          <w:color w:val="000000"/>
          <w:spacing w:val="31"/>
          <w:sz w:val="23"/>
          <w:lang w:val="it-IT"/>
        </w:rPr>
      </w:pPr>
      <w:r>
        <w:rPr>
          <w:rFonts w:ascii="Times New Roman" w:hAnsi="Times New Roman"/>
          <w:color w:val="000000"/>
          <w:spacing w:val="31"/>
          <w:sz w:val="23"/>
          <w:lang w:val="it-IT"/>
        </w:rPr>
        <w:t>Il protocollo è aperto all'adesione di altri comuni.</w:t>
      </w:r>
    </w:p>
    <w:p w:rsidR="00814A77" w:rsidRDefault="00814A77" w:rsidP="00143F3F">
      <w:pPr>
        <w:spacing w:before="324" w:line="290" w:lineRule="auto"/>
        <w:jc w:val="center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 xml:space="preserve">Art. 5 </w:t>
      </w:r>
      <w:r>
        <w:rPr>
          <w:rFonts w:ascii="Times New Roman" w:hAnsi="Times New Roman"/>
          <w:b/>
          <w:color w:val="000000"/>
          <w:sz w:val="23"/>
          <w:lang w:val="it-IT"/>
        </w:rPr>
        <w:br/>
      </w:r>
      <w:r>
        <w:rPr>
          <w:rFonts w:ascii="Times New Roman" w:hAnsi="Times New Roman"/>
          <w:b/>
          <w:color w:val="000000"/>
          <w:spacing w:val="3"/>
          <w:sz w:val="23"/>
          <w:lang w:val="it-IT"/>
        </w:rPr>
        <w:t>Coinvolgimento delle Prefetture e delle Forza di Polizia</w:t>
      </w:r>
    </w:p>
    <w:p w:rsidR="00814A77" w:rsidRDefault="00814A77" w:rsidP="00DD0E95">
      <w:pPr>
        <w:spacing w:line="275" w:lineRule="exact"/>
        <w:ind w:left="180"/>
        <w:rPr>
          <w:rFonts w:ascii="Times New Roman" w:hAnsi="Times New Roman"/>
          <w:color w:val="000000"/>
          <w:spacing w:val="4"/>
          <w:sz w:val="23"/>
          <w:lang w:val="it-IT"/>
        </w:rPr>
      </w:pPr>
      <w:r>
        <w:rPr>
          <w:rFonts w:ascii="Times New Roman" w:hAnsi="Times New Roman"/>
          <w:color w:val="000000"/>
          <w:spacing w:val="4"/>
          <w:sz w:val="23"/>
          <w:lang w:val="it-IT"/>
        </w:rPr>
        <w:t xml:space="preserve">1. Per l'attuazione delle finalità del sistema il presente protocollo è trasmesso alle Prefetture, alle Questure e ai Comandi Provinciali dei Carabinieri competenti in relazione ai territori dei </w:t>
      </w:r>
      <w:r>
        <w:rPr>
          <w:rFonts w:ascii="Times New Roman" w:hAnsi="Times New Roman"/>
          <w:color w:val="000000"/>
          <w:spacing w:val="2"/>
          <w:sz w:val="23"/>
          <w:lang w:val="it-IT"/>
        </w:rPr>
        <w:t>Comuni aderenti.</w:t>
      </w:r>
    </w:p>
    <w:p w:rsidR="00814A77" w:rsidRDefault="00814A77" w:rsidP="002C3CD6">
      <w:pPr>
        <w:tabs>
          <w:tab w:val="decimal" w:pos="216"/>
          <w:tab w:val="decimal" w:pos="576"/>
        </w:tabs>
        <w:spacing w:before="72" w:line="293" w:lineRule="exact"/>
        <w:ind w:left="360"/>
        <w:rPr>
          <w:rFonts w:ascii="Times New Roman" w:hAnsi="Times New Roman"/>
          <w:color w:val="000000"/>
          <w:spacing w:val="7"/>
          <w:sz w:val="23"/>
          <w:lang w:val="it-IT"/>
        </w:rPr>
      </w:pPr>
    </w:p>
    <w:sectPr w:rsidR="00814A77" w:rsidSect="002C3CD6">
      <w:type w:val="continuous"/>
      <w:pgSz w:w="11918" w:h="16854"/>
      <w:pgMar w:top="719" w:right="1077" w:bottom="1404" w:left="1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1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6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2974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1440"/>
        </w:tabs>
        <w:ind w:left="720"/>
      </w:pPr>
      <w:rPr>
        <w:rFonts w:ascii="Times New Roman" w:hAnsi="Times New Roman" w:cs="Times New Roman"/>
        <w:strike w:val="0"/>
        <w:color w:val="000000"/>
        <w:spacing w:val="11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1B162B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9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17398C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80501B7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7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CC00623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EE65ED1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5F1F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5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DDC5EB2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75E1408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6B91F12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9B928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15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FD060EA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6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E6A"/>
    <w:rsid w:val="00080A87"/>
    <w:rsid w:val="000E2FEB"/>
    <w:rsid w:val="00143F3F"/>
    <w:rsid w:val="002C3CD6"/>
    <w:rsid w:val="00444E6A"/>
    <w:rsid w:val="00651285"/>
    <w:rsid w:val="006C4FFF"/>
    <w:rsid w:val="00732DAD"/>
    <w:rsid w:val="007E2461"/>
    <w:rsid w:val="00814A77"/>
    <w:rsid w:val="009058D2"/>
    <w:rsid w:val="00A4272D"/>
    <w:rsid w:val="00DD0E95"/>
    <w:rsid w:val="00DF2513"/>
    <w:rsid w:val="00F5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D2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2106</Words>
  <Characters>12008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comune</dc:title>
  <dc:subject/>
  <dc:creator/>
  <cp:keywords/>
  <dc:description/>
  <cp:lastModifiedBy>*</cp:lastModifiedBy>
  <cp:revision>2</cp:revision>
  <dcterms:created xsi:type="dcterms:W3CDTF">2020-01-09T11:46:00Z</dcterms:created>
  <dcterms:modified xsi:type="dcterms:W3CDTF">2020-01-09T11:46:00Z</dcterms:modified>
</cp:coreProperties>
</file>