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BA" w:rsidRDefault="008B40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40BA" w:rsidRDefault="00F4047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Schema di Convenzione per la </w:t>
      </w:r>
      <w:r>
        <w:rPr>
          <w:rFonts w:ascii="Arial" w:hAnsi="Arial" w:cs="Arial"/>
          <w:b/>
          <w:bCs/>
        </w:rPr>
        <w:t>CONCESSIONE IN GESTIONE DEL“CENTRO</w:t>
      </w:r>
    </w:p>
    <w:p w:rsidR="008B40BA" w:rsidRDefault="00F4047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ESTIVO COMUNALE” PERIODO </w:t>
      </w:r>
      <w:r w:rsidR="00AA4817">
        <w:rPr>
          <w:rFonts w:ascii="Arial" w:hAnsi="Arial" w:cs="Arial"/>
          <w:b/>
          <w:bCs/>
        </w:rPr>
        <w:t>luglio/agosto 2018</w:t>
      </w:r>
    </w:p>
    <w:p w:rsidR="008B40BA" w:rsidRDefault="00F4047E">
      <w:pPr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Tra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Il Comune di Cerreto di Spoleto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in persona del responsabile dell’Area Amministrativa Sig.ra Bocci Oriana che interviene in nome e per conto del Comune di Cerreto di Spoleto C.F. 84002490542;</w:t>
      </w:r>
    </w:p>
    <w:p w:rsidR="008B40BA" w:rsidRDefault="00F4047E">
      <w:pPr>
        <w:tabs>
          <w:tab w:val="left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  ________________________in persona del proprio rappresentante legale , Sig. _______________, con sede in  C.F./P. IVA     ______________________,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si conviene e stipula quanto segue:</w:t>
      </w:r>
    </w:p>
    <w:p w:rsidR="008B40BA" w:rsidRDefault="008B40BA">
      <w:pPr>
        <w:spacing w:after="0" w:line="240" w:lineRule="auto"/>
        <w:rPr>
          <w:rFonts w:ascii="Arial" w:hAnsi="Arial" w:cs="Arial"/>
          <w:b/>
          <w:bCs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1 - Oggetto</w:t>
      </w:r>
    </w:p>
    <w:p w:rsidR="008B40BA" w:rsidRDefault="00F4047E" w:rsidP="00AA4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Convenzione ha per oggetto la concessione in gestione di un Centro Estivo (d’ora in poi C.E.) per minori, da svolgersi presso</w:t>
      </w:r>
      <w:r w:rsidR="00AA4817">
        <w:rPr>
          <w:rFonts w:ascii="Times New Roman" w:hAnsi="Times New Roman" w:cs="Times New Roman"/>
          <w:sz w:val="24"/>
          <w:szCs w:val="24"/>
        </w:rPr>
        <w:t xml:space="preserve"> la </w:t>
      </w:r>
      <w:r w:rsidR="00AA4817">
        <w:rPr>
          <w:rFonts w:eastAsia="Times New Roman"/>
        </w:rPr>
        <w:t>palestra comunale ed i servizi annessi al piano terra dell’edificio scolastico adiacente,</w:t>
      </w:r>
      <w:r>
        <w:rPr>
          <w:rFonts w:ascii="Times New Roman" w:hAnsi="Times New Roman" w:cs="Times New Roman"/>
          <w:sz w:val="24"/>
          <w:szCs w:val="24"/>
        </w:rPr>
        <w:t xml:space="preserve"> che gestiscano le proprie attività in conformità alla normativa vigente in materia e favoriscano l’integrazione di bambini/ragazzi diversamente abili:</w:t>
      </w:r>
    </w:p>
    <w:p w:rsidR="008B40BA" w:rsidRDefault="00F4047E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centro estivo per bambini e ragazzi (6 – 16 anni)</w:t>
      </w:r>
      <w:r w:rsidR="00671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0BA" w:rsidRPr="0067159F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9F">
        <w:rPr>
          <w:rFonts w:ascii="Times New Roman" w:hAnsi="Times New Roman" w:cs="Times New Roman"/>
          <w:sz w:val="24"/>
          <w:szCs w:val="24"/>
        </w:rPr>
        <w:t>Il progetto dovrà quindi prevedere un’unica organizzazione gestionale relative alla conduzione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159F">
        <w:rPr>
          <w:rFonts w:ascii="Times New Roman" w:hAnsi="Times New Roman" w:cs="Times New Roman"/>
          <w:sz w:val="24"/>
          <w:szCs w:val="24"/>
        </w:rPr>
        <w:t>educativa, sportiva ed aggregativa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C0457" w:rsidRPr="00AC0457" w:rsidRDefault="00AC0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servizio dovrà essere svolto in conformità alla vigente normativa in materia, al presente contratto nonché all’offerta tecnica presentata in sede di gara.</w:t>
      </w:r>
    </w:p>
    <w:p w:rsidR="00AC0457" w:rsidRPr="00AC0457" w:rsidRDefault="00AC0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4AE" w:rsidRDefault="00FC4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2 - Utenza e tariffario rette di frequenza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Centro estivo si rivolge ai bambini in età di 6 -1</w:t>
      </w:r>
      <w:r w:rsidR="00FC44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anni, anche diversamente abili,</w:t>
      </w:r>
      <w:r w:rsidR="00CE6490">
        <w:rPr>
          <w:rFonts w:ascii="Times New Roman" w:hAnsi="Times New Roman" w:cs="Times New Roman"/>
          <w:sz w:val="24"/>
          <w:szCs w:val="24"/>
          <w:shd w:val="clear" w:color="auto" w:fill="6666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residenti nel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Cerreto di Spoleto. Possono essere iscritti anche minori non residenti.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bambini vengono suddivisi in gruppi prevalentemente omogenei per età.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L’utenza massima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accoglibile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pari ad un massimo di 30 unità ivi compresi i diversamente abili per un massimo di 2 unità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seguente prospetto sono riportate le rette settimanali di frequenza, stabilite dalla Giunta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Comunale: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54" w:type="dxa"/>
        <w:tblLook w:val="04A0"/>
      </w:tblPr>
      <w:tblGrid>
        <w:gridCol w:w="2041"/>
        <w:gridCol w:w="1941"/>
        <w:gridCol w:w="2000"/>
        <w:gridCol w:w="2070"/>
        <w:gridCol w:w="1802"/>
      </w:tblGrid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 settimana (frequenza almeno 3 su 5 giorni)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€ comprensiva di ogni onere (iva ecc)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carico del comune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carico dell’utente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Utenza massima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accoglibile</w:t>
            </w:r>
            <w:proofErr w:type="spellEnd"/>
          </w:p>
        </w:tc>
      </w:tr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singolo soggetto residente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AA4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AA4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AA4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28/30</w:t>
            </w:r>
          </w:p>
        </w:tc>
      </w:tr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singolo soggetto diversamente abile residente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1/2</w:t>
            </w:r>
          </w:p>
        </w:tc>
      </w:tr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singolo soggetto non residente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libera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Come disposto dalla ditta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libera</w:t>
            </w:r>
          </w:p>
        </w:tc>
      </w:tr>
    </w:tbl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 – Esecuzione del servizio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Il servizio, da svolgersi secondo l’articolazione progettuale presentata nell’offerta, sarà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attivo nei seguenti periodi nei giorni dal lunedì al venerdì: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</w:t>
      </w:r>
      <w:r w:rsidR="00AA4817">
        <w:rPr>
          <w:rFonts w:ascii="Times New Roman" w:hAnsi="Times New Roman" w:cs="Times New Roman"/>
          <w:sz w:val="24"/>
          <w:szCs w:val="24"/>
        </w:rPr>
        <w:t>________  luglio 2018 per 20 giorni effettivi</w:t>
      </w:r>
      <w:r>
        <w:rPr>
          <w:rFonts w:ascii="Times New Roman" w:hAnsi="Times New Roman" w:cs="Times New Roman"/>
          <w:sz w:val="24"/>
          <w:szCs w:val="24"/>
        </w:rPr>
        <w:t xml:space="preserve"> dalle ore 9,00 alle ore 13,30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Competono al Concessionario: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a) L’organizzazione e gestione del servizio nei seguenti periodi (dal lunedì al venerdì)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dalle ore 9.00 alle ore 13.30 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La gestione delle iscrizioni e l’incasso dei proventi derivanti dalle rette;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Il progetto completo di proposte motorie, sportive, educativo-aggregative ed operative,</w:t>
      </w:r>
    </w:p>
    <w:p w:rsidR="008B40BA" w:rsidRDefault="00AA4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4047E">
        <w:rPr>
          <w:rFonts w:ascii="Times New Roman" w:hAnsi="Times New Roman" w:cs="Times New Roman"/>
          <w:color w:val="000000"/>
          <w:sz w:val="24"/>
          <w:szCs w:val="24"/>
        </w:rPr>
        <w:t>) La gestione del personale amministrativo, educativo, di animazione (assunzione, formazione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prima dell’avvio del servizio, coordinamento e trattamento economico e fiscale);</w:t>
      </w:r>
    </w:p>
    <w:p w:rsidR="008B40BA" w:rsidRDefault="00AA4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4047E">
        <w:rPr>
          <w:rFonts w:ascii="Times New Roman" w:hAnsi="Times New Roman" w:cs="Times New Roman"/>
          <w:color w:val="000000"/>
          <w:sz w:val="24"/>
          <w:szCs w:val="24"/>
        </w:rPr>
        <w:t>) La fornitura e la gestione del materiale didattico di consumo e di attrezzi per le attività motorie ;</w:t>
      </w:r>
    </w:p>
    <w:p w:rsidR="008B40BA" w:rsidRDefault="00AA4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F4047E">
        <w:rPr>
          <w:rFonts w:ascii="Times New Roman" w:hAnsi="Times New Roman" w:cs="Times New Roman"/>
          <w:color w:val="000000"/>
          <w:sz w:val="24"/>
          <w:szCs w:val="24"/>
        </w:rPr>
        <w:t>) Gli incontri con i genitori e le comunicazioni alle famiglie durante il periodo di funzionamento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 centro;</w:t>
      </w:r>
    </w:p>
    <w:p w:rsidR="008B40BA" w:rsidRDefault="00AA4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4047E">
        <w:rPr>
          <w:rFonts w:ascii="Times New Roman" w:hAnsi="Times New Roman" w:cs="Times New Roman"/>
          <w:color w:val="000000"/>
          <w:sz w:val="24"/>
          <w:szCs w:val="24"/>
        </w:rPr>
        <w:t>) Le pulizie dei locali utilizzati per il Centro Estivo, con la fornitura del relativo materiale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occorrente;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 – Personale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educativo dovrà essere garantito in numero adeguato alle esigenze del servizio, al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 di garantire con la propria professionalità una costante efficienza dello stesso.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standard assistenziale educatore/bambini minimo richiesto è di 1/15,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del mantenimento dello standard minimo 1/15, il concessionario dovrà assicurare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sostituzione del personale assente a qualsiasi titolo entro 4 ore dal verificarsi della circostanza.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presenza di bambini diversamente abili, dovrà essere assicurata la figura di educatore di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sostegno commisurato alla gravità del singolo caso.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dell’inizio del servizio il Concessionario dovrà presentare al Comune  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l’elenco del personale impiegato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5 – Gestione delle iscrizioni – incasso rette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concerne le iscrizioni la gestione sarà organizzata come segue: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Raccolta schede di iscrizione con dati personali (e successiva consegna al Comune al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termine del C.E.)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Creazione della banca dati degli utenti che hanno formalizzato la domanda, sulla base della</w:t>
      </w:r>
    </w:p>
    <w:p w:rsidR="00877C19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degli iscritti, compilata dalla  </w:t>
      </w:r>
      <w:r w:rsidR="00877C19">
        <w:rPr>
          <w:rFonts w:ascii="Times New Roman" w:hAnsi="Times New Roman" w:cs="Times New Roman"/>
          <w:sz w:val="24"/>
          <w:szCs w:val="24"/>
        </w:rPr>
        <w:t>Ditta</w:t>
      </w:r>
      <w:r>
        <w:rPr>
          <w:rFonts w:ascii="Times New Roman" w:hAnsi="Times New Roman" w:cs="Times New Roman"/>
          <w:sz w:val="24"/>
          <w:szCs w:val="24"/>
        </w:rPr>
        <w:t>, completa delle tariffe da applicare per</w:t>
      </w:r>
      <w:r w:rsidR="00877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ciascuna iscrizione;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Individuazione di un referente incaricato di: contattare i genitori dei bambini iscritti, gestire 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pagamenti e rilasciare la relativa ricevuta, rendicontare al Comune le quote riscosse in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 alle tariffe approvate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B40BA" w:rsidRDefault="00877C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F4047E">
        <w:rPr>
          <w:rFonts w:ascii="Times New Roman" w:hAnsi="Times New Roman" w:cs="Times New Roman"/>
          <w:b/>
          <w:bCs/>
          <w:sz w:val="24"/>
          <w:szCs w:val="24"/>
        </w:rPr>
        <w:t xml:space="preserve"> – Riprese e fotografie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fotografie e riprese video relative ai minori il Concessionario dovrà provvedere a farsi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rilasciare autorizzazione scritta dai genitori.</w:t>
      </w:r>
    </w:p>
    <w:p w:rsidR="00574E00" w:rsidRDefault="0057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380"/>
      </w:tblGrid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Art. 7 – Oneri a carico della Amministrazione Comunale:</w:t>
            </w: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Comune si impegna ad erogare alla ditta aggiudicataria la somma:</w:t>
            </w: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74E00">
              <w:rPr>
                <w:rFonts w:ascii="Calibri" w:eastAsia="Times New Roman" w:hAnsi="Calibri" w:cstheme="minorHAnsi"/>
                <w:color w:val="000000"/>
                <w:lang w:eastAsia="it-IT"/>
              </w:rPr>
              <w:t>a)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 </w:t>
            </w:r>
            <w:r w:rsidR="00AA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€ 30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,00 settimanali per ogni utente </w:t>
            </w: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€ 50,00 settimanali per ogni utente diversamente abile </w:t>
            </w:r>
          </w:p>
        </w:tc>
      </w:tr>
    </w:tbl>
    <w:p w:rsidR="00574E00" w:rsidRDefault="0057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00" w:rsidRDefault="0057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 meglio dettagliata nel prospetto presentato in sede di gara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Comune si impegna e</w:t>
      </w:r>
      <w:r w:rsidR="00705A8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erogare al soggetto concessionario </w:t>
      </w:r>
      <w:r w:rsidR="00705A85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000000"/>
          <w:sz w:val="24"/>
          <w:szCs w:val="24"/>
        </w:rPr>
        <w:t>quota a carico dell’ente, quantificata i</w:t>
      </w:r>
      <w:r w:rsidR="007E6F1C">
        <w:rPr>
          <w:rFonts w:ascii="Times New Roman" w:hAnsi="Times New Roman" w:cs="Times New Roman"/>
          <w:color w:val="000000"/>
          <w:sz w:val="24"/>
          <w:szCs w:val="24"/>
        </w:rPr>
        <w:t>n un massimo di € 376</w:t>
      </w:r>
      <w:r w:rsidR="00877C19">
        <w:rPr>
          <w:rFonts w:ascii="Times New Roman" w:hAnsi="Times New Roman" w:cs="Times New Roman"/>
          <w:color w:val="000000"/>
          <w:sz w:val="24"/>
          <w:szCs w:val="24"/>
        </w:rPr>
        <w:t>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  consuntivo dietro presentazione di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regolare fattura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rendiconto ed elenco dei soggetti frequentanti il centro estivo corredato della quota versata dall’utente.</w:t>
      </w:r>
    </w:p>
    <w:p w:rsidR="0006251B" w:rsidRDefault="0006251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</w:t>
      </w:r>
      <w:r w:rsidR="00705A85">
        <w:rPr>
          <w:rFonts w:ascii="Times New Roman" w:hAnsi="Times New Roman" w:cs="Times New Roman"/>
          <w:color w:val="000000"/>
          <w:sz w:val="24"/>
          <w:szCs w:val="24"/>
        </w:rPr>
        <w:t>omune non provvederà in alcun caso al pagamento della quota parte a carico degli utenti.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189"/>
        <w:gridCol w:w="5491"/>
      </w:tblGrid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Art. 8</w:t>
            </w:r>
          </w:p>
        </w:tc>
      </w:tr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Concessionario si impegna a contrarre adeguata copertura assicurativa per i danni che possano</w:t>
            </w:r>
          </w:p>
        </w:tc>
      </w:tr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derivare al proprio personale o che questi causassero agli utenti, esonerando il Comune da ogni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responsabilità al riguardo, restando a completo ed esclusivo carico del soggetto aggiudicatario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ualsiasi risarcimento, senza diritto di rivalsa o di compensi da parte del Comune.</w:t>
            </w:r>
          </w:p>
        </w:tc>
      </w:tr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 polizza dovrà esplicitamente prevedere nel novero dei terzi i bambini frequentanti.</w:t>
            </w:r>
          </w:p>
        </w:tc>
      </w:tr>
      <w:tr w:rsidR="00574E00" w:rsidRPr="00574E00" w:rsidTr="00574E00">
        <w:trPr>
          <w:gridAfter w:val="1"/>
          <w:wAfter w:w="5491" w:type="dxa"/>
          <w:trHeight w:val="94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opia  della polizza assicurativa menzionata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dovrà essere consegnata all’Amministrazione Comunale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prima della stipula del contratto e comunque prima dell’inizio del servizio. La mancata presentazione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delle stesse sarà motiv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 di revoca dell’aggiudicazione.</w:t>
            </w:r>
          </w:p>
          <w:p w:rsidR="001D6828" w:rsidRPr="00574E00" w:rsidRDefault="001D6828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 </w:t>
            </w:r>
            <w:r w:rsidR="001D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Art.  9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VERIFICHE E CONTROLLI 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L'Amministrazione Comunale si riserva la facoltà, in qualsiasi momento essa lo ritenga </w:t>
            </w:r>
            <w:r w:rsidRPr="00574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necessario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senza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preavviso e con le modalità ritenute opportune, di effettuare controlli per verificare la rispondenza del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servizio offerto alle prescrizioni del presente contratto, nonché al progetto presentato in sede di gara. </w:t>
            </w:r>
          </w:p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verifiche e i controlli verteranno su: 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realizzazione del progetto presentato in sede di gara;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andamento delle attività;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operato degli animatori;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controllo del rispetto del rapporto educatore/bambini.</w:t>
            </w:r>
          </w:p>
        </w:tc>
      </w:tr>
      <w:tr w:rsidR="00574E00" w:rsidRPr="00574E00" w:rsidTr="00574E00">
        <w:trPr>
          <w:trHeight w:val="126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Il gestore si impegna ad agevolare i controlli dell’Amministrazione Comunale. Qualora si rilevassero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disfunzioni, anomalie nella gestione o nella realizzazione del progetto, o nell’operato del personale,</w:t>
            </w:r>
          </w:p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il gestore dovrà adeguarsi ai provvedimenti indicati e/o adottati dall’Amministrazione Comunale.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L’Amministrazione Comunale potrà procedere all’applicazione di penalità, così come indicato nel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presente Capitolato Speciale</w:t>
            </w:r>
            <w:r w:rsid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1D6828" w:rsidRDefault="001D6828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W w:w="107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80"/>
            </w:tblGrid>
            <w:tr w:rsidR="001D6828" w:rsidRPr="001D6828" w:rsidTr="001D6828">
              <w:trPr>
                <w:trHeight w:val="315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828" w:rsidRP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1D68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Art. 10 </w:t>
                  </w:r>
                  <w:r w:rsidRPr="001D68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– DIVIETO DI SUBAPPALTO </w:t>
                  </w:r>
                </w:p>
              </w:tc>
            </w:tr>
            <w:tr w:rsidR="001D6828" w:rsidRPr="001D6828" w:rsidTr="001D6828">
              <w:trPr>
                <w:trHeight w:val="315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D68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E’ vietato cedere o subappaltare il servizio assunto pena l’immediata risoluzione del contratto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1D6828" w:rsidRP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D68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</w:tbl>
          <w:p w:rsidR="001D6828" w:rsidRPr="00574E00" w:rsidRDefault="001D6828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Art. 11 </w:t>
            </w: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 PENALITA’ </w:t>
            </w:r>
          </w:p>
        </w:tc>
      </w:tr>
      <w:tr w:rsidR="001D6828" w:rsidRPr="001D6828" w:rsidTr="001D6828">
        <w:trPr>
          <w:trHeight w:val="157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Premesso che l'applicazione delle penali non esclude il diritto dell’Amministrazione a pretendere il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risarcimento dell’eventuale ulteriore danno, al verificarsi di inadempienze e violazioni delle norme 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contrattuali, qualora l’aggiudicatario non ottemperasse agli obblighi assunti, sia per quanto inerente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alla puntualità ed alla qualità, sia alla perfetta esecuzione del servizio, obblighi tutti che dovranno 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essere conformi al Progetto presentato dall’aggiudicatario in sede di offerta, saranno applicate, previa</w:t>
            </w:r>
          </w:p>
          <w:p w:rsidR="001D6828" w:rsidRP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contestazione, penali nella seguente misura: 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reiterati ritardi o uscite anticipate del personale impiegato nello svolgimento dei servizi: € 500,00 </w:t>
            </w:r>
          </w:p>
          <w:p w:rsidR="001D6828" w:rsidRPr="001D6828" w:rsidRDefault="001D6828" w:rsidP="001D6828">
            <w:pPr>
              <w:suppressAutoHyphens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 ogni violazione;</w:t>
            </w:r>
          </w:p>
        </w:tc>
      </w:tr>
      <w:tr w:rsidR="001D6828" w:rsidRPr="001D6828" w:rsidTr="001D6828">
        <w:trPr>
          <w:trHeight w:val="94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mancata sostituzione di operatori assenti ovvero ritardo nella sostituzione in conseguenza del </w:t>
            </w:r>
          </w:p>
          <w:p w:rsidR="001D6828" w:rsidRDefault="001D6828" w:rsidP="001D6828">
            <w:pPr>
              <w:pStyle w:val="Paragrafoelenco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quale si sia verificata una mancata copertura del servizio: € 500,00 per ogni operatore non 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sostituito e per ogni giorno di mancata sostituzione; </w:t>
            </w: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mancato rispetto della dotazione di personale: € 1.000,00 per ogni infrazione;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impiego di personale non qualificato (anche supplente): € 1.000,00 per ogni unità di personale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non qualificato, moltiplicata per i giorni di infrazione;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mancata sostituzione di operatore richiesta dall’Amministrazione per gravi motivi: € 500,00 per 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ogni giorno di mancata sostituzione; 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comportamenti degli operatori caratterizzati da imperizia o negligenza nei confronti dell’utenza e 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degli operatori coinvolti nel servizio: € 500,00 per ciascuna violazione; </w:t>
            </w: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inosservanza di leggi, regolamenti e disposizioni riguardanti il servizio svolto: € 1.000,00 per ogni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violazione.</w:t>
            </w: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D6828" w:rsidRPr="001D6828" w:rsidTr="001D6828">
        <w:trPr>
          <w:trHeight w:val="315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caso di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</w:t>
            </w: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sservizi ed inefficienze derivanti da fatti imputabili al gestore, non rientranti nelle tipologie 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sopra indicate, la misura delle penalità varierà, per ciascuna infrazione, da un minimo di € 500,00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(cinquecento euro) a un massimo di € 2.000,00 (duemila euro), a seconda della gravità dell’inadempienza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al protrarsi della situazione pregiudizievole, da valutarsi da parte del Comune a suo insindacabile giudizio,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ferma sempre restando la facoltà di risolvere il contratto. Le penali vengono applicate con la sola formalità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della previa contestazione scritta dell’inadempienza al soggetto aggiudicatario, da comunicarsi via PEC con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termine, salvo diversa e motivata indicazione della stazione appaltante, di dieci giorni dalla data di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ricevimento per la regolarizzazione dell’inadempienza contestata ovvero per le proprie controdeduzioni e 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giustificazioni. Decorso infruttuosamente tale termine, o qualora le giustificazioni non siano ritenute</w:t>
            </w:r>
          </w:p>
          <w:p w:rsidR="00B26B14" w:rsidRP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motivatamente accettabili, si provvederà</w:t>
            </w:r>
            <w:r w:rsid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 all’irrogazione della penale.</w:t>
            </w:r>
          </w:p>
        </w:tc>
      </w:tr>
      <w:tr w:rsidR="001D6828" w:rsidRPr="001D6828" w:rsidTr="001D6828">
        <w:trPr>
          <w:trHeight w:val="94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penali saranno applicate mediante trattenuta sull’importo delle fatture con emissione da parte 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dell’aggiudicatario di note di accredito sulle stesse per un importo pari alle penalità irrogate. o in caso</w:t>
            </w:r>
          </w:p>
          <w:p w:rsidR="001D6828" w:rsidRP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insufficienza, mediante prelievo dalla cauzione. </w:t>
            </w:r>
          </w:p>
        </w:tc>
      </w:tr>
    </w:tbl>
    <w:p w:rsidR="007E6F1C" w:rsidRPr="0067159F" w:rsidRDefault="007E6F1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66FFFF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680"/>
      </w:tblGrid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1C" w:rsidRDefault="007E6F1C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B26B14" w:rsidRP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Art.12...</w:t>
            </w: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Risoluzione e recesso</w:t>
            </w:r>
          </w:p>
        </w:tc>
      </w:tr>
      <w:tr w:rsidR="00B26B14" w:rsidRPr="00B26B14" w:rsidTr="00B26B14">
        <w:trPr>
          <w:trHeight w:val="252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Comune di Cerreto di Spoleto procederà alla risoluzione del contratto per gravi inadempimenti agli</w:t>
            </w:r>
          </w:p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obblighi contrattuali debitamente contestati all'Aggiudicatario; in tal caso il Responsabile competente </w:t>
            </w:r>
          </w:p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procederà alla formulazione, per iscritto, della contestazione degli addebiti all'Aggiudicatario </w:t>
            </w:r>
          </w:p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assegnandogli il termine di 15 (quindici) giorni naturali e consecutivi per la presentazione delle proprie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controdeduzioni (ovvero entro il termine minore in caso di inadempimenti di particolare rilevanza). 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Acquisite e valutate negativamente le predette controdeduzioni, ovvero scaduto il termine senza che 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l'Aggiudicatario abbia risposto,  il Comune procederà alla risoluzione del contratto, salvo il diritto al 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risarcimento del danno; tale risoluzione verrà formalmente dichiarata con apposito provvedimento</w:t>
            </w:r>
          </w:p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amministrativo motivato e comunicato all'Aggiudicatario con PEC.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 procederà inoltre alla risoluzione del contratto ai sensi dell’articolo 1456 del codice civile nei seguenti casi: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 inadempimento agli obblighi contrattuali debitamente contestato;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b. interruzione non motivata di servizio; </w:t>
            </w:r>
          </w:p>
        </w:tc>
      </w:tr>
      <w:tr w:rsidR="00B26B14" w:rsidRPr="00B26B14" w:rsidTr="00B26B1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 w:rsid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gravi deficienze e/o irregolarità nell’espletamento degli interventi e dei servizi che pregiudichino il </w:t>
            </w:r>
          </w:p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regolare svolgimento delle attività; 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d. perdita dei requisiti di moralità cui all’art. 80 del d.lgs. 50/2016;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e. la cessione del contratto;</w:t>
            </w:r>
          </w:p>
        </w:tc>
      </w:tr>
      <w:tr w:rsidR="00B26B14" w:rsidRPr="00B26B14" w:rsidTr="00B26B1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f. l’effettuazione di transazioni senza avvalersi di banche o della società Poste Italiane Spa, fatto salvo </w:t>
            </w:r>
          </w:p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quanto previsto dal comma 3 del citato art. 3 legge 13 agosto 2010, n. 136;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g. violazione ripetuta delle norme di sicurezza e prevenzione 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AA207B" w:rsidRDefault="00B26B14" w:rsidP="00AA207B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fallimento dell'Aggiudicatario;</w:t>
            </w:r>
          </w:p>
          <w:p w:rsidR="00AA207B" w:rsidRPr="00AA207B" w:rsidRDefault="00AA207B" w:rsidP="00AA207B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AA207B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inosservanza delle norme di legge relative al personale dipendente, mancata applicazione dei</w:t>
            </w:r>
          </w:p>
          <w:p w:rsidR="00B26B14" w:rsidRDefault="00B26B14" w:rsidP="00AA207B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contratti</w:t>
            </w:r>
            <w:r w:rsid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collettivi;</w:t>
            </w:r>
          </w:p>
          <w:p w:rsidR="00636908" w:rsidRPr="00636908" w:rsidRDefault="00636908" w:rsidP="00AA207B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636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l. non è prevista alcuna penalità in caso di non avvio dell’attività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 xml:space="preserve"> qualora </w:t>
            </w:r>
            <w:r w:rsidRPr="00636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 xml:space="preserve"> non vengono raggiunti</w:t>
            </w:r>
          </w:p>
          <w:p w:rsidR="00636908" w:rsidRDefault="00636908" w:rsidP="00636908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636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 xml:space="preserve"> almeno 10 iscritti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. In tal caso la comunicazione del mancato avvio dovrà essere comunicata</w:t>
            </w:r>
          </w:p>
          <w:p w:rsidR="00636908" w:rsidRDefault="00636908" w:rsidP="00636908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 xml:space="preserve"> tempestivamente, per iscritto, al protocollo comunale.</w:t>
            </w:r>
          </w:p>
          <w:p w:rsidR="00636908" w:rsidRPr="00636908" w:rsidRDefault="00636908" w:rsidP="00636908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12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In caso di risoluzione del contratto ogni maggiore costo derivante dallo svolgimento di attività da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parte di altre ditte, comprese le eventuali spese per atti e simili, resta a carico dell'Aggiudicatario,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salvo l’eventuale danno ulteriore. In tutti i casi di risoluzione del contratto per colpa dell'Aggiudicatario,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questi è tenuto al risarcimento di tutti i danni comunque derivanti o connessi al verificarsi  della causa </w:t>
            </w:r>
          </w:p>
          <w:p w:rsid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risoluzione.</w:t>
            </w:r>
          </w:p>
          <w:p w:rsidR="00AA207B" w:rsidRPr="00B26B14" w:rsidRDefault="00AA207B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12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Ai sensi dell’articolo 1, comma 13, del decreto legge 6 luglio 2012, n. 95, convertito con modificazioni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dalla legge 7 agosto 2012, n. 135, qualora nel corso della durata del contratto sopravvenisse una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Convenzione </w:t>
            </w:r>
            <w:proofErr w:type="spell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Consip</w:t>
            </w:r>
            <w:proofErr w:type="spell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 condizioni migliorative a quelle del contratto di cui alla presente procedura,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il Comune si riserva la facoltà di rinegoziare il contratto medesimo o di recedere dallo stesso alle </w:t>
            </w:r>
          </w:p>
          <w:p w:rsid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condizioni stabilite nel sopra richiamato articolo.</w:t>
            </w:r>
          </w:p>
          <w:p w:rsidR="00AA207B" w:rsidRPr="00B26B14" w:rsidRDefault="00AA207B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Per quanto non espressamente regolato nel presente contratto, relativamente alla disciplina della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risoluzione e del recesso dal contratto, trovano applicazione le disposizioni di cui agli artt. 1453 </w:t>
            </w:r>
          </w:p>
          <w:p w:rsid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 seguenti del codice civile.</w:t>
            </w:r>
          </w:p>
          <w:p w:rsidR="00AA207B" w:rsidRPr="00B26B14" w:rsidRDefault="00AA207B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 applica l’art. 110 comma 1 del Decreto Legislativo 18 aprile 2016 n. 50.</w:t>
            </w:r>
          </w:p>
        </w:tc>
      </w:tr>
    </w:tbl>
    <w:p w:rsidR="008B40BA" w:rsidRDefault="008B40BA" w:rsidP="00AA207B">
      <w:pPr>
        <w:pStyle w:val="corpotestoCarattereCarattere"/>
        <w:ind w:firstLine="0"/>
        <w:rPr>
          <w:rFonts w:ascii="Times New Roman" w:eastAsia="Times New Roman" w:hAnsi="Times New Roman" w:cs="Verdana"/>
          <w:b/>
          <w:bCs/>
          <w:color w:val="800000"/>
          <w:sz w:val="24"/>
          <w:szCs w:val="24"/>
          <w:lang w:eastAsia="it-IT"/>
        </w:rPr>
      </w:pPr>
    </w:p>
    <w:p w:rsidR="008B40BA" w:rsidRDefault="00F4047E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A207B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–tracciabilità dei flussi finanziari    </w:t>
      </w:r>
    </w:p>
    <w:p w:rsidR="008B40BA" w:rsidRDefault="00F4047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Il ______________________ assume l’obbligo di tracciabilità dei flussi finanziari di cui alla presente procedura ai sensi e per gli effetti dell’art. 3 della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legge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13 agosto 2010, n. 136, impegnandosi altresì alla comunicazione di cui al comma 7 del medesimo articolo.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Il ______________________  o il subcontraente che ha notizia dell'inadempimento della propria controparte agli obblighi di tracciabilità finanziaria di cui al presente articolo ne da' immediata comunicazione al Comune di Cerreto Spoleto e alla Prefettura-Ufficio territor</w:t>
      </w:r>
      <w:r w:rsidR="00AA2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iale del Governo della Provincia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di Perugia.</w:t>
      </w:r>
    </w:p>
    <w:p w:rsidR="008B40BA" w:rsidRDefault="00F4047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Ai fini della tracciabilità dei flussi finanziari di cui alla legge sopra richiamata, gli strumenti di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pagamento devono riportare il seguente  codice CIG:  ...................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0BA" w:rsidRDefault="00AA20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14</w:t>
      </w:r>
      <w:r w:rsidR="00F4047E">
        <w:rPr>
          <w:rFonts w:ascii="Times New Roman" w:hAnsi="Times New Roman" w:cs="Times New Roman"/>
          <w:b/>
          <w:bCs/>
          <w:sz w:val="24"/>
          <w:szCs w:val="24"/>
        </w:rPr>
        <w:t xml:space="preserve"> - Trattamento dei dati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dell’art.13 del D.Lgs.196/2003 (Codice in materia di protezione dei dati personali) il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Cerreto di Spoleto, in qualità di titolare del trattamento dei dati personali, informa che: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 dati personali forniti verranno gestiti nel completo rispetto dei principi dettati dal Codice in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 di protezione dei dati personali (D.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196/2003), e saranno trattati al solo fine di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permettere l’attivazione o la prosecuzione di rapporti in essere con il Comune.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il conferimento dei dati personali ha natura obbligatoria in quanto indispensabile per attivare il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procedimento;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 dati potranno essere comunicati ad altri enti in base alle disposizioni normative in vigore.</w:t>
      </w:r>
    </w:p>
    <w:p w:rsidR="008B40BA" w:rsidRDefault="00AA20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15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quanto non risulti contemplato nella presente convenzione, si fa esplicito rinvio alle leggi ed ai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regolamenti vigenti.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Cerreto di Spoleto, li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dell’Area Amministrativa</w:t>
      </w:r>
    </w:p>
    <w:p w:rsidR="008B40BA" w:rsidRDefault="00F4047E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Concessionario</w:t>
      </w: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6490" w:rsidSect="00446FC3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DB3"/>
    <w:multiLevelType w:val="hybridMultilevel"/>
    <w:tmpl w:val="0AD4D96E"/>
    <w:lvl w:ilvl="0" w:tplc="0410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1B77"/>
    <w:multiLevelType w:val="hybridMultilevel"/>
    <w:tmpl w:val="50FADA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7898"/>
    <w:multiLevelType w:val="multilevel"/>
    <w:tmpl w:val="61741162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DD814E4"/>
    <w:multiLevelType w:val="multilevel"/>
    <w:tmpl w:val="2DD49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A22505"/>
    <w:multiLevelType w:val="multilevel"/>
    <w:tmpl w:val="BF6067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6816"/>
    <w:multiLevelType w:val="hybridMultilevel"/>
    <w:tmpl w:val="8BC44F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1DDB"/>
    <w:multiLevelType w:val="hybridMultilevel"/>
    <w:tmpl w:val="30EC1A8A"/>
    <w:lvl w:ilvl="0" w:tplc="A1E8B06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40BA"/>
    <w:rsid w:val="0006251B"/>
    <w:rsid w:val="001427CA"/>
    <w:rsid w:val="001D6828"/>
    <w:rsid w:val="00446FC3"/>
    <w:rsid w:val="00574E00"/>
    <w:rsid w:val="00636908"/>
    <w:rsid w:val="0067159F"/>
    <w:rsid w:val="00705A85"/>
    <w:rsid w:val="007E6F1C"/>
    <w:rsid w:val="00877C19"/>
    <w:rsid w:val="008B40BA"/>
    <w:rsid w:val="00AA207B"/>
    <w:rsid w:val="00AA4817"/>
    <w:rsid w:val="00AC0457"/>
    <w:rsid w:val="00B26B14"/>
    <w:rsid w:val="00CE6490"/>
    <w:rsid w:val="00D12760"/>
    <w:rsid w:val="00D940EA"/>
    <w:rsid w:val="00F4047E"/>
    <w:rsid w:val="00FC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C3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46FC3"/>
    <w:rPr>
      <w:rFonts w:ascii="Verdana" w:eastAsia="Times New Roman" w:hAnsi="Verdana" w:cs="Verdana"/>
      <w:b/>
      <w:bCs/>
      <w:color w:val="800000"/>
      <w:sz w:val="22"/>
      <w:szCs w:val="22"/>
      <w:lang w:val="it-IT" w:eastAsia="it-IT" w:bidi="ar-SA"/>
    </w:rPr>
  </w:style>
  <w:style w:type="character" w:customStyle="1" w:styleId="WW8Num2z1">
    <w:name w:val="WW8Num2z1"/>
    <w:rsid w:val="00446FC3"/>
  </w:style>
  <w:style w:type="character" w:customStyle="1" w:styleId="WW8Num2z2">
    <w:name w:val="WW8Num2z2"/>
    <w:rsid w:val="00446FC3"/>
  </w:style>
  <w:style w:type="character" w:customStyle="1" w:styleId="WW8Num2z3">
    <w:name w:val="WW8Num2z3"/>
    <w:rsid w:val="00446FC3"/>
  </w:style>
  <w:style w:type="character" w:customStyle="1" w:styleId="WW8Num2z4">
    <w:name w:val="WW8Num2z4"/>
    <w:rsid w:val="00446FC3"/>
  </w:style>
  <w:style w:type="character" w:customStyle="1" w:styleId="WW8Num2z5">
    <w:name w:val="WW8Num2z5"/>
    <w:rsid w:val="00446FC3"/>
  </w:style>
  <w:style w:type="character" w:customStyle="1" w:styleId="WW8Num2z6">
    <w:name w:val="WW8Num2z6"/>
    <w:rsid w:val="00446FC3"/>
  </w:style>
  <w:style w:type="character" w:customStyle="1" w:styleId="WW8Num2z7">
    <w:name w:val="WW8Num2z7"/>
    <w:rsid w:val="00446FC3"/>
  </w:style>
  <w:style w:type="character" w:customStyle="1" w:styleId="WW8Num2z8">
    <w:name w:val="WW8Num2z8"/>
    <w:rsid w:val="00446FC3"/>
  </w:style>
  <w:style w:type="paragraph" w:styleId="Titolo">
    <w:name w:val="Title"/>
    <w:basedOn w:val="Normale"/>
    <w:next w:val="Corpodeltesto1"/>
    <w:rsid w:val="00446F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446FC3"/>
    <w:pPr>
      <w:spacing w:after="140" w:line="288" w:lineRule="auto"/>
    </w:pPr>
  </w:style>
  <w:style w:type="paragraph" w:styleId="Elenco">
    <w:name w:val="List"/>
    <w:basedOn w:val="Corpodeltesto1"/>
    <w:rsid w:val="00446FC3"/>
    <w:rPr>
      <w:rFonts w:cs="Mangal"/>
    </w:rPr>
  </w:style>
  <w:style w:type="paragraph" w:styleId="Didascalia">
    <w:name w:val="caption"/>
    <w:basedOn w:val="Normale"/>
    <w:rsid w:val="00446F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46FC3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D4E3E"/>
    <w:pPr>
      <w:ind w:left="720"/>
      <w:contextualSpacing/>
    </w:pPr>
  </w:style>
  <w:style w:type="paragraph" w:customStyle="1" w:styleId="corpotestoCarattereCarattere">
    <w:name w:val="corpo testo Carattere Carattere"/>
    <w:basedOn w:val="Normale"/>
    <w:rsid w:val="00446FC3"/>
    <w:pPr>
      <w:spacing w:before="100" w:after="100"/>
      <w:ind w:firstLine="567"/>
      <w:jc w:val="both"/>
    </w:pPr>
    <w:rPr>
      <w:rFonts w:ascii="Trebuchet MS" w:hAnsi="Trebuchet MS" w:cs="Trebuchet MS"/>
      <w:sz w:val="18"/>
    </w:rPr>
  </w:style>
  <w:style w:type="numbering" w:customStyle="1" w:styleId="WW8Num2">
    <w:name w:val="WW8Num2"/>
    <w:rsid w:val="00446FC3"/>
  </w:style>
  <w:style w:type="table" w:styleId="Grigliatabella">
    <w:name w:val="Table Grid"/>
    <w:basedOn w:val="Tabellanormale"/>
    <w:uiPriority w:val="59"/>
    <w:rsid w:val="00D30E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Times New Roman" w:hAnsi="Verdana" w:cs="Verdana"/>
      <w:b/>
      <w:bCs/>
      <w:color w:val="800000"/>
      <w:sz w:val="22"/>
      <w:szCs w:val="22"/>
      <w:lang w:val="it-IT" w:eastAsia="it-IT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D4E3E"/>
    <w:pPr>
      <w:ind w:left="720"/>
      <w:contextualSpacing/>
    </w:pPr>
  </w:style>
  <w:style w:type="paragraph" w:customStyle="1" w:styleId="corpotestoCarattereCarattere">
    <w:name w:val="corpo testo Carattere Carattere"/>
    <w:basedOn w:val="Normale"/>
    <w:pPr>
      <w:spacing w:before="100" w:after="100"/>
      <w:ind w:firstLine="567"/>
      <w:jc w:val="both"/>
    </w:pPr>
    <w:rPr>
      <w:rFonts w:ascii="Trebuchet MS" w:hAnsi="Trebuchet MS" w:cs="Trebuchet MS"/>
      <w:sz w:val="18"/>
    </w:rPr>
  </w:style>
  <w:style w:type="numbering" w:customStyle="1" w:styleId="WW8Num2">
    <w:name w:val="WW8Num2"/>
  </w:style>
  <w:style w:type="table" w:styleId="Grigliatabella">
    <w:name w:val="Table Grid"/>
    <w:basedOn w:val="Tabellanormale"/>
    <w:uiPriority w:val="59"/>
    <w:rsid w:val="00D30E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2018-06-14T10:52:00Z</dcterms:created>
  <dcterms:modified xsi:type="dcterms:W3CDTF">2018-06-14T11:20:00Z</dcterms:modified>
  <dc:language>it-IT</dc:language>
</cp:coreProperties>
</file>