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68" w:rsidRDefault="002C5B01">
      <w:r>
        <w:t>REGOLAMENTO COMUNALE  PER LA DISCIPLINA DELLA NUOVA IMU – IMPOSTA MUNICIPALE PROPRIA</w:t>
      </w:r>
      <w:r w:rsidR="003F1968">
        <w:t xml:space="preserve"> </w:t>
      </w:r>
    </w:p>
    <w:p w:rsidR="003F1968" w:rsidRDefault="003F1968"/>
    <w:p w:rsidR="002C5B01" w:rsidRPr="003F1968" w:rsidRDefault="003F1968" w:rsidP="003F1968">
      <w:pPr>
        <w:jc w:val="center"/>
        <w:rPr>
          <w:b/>
          <w:sz w:val="28"/>
          <w:szCs w:val="28"/>
        </w:rPr>
      </w:pPr>
      <w:r w:rsidRPr="003F1968">
        <w:rPr>
          <w:b/>
          <w:sz w:val="28"/>
          <w:szCs w:val="28"/>
        </w:rPr>
        <w:t xml:space="preserve">COMUNE DI </w:t>
      </w:r>
      <w:r w:rsidR="00A24C75">
        <w:rPr>
          <w:b/>
          <w:sz w:val="28"/>
          <w:szCs w:val="28"/>
        </w:rPr>
        <w:t>CERRETO DI SPOLETO</w:t>
      </w:r>
      <w:bookmarkStart w:id="0" w:name="_GoBack"/>
      <w:bookmarkEnd w:id="0"/>
    </w:p>
    <w:p w:rsidR="002C5B01" w:rsidRDefault="002C5B01"/>
    <w:p w:rsidR="000A4F19" w:rsidRDefault="000A4F19"/>
    <w:p w:rsidR="000A4F19" w:rsidRDefault="000A4F19"/>
    <w:p w:rsidR="000A4F19" w:rsidRDefault="000A4F19" w:rsidP="000A4F19">
      <w:pPr>
        <w:pStyle w:val="Sottotitolo"/>
        <w:pBdr>
          <w:bottom w:val="none" w:sz="0" w:space="0" w:color="auto"/>
        </w:pBdr>
        <w:rPr>
          <w:rFonts w:ascii="Times New Roman" w:hAnsi="Times New Roman"/>
          <w:b/>
          <w:sz w:val="24"/>
          <w:szCs w:val="24"/>
        </w:rPr>
      </w:pPr>
      <w:r>
        <w:rPr>
          <w:rFonts w:ascii="Times New Roman" w:hAnsi="Times New Roman"/>
          <w:b/>
          <w:sz w:val="24"/>
          <w:szCs w:val="24"/>
        </w:rPr>
        <w:t>Anno 2020</w:t>
      </w: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p>
    <w:p w:rsidR="000A4F19" w:rsidRDefault="000A4F19" w:rsidP="000A4F19">
      <w:pPr>
        <w:pStyle w:val="Sottotitolo"/>
        <w:pBdr>
          <w:bottom w:val="none" w:sz="0" w:space="0" w:color="auto"/>
        </w:pBdr>
        <w:rPr>
          <w:rFonts w:ascii="Times New Roman" w:hAnsi="Times New Roman"/>
          <w:b/>
          <w:sz w:val="24"/>
          <w:szCs w:val="24"/>
        </w:rPr>
      </w:pPr>
      <w:r>
        <w:rPr>
          <w:rFonts w:ascii="Times New Roman" w:hAnsi="Times New Roman"/>
          <w:b/>
          <w:sz w:val="24"/>
          <w:szCs w:val="24"/>
        </w:rPr>
        <w:t>Approvato con delibera del  Consiglio Comunale n. …. del __/__/2020</w:t>
      </w:r>
    </w:p>
    <w:p w:rsidR="000A4F19" w:rsidRDefault="000A4F19" w:rsidP="000A4F19">
      <w:pPr>
        <w:pStyle w:val="Sottotitolo"/>
        <w:pBdr>
          <w:bottom w:val="none" w:sz="0" w:space="0" w:color="auto"/>
        </w:pBdr>
        <w:jc w:val="left"/>
        <w:rPr>
          <w:rFonts w:ascii="Times New Roman" w:hAnsi="Times New Roman"/>
          <w:b/>
          <w:sz w:val="24"/>
          <w:szCs w:val="24"/>
        </w:rPr>
      </w:pPr>
    </w:p>
    <w:p w:rsidR="00F61563" w:rsidRDefault="00F61563"/>
    <w:p w:rsidR="000A4F19" w:rsidRDefault="000A4F19"/>
    <w:p w:rsidR="000A4F19" w:rsidRDefault="000A4F19"/>
    <w:p w:rsidR="000A4F19" w:rsidRDefault="000A4F19"/>
    <w:p w:rsidR="000A4F19" w:rsidRDefault="000A4F19"/>
    <w:p w:rsidR="000A4F19" w:rsidRDefault="000A4F19"/>
    <w:p w:rsidR="000A4F19" w:rsidRDefault="000A4F19"/>
    <w:p w:rsidR="000A4F19" w:rsidRDefault="000A4F19"/>
    <w:p w:rsidR="000A4F19" w:rsidRDefault="000A4F19"/>
    <w:p w:rsidR="000A4F19" w:rsidRDefault="000A4F19"/>
    <w:p w:rsidR="000A4F19" w:rsidRDefault="000A4F19"/>
    <w:p w:rsidR="000A4F19" w:rsidRDefault="000A4F19"/>
    <w:p w:rsidR="003F1968" w:rsidRDefault="003F1968"/>
    <w:p w:rsidR="000A4F19" w:rsidRDefault="000A4F19" w:rsidP="000A4F19">
      <w:pPr>
        <w:pStyle w:val="Titolo"/>
        <w:outlineLvl w:val="0"/>
        <w:rPr>
          <w:szCs w:val="24"/>
        </w:rPr>
      </w:pPr>
      <w:r>
        <w:rPr>
          <w:szCs w:val="24"/>
        </w:rPr>
        <w:lastRenderedPageBreak/>
        <w:t>INDICE</w:t>
      </w:r>
    </w:p>
    <w:p w:rsidR="000A4F19" w:rsidRDefault="000A4F19" w:rsidP="000A4F19">
      <w:pPr>
        <w:rPr>
          <w:szCs w:val="24"/>
        </w:rPr>
      </w:pPr>
    </w:p>
    <w:p w:rsidR="000A4F19" w:rsidRDefault="000A4F19" w:rsidP="000A4F19">
      <w:pPr>
        <w:pStyle w:val="Sommario1"/>
        <w:rPr>
          <w:b w:val="0"/>
          <w:szCs w:val="24"/>
        </w:rPr>
      </w:pPr>
      <w:r>
        <w:rPr>
          <w:b w:val="0"/>
          <w:szCs w:val="24"/>
        </w:rPr>
        <w:fldChar w:fldCharType="begin"/>
      </w:r>
      <w:r>
        <w:rPr>
          <w:b w:val="0"/>
          <w:szCs w:val="24"/>
        </w:rPr>
        <w:instrText xml:space="preserve"> TOC \o "1-3" </w:instrText>
      </w:r>
      <w:r>
        <w:rPr>
          <w:b w:val="0"/>
          <w:szCs w:val="24"/>
        </w:rPr>
        <w:fldChar w:fldCharType="separate"/>
      </w:r>
      <w:r>
        <w:rPr>
          <w:b w:val="0"/>
          <w:szCs w:val="24"/>
        </w:rPr>
        <w:t>Articolo 1 - Oggetto</w:t>
      </w:r>
      <w:r>
        <w:rPr>
          <w:b w:val="0"/>
          <w:szCs w:val="24"/>
        </w:rPr>
        <w:tab/>
        <w:t>3</w:t>
      </w:r>
    </w:p>
    <w:p w:rsidR="000A4F19" w:rsidRDefault="000A4F19" w:rsidP="000A4F19">
      <w:pPr>
        <w:pStyle w:val="Sommario1"/>
        <w:rPr>
          <w:b w:val="0"/>
          <w:szCs w:val="24"/>
        </w:rPr>
      </w:pPr>
      <w:r>
        <w:rPr>
          <w:b w:val="0"/>
          <w:szCs w:val="24"/>
        </w:rPr>
        <w:t>Articolo 2 - Determinazione dei valori venali per le aree fabbricabili</w:t>
      </w:r>
      <w:r>
        <w:rPr>
          <w:b w:val="0"/>
          <w:szCs w:val="24"/>
        </w:rPr>
        <w:tab/>
        <w:t>3</w:t>
      </w:r>
    </w:p>
    <w:p w:rsidR="000A4F19" w:rsidRDefault="000A4F19" w:rsidP="000A4F19">
      <w:pPr>
        <w:pStyle w:val="Sommario1"/>
        <w:rPr>
          <w:b w:val="0"/>
          <w:szCs w:val="24"/>
        </w:rPr>
      </w:pPr>
      <w:r>
        <w:rPr>
          <w:b w:val="0"/>
          <w:szCs w:val="24"/>
        </w:rPr>
        <w:t>Articolo 3 - Aree fabbricabili divenute inedificabili</w:t>
      </w:r>
      <w:r>
        <w:rPr>
          <w:b w:val="0"/>
          <w:szCs w:val="24"/>
        </w:rPr>
        <w:tab/>
        <w:t>4</w:t>
      </w:r>
    </w:p>
    <w:p w:rsidR="000A4F19" w:rsidRDefault="000A4F19" w:rsidP="000A4F19">
      <w:pPr>
        <w:pStyle w:val="Sommario1"/>
        <w:rPr>
          <w:b w:val="0"/>
          <w:szCs w:val="24"/>
        </w:rPr>
      </w:pPr>
      <w:r>
        <w:rPr>
          <w:b w:val="0"/>
          <w:szCs w:val="24"/>
        </w:rPr>
        <w:t>Articolo 4 – Abitazione posseduta a titolo di proprietà o di usufrutto da anziani o disabili che acquisiscono la residenza in istituti di ricovero o sanitari</w:t>
      </w:r>
      <w:r>
        <w:rPr>
          <w:b w:val="0"/>
          <w:szCs w:val="24"/>
        </w:rPr>
        <w:tab/>
        <w:t>4</w:t>
      </w:r>
    </w:p>
    <w:p w:rsidR="000A4F19" w:rsidRDefault="000A4F19" w:rsidP="000A4F19">
      <w:pPr>
        <w:pStyle w:val="Sommario1"/>
        <w:rPr>
          <w:b w:val="0"/>
          <w:szCs w:val="24"/>
        </w:rPr>
      </w:pPr>
      <w:r>
        <w:rPr>
          <w:b w:val="0"/>
          <w:szCs w:val="24"/>
        </w:rPr>
        <w:t>Articolo 5- Riduzione d'imposta per immobili inagibili ed inabitabili</w:t>
      </w:r>
      <w:r>
        <w:rPr>
          <w:b w:val="0"/>
          <w:szCs w:val="24"/>
        </w:rPr>
        <w:tab/>
        <w:t>4</w:t>
      </w:r>
    </w:p>
    <w:p w:rsidR="000A4F19" w:rsidRDefault="000A4F19" w:rsidP="000A4F19">
      <w:pPr>
        <w:pStyle w:val="Sommario1"/>
        <w:rPr>
          <w:b w:val="0"/>
          <w:szCs w:val="24"/>
        </w:rPr>
      </w:pPr>
      <w:r>
        <w:rPr>
          <w:b w:val="0"/>
          <w:szCs w:val="24"/>
        </w:rPr>
        <w:t>Articolo 6 - Versamenti effettuati da un contitolare</w:t>
      </w:r>
      <w:r>
        <w:rPr>
          <w:b w:val="0"/>
          <w:szCs w:val="24"/>
        </w:rPr>
        <w:tab/>
        <w:t>5</w:t>
      </w:r>
    </w:p>
    <w:p w:rsidR="000A4F19" w:rsidRDefault="000A4F19" w:rsidP="000A4F19">
      <w:pPr>
        <w:pStyle w:val="Sommario1"/>
        <w:rPr>
          <w:b w:val="0"/>
          <w:szCs w:val="24"/>
        </w:rPr>
      </w:pPr>
      <w:r>
        <w:rPr>
          <w:b w:val="0"/>
          <w:szCs w:val="24"/>
        </w:rPr>
        <w:t>Articolo 7 – Differimento del termine di versamento</w:t>
      </w:r>
      <w:r>
        <w:rPr>
          <w:b w:val="0"/>
          <w:szCs w:val="24"/>
        </w:rPr>
        <w:tab/>
        <w:t>5</w:t>
      </w:r>
    </w:p>
    <w:p w:rsidR="000A4F19" w:rsidRDefault="000A4F19" w:rsidP="000A4F19">
      <w:pPr>
        <w:pStyle w:val="Sommario1"/>
        <w:rPr>
          <w:b w:val="0"/>
          <w:szCs w:val="24"/>
        </w:rPr>
      </w:pPr>
      <w:r>
        <w:rPr>
          <w:b w:val="0"/>
          <w:szCs w:val="24"/>
        </w:rPr>
        <w:t>Articolo 8 – Esenzione immobile dato in comodato</w:t>
      </w:r>
      <w:r>
        <w:rPr>
          <w:b w:val="0"/>
          <w:szCs w:val="24"/>
        </w:rPr>
        <w:tab/>
        <w:t>6</w:t>
      </w:r>
    </w:p>
    <w:p w:rsidR="000A4F19" w:rsidRDefault="000A4F19" w:rsidP="000A4F19">
      <w:pPr>
        <w:pStyle w:val="Sommario1"/>
        <w:rPr>
          <w:b w:val="0"/>
          <w:szCs w:val="24"/>
        </w:rPr>
      </w:pPr>
      <w:r>
        <w:rPr>
          <w:b w:val="0"/>
          <w:szCs w:val="24"/>
        </w:rPr>
        <w:t>Articolo 9 - Versamenti minimi</w:t>
      </w:r>
      <w:r>
        <w:rPr>
          <w:b w:val="0"/>
          <w:szCs w:val="24"/>
        </w:rPr>
        <w:tab/>
        <w:t>6</w:t>
      </w:r>
    </w:p>
    <w:p w:rsidR="000A4F19" w:rsidRDefault="000A4F19" w:rsidP="000A4F19">
      <w:pPr>
        <w:pStyle w:val="Sommario1"/>
        <w:rPr>
          <w:b w:val="0"/>
          <w:szCs w:val="24"/>
        </w:rPr>
      </w:pPr>
      <w:r>
        <w:rPr>
          <w:b w:val="0"/>
          <w:szCs w:val="24"/>
        </w:rPr>
        <w:t>Articolo 10 – Interessi moratori</w:t>
      </w:r>
      <w:r>
        <w:rPr>
          <w:b w:val="0"/>
          <w:szCs w:val="24"/>
        </w:rPr>
        <w:tab/>
        <w:t>6</w:t>
      </w:r>
    </w:p>
    <w:p w:rsidR="000A4F19" w:rsidRDefault="000A4F19" w:rsidP="000A4F19">
      <w:pPr>
        <w:pStyle w:val="Sommario1"/>
        <w:rPr>
          <w:b w:val="0"/>
          <w:szCs w:val="24"/>
        </w:rPr>
      </w:pPr>
      <w:r>
        <w:rPr>
          <w:b w:val="0"/>
          <w:szCs w:val="24"/>
        </w:rPr>
        <w:t>Articolo 11 – Rimborsi e compensazione</w:t>
      </w:r>
      <w:r>
        <w:rPr>
          <w:b w:val="0"/>
          <w:szCs w:val="24"/>
        </w:rPr>
        <w:tab/>
        <w:t>6</w:t>
      </w:r>
    </w:p>
    <w:p w:rsidR="000A4F19" w:rsidRDefault="000A4F19" w:rsidP="000A4F19">
      <w:pPr>
        <w:pStyle w:val="Sommario1"/>
        <w:rPr>
          <w:b w:val="0"/>
          <w:szCs w:val="24"/>
        </w:rPr>
      </w:pPr>
      <w:r>
        <w:rPr>
          <w:b w:val="0"/>
          <w:szCs w:val="24"/>
        </w:rPr>
        <w:t>Articolo 12 – Accertamento esecutivo e rateazione</w:t>
      </w:r>
      <w:r>
        <w:rPr>
          <w:b w:val="0"/>
          <w:szCs w:val="24"/>
        </w:rPr>
        <w:tab/>
        <w:t>7</w:t>
      </w:r>
    </w:p>
    <w:p w:rsidR="000A4F19" w:rsidRDefault="000A4F19" w:rsidP="000A4F19">
      <w:pPr>
        <w:pStyle w:val="Sommario1"/>
        <w:rPr>
          <w:b w:val="0"/>
          <w:szCs w:val="24"/>
        </w:rPr>
      </w:pPr>
      <w:r>
        <w:rPr>
          <w:b w:val="0"/>
          <w:szCs w:val="24"/>
        </w:rPr>
        <w:t>Articolo 13- Entrata in vigore del regolamento</w:t>
      </w:r>
      <w:r>
        <w:rPr>
          <w:b w:val="0"/>
          <w:szCs w:val="24"/>
        </w:rPr>
        <w:tab/>
        <w:t>7</w:t>
      </w:r>
    </w:p>
    <w:p w:rsidR="000A4F19" w:rsidRDefault="000A4F19" w:rsidP="000A4F19">
      <w:pPr>
        <w:rPr>
          <w:szCs w:val="24"/>
        </w:rPr>
      </w:pPr>
      <w:r>
        <w:rPr>
          <w:szCs w:val="24"/>
        </w:rPr>
        <w:fldChar w:fldCharType="end"/>
      </w: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Default="000A4F19" w:rsidP="000A4F19">
      <w:pPr>
        <w:rPr>
          <w:szCs w:val="24"/>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bookmarkStart w:id="1" w:name="_Toc8712138"/>
      <w:bookmarkStart w:id="2" w:name="_Toc314411934"/>
      <w:bookmarkStart w:id="3" w:name="_Toc34662168"/>
      <w:r w:rsidRPr="000A4F19">
        <w:rPr>
          <w:rFonts w:ascii="Times New Roman" w:eastAsia="Times New Roman" w:hAnsi="Times New Roman" w:cs="Times New Roman"/>
          <w:b/>
          <w:sz w:val="24"/>
          <w:szCs w:val="24"/>
          <w:lang w:eastAsia="it-IT"/>
        </w:rPr>
        <w:lastRenderedPageBreak/>
        <w:t>Articolo 1</w:t>
      </w:r>
      <w:bookmarkEnd w:id="1"/>
      <w:r w:rsidRPr="000A4F19">
        <w:rPr>
          <w:rFonts w:ascii="Times New Roman" w:eastAsia="Times New Roman" w:hAnsi="Times New Roman" w:cs="Times New Roman"/>
          <w:b/>
          <w:sz w:val="24"/>
          <w:szCs w:val="24"/>
          <w:lang w:eastAsia="it-IT"/>
        </w:rPr>
        <w:t xml:space="preserve"> </w:t>
      </w:r>
      <w:bookmarkStart w:id="4" w:name="_Toc8712139"/>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Oggetto</w:t>
      </w:r>
      <w:bookmarkEnd w:id="2"/>
      <w:bookmarkEnd w:id="3"/>
      <w:bookmarkEnd w:id="4"/>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0"/>
          <w:numId w:val="2"/>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Il presente regolamento, adottato nell'ambito della potestà regolamentare prevista dall’articolo 52 del decreto legislativo 15 dicembre 1997, n. 446, disciplina l’applicazione dell’imposta municipale propria (IMU).</w:t>
      </w:r>
    </w:p>
    <w:p w:rsidR="000A4F19" w:rsidRPr="000A4F19" w:rsidRDefault="000A4F19" w:rsidP="000A4F19">
      <w:pPr>
        <w:numPr>
          <w:ilvl w:val="0"/>
          <w:numId w:val="2"/>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Per quanto non disciplinato dal presente regolamento, si applicano le disposizioni di cui all’articolo 1, commi da 739 a 783, della legge 27 dicembre 2019, n. 160, i regolamenti comunali e le altre disposizioni normative che non siano incompatibili con la nuova disciplina IMU.</w:t>
      </w:r>
    </w:p>
    <w:p w:rsidR="000A4F19" w:rsidRPr="000A4F19" w:rsidRDefault="000A4F19" w:rsidP="000A4F19">
      <w:pPr>
        <w:spacing w:after="0" w:line="240" w:lineRule="auto"/>
        <w:jc w:val="both"/>
        <w:rPr>
          <w:rFonts w:ascii="Times New Roman" w:eastAsia="Times New Roman" w:hAnsi="Times New Roman" w:cs="Times New Roman"/>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bookmarkStart w:id="5" w:name="_Toc8712142"/>
      <w:bookmarkStart w:id="6" w:name="_Toc34662169"/>
      <w:r w:rsidRPr="000A4F19">
        <w:rPr>
          <w:rFonts w:ascii="Times New Roman" w:eastAsia="Times New Roman" w:hAnsi="Times New Roman" w:cs="Times New Roman"/>
          <w:b/>
          <w:sz w:val="24"/>
          <w:szCs w:val="24"/>
          <w:lang w:eastAsia="it-IT"/>
        </w:rPr>
        <w:t>Articolo 2</w:t>
      </w:r>
      <w:bookmarkStart w:id="7" w:name="_Toc8712143"/>
      <w:bookmarkEnd w:id="5"/>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Determinazione dei valori venali per le aree fabbricabili</w:t>
      </w:r>
      <w:bookmarkEnd w:id="6"/>
      <w:bookmarkEnd w:id="7"/>
      <w:r w:rsidRPr="000A4F19">
        <w:rPr>
          <w:rFonts w:ascii="Times New Roman" w:eastAsia="Times New Roman" w:hAnsi="Times New Roman" w:cs="Times New Roman"/>
          <w:b/>
          <w:sz w:val="24"/>
          <w:szCs w:val="24"/>
          <w:lang w:eastAsia="it-IT"/>
        </w:rPr>
        <w:t xml:space="preserve"> </w:t>
      </w:r>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0"/>
          <w:numId w:val="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La base imponibile dell’area fabbricabile è determinata considerando il valore venale in comune commercio al 1° gennaio dell’anno d’imposizione, o a far data dall’adozione degli strumenti urbanistici generali o attuativi, così come risultante da atto pubblico o perizia giurata e comunque in misura non inferiore ai valori venali di riferimento deliberati dalla Giunta Comunale entro il 31 marzo di ogni anno o comunque entro il termine ultimo per l’approvazione del bilancio di previsione, in applicazione della facoltà di cui all’articolo 1, comma 777 della legge 27 dicembre 2019, n.160. In caso di mancata deliberazione entro il suddetto termine, i valori venali si intendono confermati di anno in anno.</w:t>
      </w:r>
    </w:p>
    <w:p w:rsidR="000A4F19" w:rsidRPr="000A4F19" w:rsidRDefault="000A4F19" w:rsidP="000A4F19">
      <w:pPr>
        <w:numPr>
          <w:ilvl w:val="0"/>
          <w:numId w:val="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Qualora l’imposta sia stata versata sulla base di un valore non inferiore a quello predeterminato dalla Giunta Comunale, non si farà luogo ad accertamento di maggiore imposta a condizione che per la medesima area non sia stato registrato, in atto pubblico o perizia, un valore superiore a quello deliberato.</w:t>
      </w:r>
    </w:p>
    <w:p w:rsidR="000A4F19" w:rsidRPr="000A4F19" w:rsidRDefault="000A4F19" w:rsidP="000A4F19">
      <w:pPr>
        <w:numPr>
          <w:ilvl w:val="0"/>
          <w:numId w:val="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Qualora l’imposta sia stata versata sulla base di un valore superiore a quello predeterminato dalla Giunta Comunale non si darà luogo al rimborso, salve le ipotesi di errore debitamente documentato.</w:t>
      </w:r>
    </w:p>
    <w:p w:rsidR="000A4F19" w:rsidRPr="000A4F19" w:rsidRDefault="000A4F19" w:rsidP="000A4F19">
      <w:pPr>
        <w:numPr>
          <w:ilvl w:val="0"/>
          <w:numId w:val="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Al lotto di terreno che presenta una possibilità edificatoria condizionata per le ridotte dimensioni o per la particolare configurazione topografica o per la presenza di determinati vincoli, fisici o urbanistici, può essere riconosciuta una riduzione fino all’80 per cento del valore predeterminato dalla Giunta comunale, da graduarsi in ragione del vincolo. Nel caso in cui il lotto sia annesso ad altra area e sia oggetto di edificazione dalla data di inizio dei lavori di edificazione non verrà applicata la riduzione e la valutazione dell'area fabbricabile seguirà i normali criteri determinati dalla Giunta con le modalità di cui ai commi precedenti.</w:t>
      </w:r>
    </w:p>
    <w:p w:rsidR="000A4F19" w:rsidRPr="000A4F19" w:rsidRDefault="000A4F19" w:rsidP="000A4F19">
      <w:pPr>
        <w:numPr>
          <w:ilvl w:val="0"/>
          <w:numId w:val="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In caso di interventi di recupero a norma dell'articolo 3, comma 1, lettere c), d) e f) del </w:t>
      </w:r>
      <w:proofErr w:type="spellStart"/>
      <w:r w:rsidRPr="000A4F19">
        <w:rPr>
          <w:rFonts w:ascii="Times New Roman" w:eastAsia="Times New Roman" w:hAnsi="Times New Roman" w:cs="Times New Roman"/>
          <w:sz w:val="24"/>
          <w:szCs w:val="24"/>
          <w:lang w:eastAsia="it-IT"/>
        </w:rPr>
        <w:t>Dpr</w:t>
      </w:r>
      <w:proofErr w:type="spellEnd"/>
      <w:r w:rsidRPr="000A4F19">
        <w:rPr>
          <w:rFonts w:ascii="Times New Roman" w:eastAsia="Times New Roman" w:hAnsi="Times New Roman" w:cs="Times New Roman"/>
          <w:sz w:val="24"/>
          <w:szCs w:val="24"/>
          <w:lang w:eastAsia="it-IT"/>
        </w:rPr>
        <w:t xml:space="preserve"> 6 giugno 2001, 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Per la valutazione dell’area fabbricabile, con la delibera di cui al comma 1, la Giunta Comunale può individuare dei valori di riferimento, tenendo conto della destinazione e della zona. </w:t>
      </w:r>
    </w:p>
    <w:p w:rsidR="000A4F19" w:rsidRPr="000A4F19" w:rsidRDefault="000A4F19" w:rsidP="000A4F19">
      <w:pPr>
        <w:numPr>
          <w:ilvl w:val="0"/>
          <w:numId w:val="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Nel caso di omessa o infedele denuncia di area fabbricabile, il valore di accertamento è pari a quello deliberato ai sensi del comma 1 o, se maggiore, a quello risultante da atto pubblico o perizia.</w:t>
      </w:r>
    </w:p>
    <w:p w:rsidR="000A4F19" w:rsidRDefault="000A4F19" w:rsidP="000A4F19">
      <w:pPr>
        <w:spacing w:after="0" w:line="240" w:lineRule="auto"/>
        <w:jc w:val="center"/>
        <w:rPr>
          <w:rFonts w:ascii="Times New Roman" w:eastAsia="Times New Roman" w:hAnsi="Times New Roman" w:cs="Times New Roman"/>
          <w:sz w:val="24"/>
          <w:szCs w:val="24"/>
          <w:lang w:eastAsia="it-IT"/>
        </w:rPr>
      </w:pPr>
    </w:p>
    <w:p w:rsidR="000A4F19" w:rsidRDefault="000A4F19" w:rsidP="000A4F19">
      <w:pPr>
        <w:spacing w:after="0" w:line="240" w:lineRule="auto"/>
        <w:jc w:val="center"/>
        <w:rPr>
          <w:rFonts w:ascii="Times New Roman" w:eastAsia="Times New Roman" w:hAnsi="Times New Roman" w:cs="Times New Roman"/>
          <w:sz w:val="24"/>
          <w:szCs w:val="24"/>
          <w:lang w:eastAsia="it-IT"/>
        </w:rPr>
      </w:pPr>
    </w:p>
    <w:p w:rsidR="000A4F19" w:rsidRPr="000A4F19" w:rsidRDefault="000A4F19" w:rsidP="000A4F19">
      <w:pPr>
        <w:spacing w:after="0" w:line="240" w:lineRule="auto"/>
        <w:jc w:val="center"/>
        <w:rPr>
          <w:rFonts w:ascii="Times New Roman" w:eastAsia="Times New Roman" w:hAnsi="Times New Roman" w:cs="Times New Roman"/>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bookmarkStart w:id="8" w:name="_Toc284067874"/>
      <w:bookmarkStart w:id="9" w:name="_Toc34662170"/>
      <w:r w:rsidRPr="000A4F19">
        <w:rPr>
          <w:rFonts w:ascii="Times New Roman" w:eastAsia="Times New Roman" w:hAnsi="Times New Roman" w:cs="Times New Roman"/>
          <w:b/>
          <w:sz w:val="24"/>
          <w:szCs w:val="24"/>
          <w:lang w:eastAsia="it-IT"/>
        </w:rPr>
        <w:lastRenderedPageBreak/>
        <w:t xml:space="preserve">Articolo 3 </w:t>
      </w: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Aree fabbricabili divenute inedificabili</w:t>
      </w:r>
      <w:bookmarkEnd w:id="8"/>
      <w:bookmarkEnd w:id="9"/>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0"/>
          <w:numId w:val="1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Su richiesta dell’interessato, il funzionario responsabile dispone il rimborso dell’imposta pagata, a decorrere dal 1° gennaio 2020, per le aree divenute inedificabili a seguito di approvazione definitiva di varianti agli strumenti urbanistici generali o attuativi oppure per vincoli imposti da leggi nazionali o regionali, successivamente al pagamento dell’imposta. </w:t>
      </w:r>
    </w:p>
    <w:p w:rsidR="000A4F19" w:rsidRPr="000A4F19" w:rsidRDefault="000A4F19" w:rsidP="000A4F19">
      <w:pPr>
        <w:numPr>
          <w:ilvl w:val="0"/>
          <w:numId w:val="1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Il diritto al rimborso è riconosciuto</w:t>
      </w:r>
    </w:p>
    <w:p w:rsidR="000A4F19" w:rsidRPr="000A4F19" w:rsidRDefault="000A4F19" w:rsidP="000A4F19">
      <w:pPr>
        <w:numPr>
          <w:ilvl w:val="1"/>
          <w:numId w:val="1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a condizione che non vi sia stata o non vi sia in atto alcuna utilizzazione edificatoria, neppure abusiva, dell’area interessata o di una sua parte, a prescindere dagli eventuali provvedimenti amministrativi adottati in merito all’abuso;</w:t>
      </w:r>
    </w:p>
    <w:p w:rsidR="000A4F19" w:rsidRPr="000A4F19" w:rsidRDefault="000A4F19" w:rsidP="000A4F19">
      <w:pPr>
        <w:numPr>
          <w:ilvl w:val="1"/>
          <w:numId w:val="1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a condizione che la divenuta inedificabilità non sia risultante da richiesta di uno dei proprietari o da chi ha in godimento il terreno a qualsiasi titolo;</w:t>
      </w:r>
    </w:p>
    <w:p w:rsidR="000A4F19" w:rsidRPr="000A4F19" w:rsidRDefault="000A4F19" w:rsidP="000A4F19">
      <w:pPr>
        <w:numPr>
          <w:ilvl w:val="0"/>
          <w:numId w:val="1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Il rimborso è pari alla differenza tra l’imposta versata sul valore venale dell’area edificabile e l’imposta che sarebbe dovuta sul terreno.</w:t>
      </w:r>
    </w:p>
    <w:p w:rsidR="000A4F19" w:rsidRPr="000A4F19" w:rsidRDefault="000A4F19" w:rsidP="000A4F19">
      <w:pPr>
        <w:numPr>
          <w:ilvl w:val="0"/>
          <w:numId w:val="1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Il rimborso compete per non più di tre periodi d’imposta, durante i quali il tributo sia stato corrisposto sulla base del valore dell’area edificabile.</w:t>
      </w:r>
    </w:p>
    <w:p w:rsidR="000A4F19" w:rsidRPr="000A4F19" w:rsidRDefault="000A4F19" w:rsidP="000A4F19">
      <w:pPr>
        <w:numPr>
          <w:ilvl w:val="0"/>
          <w:numId w:val="11"/>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La relativa istanza di rimborso deve essere presentata, a pena di decadenza, entro cinque anni dalla data in cui l’area è divenuta inedificabile ai sensi del comma 1 del presente articolo.</w:t>
      </w:r>
    </w:p>
    <w:p w:rsidR="000A4F19" w:rsidRPr="000A4F19" w:rsidRDefault="000A4F19" w:rsidP="000A4F19">
      <w:pPr>
        <w:spacing w:after="0" w:line="240" w:lineRule="auto"/>
        <w:jc w:val="center"/>
        <w:rPr>
          <w:rFonts w:ascii="Times New Roman" w:eastAsia="Times New Roman" w:hAnsi="Times New Roman" w:cs="Times New Roman"/>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bookmarkStart w:id="10" w:name="_Toc335126164"/>
      <w:bookmarkStart w:id="11" w:name="_Toc34662171"/>
      <w:bookmarkStart w:id="12" w:name="_Toc8712152"/>
      <w:r w:rsidRPr="000A4F19">
        <w:rPr>
          <w:rFonts w:ascii="Times New Roman" w:eastAsia="Times New Roman" w:hAnsi="Times New Roman" w:cs="Times New Roman"/>
          <w:b/>
          <w:sz w:val="24"/>
          <w:szCs w:val="24"/>
          <w:lang w:eastAsia="it-IT"/>
        </w:rPr>
        <w:t>Articolo 4</w:t>
      </w: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Abitazione posseduta a titolo di proprietà o di usufrutto da anziani o disabili che acquisiscono la residenza in istituti di ricovero o sanitari</w:t>
      </w:r>
      <w:bookmarkEnd w:id="10"/>
      <w:bookmarkEnd w:id="11"/>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0"/>
          <w:numId w:val="8"/>
        </w:numPr>
        <w:spacing w:after="0" w:line="240" w:lineRule="auto"/>
        <w:ind w:left="357" w:hanging="357"/>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Si considera abitazione principale l'unità immobiliare posseduta da anziani o disabili che acquisiscono la residenza in istituti di ricovero o sanitari a seguito di ricovero permanente, a condizione che la stessa non risulti locata. </w:t>
      </w:r>
    </w:p>
    <w:p w:rsidR="000A4F19" w:rsidRPr="000A4F19" w:rsidRDefault="000A4F19" w:rsidP="000A4F19">
      <w:pPr>
        <w:numPr>
          <w:ilvl w:val="0"/>
          <w:numId w:val="8"/>
        </w:numPr>
        <w:spacing w:after="0" w:line="240" w:lineRule="auto"/>
        <w:ind w:left="357" w:hanging="357"/>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In caso di più unità immobiliari, la predetta agevolazione può essere applicata ad una sola unità immobiliare. </w:t>
      </w:r>
    </w:p>
    <w:p w:rsidR="000A4F19" w:rsidRPr="000A4F19" w:rsidRDefault="000A4F19" w:rsidP="000A4F19">
      <w:pPr>
        <w:numPr>
          <w:ilvl w:val="0"/>
          <w:numId w:val="8"/>
        </w:numPr>
        <w:spacing w:after="0" w:line="240" w:lineRule="auto"/>
        <w:ind w:left="357" w:hanging="357"/>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Allo stesso regime dell’abitazione soggiacciono le eventuali pertinenze, limitatamente ad una unità classificata in ciascuna delle categorie C/2, C/6 e C/7, anche se accatastata unitamente all’abitazione.</w:t>
      </w:r>
    </w:p>
    <w:p w:rsidR="000A4F19" w:rsidRPr="000A4F19" w:rsidRDefault="000A4F19" w:rsidP="000A4F19">
      <w:pPr>
        <w:numPr>
          <w:ilvl w:val="0"/>
          <w:numId w:val="8"/>
        </w:numPr>
        <w:spacing w:after="0" w:line="240" w:lineRule="auto"/>
        <w:ind w:left="357" w:hanging="357"/>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L’assimilazione avviene previa apposita dichiarazione.</w:t>
      </w:r>
    </w:p>
    <w:p w:rsidR="000A4F19" w:rsidRPr="000A4F19" w:rsidRDefault="000A4F19" w:rsidP="000A4F19">
      <w:pPr>
        <w:spacing w:after="0" w:line="240" w:lineRule="auto"/>
        <w:jc w:val="both"/>
        <w:rPr>
          <w:rFonts w:ascii="Times New Roman" w:eastAsia="Times New Roman" w:hAnsi="Times New Roman" w:cs="Times New Roman"/>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bookmarkStart w:id="13" w:name="_Toc284067888"/>
      <w:bookmarkStart w:id="14" w:name="_Toc335126167"/>
      <w:bookmarkStart w:id="15" w:name="_Toc34662172"/>
      <w:r w:rsidRPr="000A4F19">
        <w:rPr>
          <w:rFonts w:ascii="Times New Roman" w:eastAsia="Times New Roman" w:hAnsi="Times New Roman" w:cs="Times New Roman"/>
          <w:b/>
          <w:sz w:val="24"/>
          <w:szCs w:val="24"/>
          <w:lang w:eastAsia="it-IT"/>
        </w:rPr>
        <w:t>Articolo 5</w:t>
      </w: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Riduzione d'imposta per immobili inagibili ed inabitabili</w:t>
      </w:r>
      <w:bookmarkEnd w:id="13"/>
      <w:bookmarkEnd w:id="14"/>
      <w:bookmarkEnd w:id="15"/>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0"/>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La base imponibile è ridotta del 50 per cento per i fabbricati dichiarati inagibili o inabitabili e di fatto non utilizzati, limitatamente al periodo dell'anno durante il quale sussistono tali condizioni.</w:t>
      </w:r>
    </w:p>
    <w:p w:rsidR="000A4F19" w:rsidRPr="000A4F19" w:rsidRDefault="000A4F19" w:rsidP="000A4F19">
      <w:pPr>
        <w:numPr>
          <w:ilvl w:val="0"/>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L'inagibilità deve consistere in un degrado fisico sopravvenuto (fabbricato diroccato, pericolante, fatiscente e simile), non superabile con interventi di manutenzione ordinaria o straordinaria, bensì con interventi di restauro e risanamento conservativo e/o ristrutturazione edilizia, ai sensi dell'articolo 3, comma 1, lettere c) e d) del </w:t>
      </w:r>
      <w:proofErr w:type="spellStart"/>
      <w:r w:rsidRPr="000A4F19">
        <w:rPr>
          <w:rFonts w:ascii="Times New Roman" w:eastAsia="Times New Roman" w:hAnsi="Times New Roman" w:cs="Times New Roman"/>
          <w:sz w:val="24"/>
          <w:szCs w:val="24"/>
          <w:lang w:eastAsia="it-IT"/>
        </w:rPr>
        <w:t>Dpr</w:t>
      </w:r>
      <w:proofErr w:type="spellEnd"/>
      <w:r w:rsidRPr="000A4F19">
        <w:rPr>
          <w:rFonts w:ascii="Times New Roman" w:eastAsia="Times New Roman" w:hAnsi="Times New Roman" w:cs="Times New Roman"/>
          <w:sz w:val="24"/>
          <w:szCs w:val="24"/>
          <w:lang w:eastAsia="it-IT"/>
        </w:rPr>
        <w:t xml:space="preserve"> 6 giugno 2001, n. 380.</w:t>
      </w:r>
    </w:p>
    <w:p w:rsidR="000A4F19" w:rsidRPr="000A4F19" w:rsidRDefault="000A4F19" w:rsidP="000A4F19">
      <w:pPr>
        <w:numPr>
          <w:ilvl w:val="0"/>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Se il fabbricato è costituito da più unità immobiliari, catastalmente autonome o anche con diversa destinazione, la riduzione è applicata alle sole unità immobiliari dichiarate inagibili o inabitabili.</w:t>
      </w:r>
    </w:p>
    <w:p w:rsidR="000A4F19" w:rsidRPr="000A4F19" w:rsidRDefault="000A4F19" w:rsidP="000A4F19">
      <w:pPr>
        <w:numPr>
          <w:ilvl w:val="0"/>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Lo stato di inabitabilità o di inagibilità può essere accertato: </w:t>
      </w:r>
    </w:p>
    <w:p w:rsidR="000A4F19" w:rsidRPr="000A4F19" w:rsidRDefault="000A4F19" w:rsidP="000A4F19">
      <w:pPr>
        <w:numPr>
          <w:ilvl w:val="1"/>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da parte dell'Ufficio tecnico comunale, con spese a carico del possessore, che allega idonea documentazione alla dichiarazione;</w:t>
      </w:r>
    </w:p>
    <w:p w:rsidR="000A4F19" w:rsidRPr="000A4F19" w:rsidRDefault="000A4F19" w:rsidP="000A4F19">
      <w:pPr>
        <w:numPr>
          <w:ilvl w:val="1"/>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da parte del contribuente, mediante presentazione di una dichiarazione sostitutiva ai sensi D.P.R. 28 dicembre 2000, n. 445, che attesti la dichiarazione di inagibilità o inabitabilità del </w:t>
      </w:r>
      <w:r w:rsidRPr="000A4F19">
        <w:rPr>
          <w:rFonts w:ascii="Times New Roman" w:eastAsia="Times New Roman" w:hAnsi="Times New Roman" w:cs="Times New Roman"/>
          <w:sz w:val="24"/>
          <w:szCs w:val="24"/>
          <w:lang w:eastAsia="it-IT"/>
        </w:rPr>
        <w:lastRenderedPageBreak/>
        <w:t>fabbricato da parte di un tecnico abilitato, con espresso riferimento ai requisiti di cui al comma 2.</w:t>
      </w:r>
    </w:p>
    <w:p w:rsidR="000A4F19" w:rsidRPr="000A4F19" w:rsidRDefault="000A4F19" w:rsidP="000A4F19">
      <w:pPr>
        <w:numPr>
          <w:ilvl w:val="0"/>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In ogni caso, la riduzione prevista al comma 1 si applica dalla data in cui è stata accertata l'inabitabilità o l'inagibilità da parte dell'Ufficio tecnico comunale, ai sensi del comma 4, lettera a), ovvero dalla data di presentazione della dichiarazione sostitutiva, ai sensi del comma 4, lettera b).</w:t>
      </w:r>
    </w:p>
    <w:p w:rsidR="000A4F19" w:rsidRPr="000A4F19" w:rsidRDefault="000A4F19" w:rsidP="000A4F19">
      <w:pPr>
        <w:numPr>
          <w:ilvl w:val="0"/>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La cessata situazione di inagibilità o inabitabilità deve essere dichiarata al Comune.</w:t>
      </w:r>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bookmarkStart w:id="16" w:name="_Toc314411940"/>
      <w:bookmarkStart w:id="17" w:name="_Toc34662173"/>
      <w:bookmarkEnd w:id="12"/>
      <w:r w:rsidRPr="000A4F19">
        <w:rPr>
          <w:rFonts w:ascii="Times New Roman" w:eastAsia="Times New Roman" w:hAnsi="Times New Roman" w:cs="Times New Roman"/>
          <w:b/>
          <w:sz w:val="24"/>
          <w:szCs w:val="24"/>
          <w:lang w:eastAsia="it-IT"/>
        </w:rPr>
        <w:t xml:space="preserve">Articolo 6 </w:t>
      </w:r>
      <w:bookmarkStart w:id="18" w:name="_Toc8712153"/>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Versamenti effettuati da un contitolare</w:t>
      </w:r>
      <w:bookmarkEnd w:id="16"/>
      <w:bookmarkEnd w:id="17"/>
      <w:bookmarkEnd w:id="18"/>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6"/>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I versamenti dell’imposta municipale propria si considerano regolarmente effettuati anche se corrisposti da un contitolare per conto degli altri, a condizione che ne sia data comunicazione all’ente impositore.</w:t>
      </w:r>
    </w:p>
    <w:p w:rsidR="000A4F19" w:rsidRPr="000A4F19" w:rsidRDefault="000A4F19" w:rsidP="000A4F19">
      <w:pPr>
        <w:spacing w:after="0" w:line="240" w:lineRule="auto"/>
        <w:jc w:val="both"/>
        <w:rPr>
          <w:rFonts w:ascii="Times New Roman" w:eastAsia="Times New Roman" w:hAnsi="Times New Roman" w:cs="Times New Roman"/>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bookmarkStart w:id="19" w:name="_Toc34662174"/>
      <w:r w:rsidRPr="000A4F19">
        <w:rPr>
          <w:rFonts w:ascii="Times New Roman" w:eastAsia="Times New Roman" w:hAnsi="Times New Roman" w:cs="Times New Roman"/>
          <w:b/>
          <w:sz w:val="24"/>
          <w:szCs w:val="24"/>
          <w:lang w:eastAsia="it-IT"/>
        </w:rPr>
        <w:t>Articolo 7</w:t>
      </w: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Differimento del termine di versamento</w:t>
      </w:r>
      <w:bookmarkEnd w:id="19"/>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0"/>
          <w:numId w:val="5"/>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Nel caso di decesso del contribuente avvenuto nel primo semestre dell'anno, gli eredi possono effettuare il versamento in acconto, sia con riferimento all’imposta dovuta dal </w:t>
      </w:r>
      <w:r w:rsidRPr="000A4F19">
        <w:rPr>
          <w:rFonts w:ascii="Times New Roman" w:eastAsia="Times New Roman" w:hAnsi="Times New Roman" w:cs="Times New Roman"/>
          <w:i/>
          <w:sz w:val="24"/>
          <w:szCs w:val="24"/>
          <w:lang w:eastAsia="it-IT"/>
        </w:rPr>
        <w:t xml:space="preserve">de </w:t>
      </w:r>
      <w:proofErr w:type="spellStart"/>
      <w:r w:rsidRPr="000A4F19">
        <w:rPr>
          <w:rFonts w:ascii="Times New Roman" w:eastAsia="Times New Roman" w:hAnsi="Times New Roman" w:cs="Times New Roman"/>
          <w:i/>
          <w:sz w:val="24"/>
          <w:szCs w:val="24"/>
          <w:lang w:eastAsia="it-IT"/>
        </w:rPr>
        <w:t>cuius</w:t>
      </w:r>
      <w:proofErr w:type="spellEnd"/>
      <w:r w:rsidRPr="000A4F19">
        <w:rPr>
          <w:rFonts w:ascii="Times New Roman" w:eastAsia="Times New Roman" w:hAnsi="Times New Roman" w:cs="Times New Roman"/>
          <w:sz w:val="24"/>
          <w:szCs w:val="24"/>
          <w:lang w:eastAsia="it-IT"/>
        </w:rPr>
        <w:t xml:space="preserve"> sia a quella dovuta dagli eredi, relativa agli immobili pervenuti in successione, entro il termine di versamento previsto per il saldo d'imposta. </w:t>
      </w:r>
    </w:p>
    <w:p w:rsidR="000A4F19" w:rsidRPr="000A4F19" w:rsidRDefault="000A4F19" w:rsidP="000A4F19">
      <w:pPr>
        <w:numPr>
          <w:ilvl w:val="0"/>
          <w:numId w:val="5"/>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Nel caso di decesso avvenuto nel secondo semestre dell'anno gli eredi possono effettuare il versamento a saldo, sia con riferimento all’imposta dovuta dal </w:t>
      </w:r>
      <w:r w:rsidRPr="000A4F19">
        <w:rPr>
          <w:rFonts w:ascii="Times New Roman" w:eastAsia="Times New Roman" w:hAnsi="Times New Roman" w:cs="Times New Roman"/>
          <w:i/>
          <w:sz w:val="24"/>
          <w:szCs w:val="24"/>
          <w:lang w:eastAsia="it-IT"/>
        </w:rPr>
        <w:t xml:space="preserve">de </w:t>
      </w:r>
      <w:proofErr w:type="spellStart"/>
      <w:r w:rsidRPr="000A4F19">
        <w:rPr>
          <w:rFonts w:ascii="Times New Roman" w:eastAsia="Times New Roman" w:hAnsi="Times New Roman" w:cs="Times New Roman"/>
          <w:i/>
          <w:sz w:val="24"/>
          <w:szCs w:val="24"/>
          <w:lang w:eastAsia="it-IT"/>
        </w:rPr>
        <w:t>cuius</w:t>
      </w:r>
      <w:proofErr w:type="spellEnd"/>
      <w:r w:rsidRPr="000A4F19">
        <w:rPr>
          <w:rFonts w:ascii="Times New Roman" w:eastAsia="Times New Roman" w:hAnsi="Times New Roman" w:cs="Times New Roman"/>
          <w:sz w:val="24"/>
          <w:szCs w:val="24"/>
          <w:lang w:eastAsia="it-IT"/>
        </w:rPr>
        <w:t xml:space="preserve"> sia a quella dovuta dagli eredi, relativa agli immobili pervenuti in successione, entro il termine previsto per l'acconto d'imposta relativo all'anno successivo.</w:t>
      </w:r>
    </w:p>
    <w:p w:rsidR="000A4F19" w:rsidRPr="000A4F19" w:rsidRDefault="000A4F19" w:rsidP="000A4F19">
      <w:pPr>
        <w:numPr>
          <w:ilvl w:val="0"/>
          <w:numId w:val="5"/>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Con deliberazione della Giunta comunale i termini ordinari di versamento dell'imposta possono essere differiti per i soggetti passivi interessati da gravi calamità naturali, gravi emergenze sanitarie e altri gravi eventi di natura straordinaria, anche limitatamente a determinate aree del territorio comunale.</w:t>
      </w:r>
    </w:p>
    <w:p w:rsidR="000A4F19" w:rsidRPr="000A4F19" w:rsidRDefault="000A4F19" w:rsidP="000A4F19">
      <w:pPr>
        <w:numPr>
          <w:ilvl w:val="0"/>
          <w:numId w:val="5"/>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Con riferimento agli immobili classificati nel gruppo catastale D, gravati da una quota dell’IMU di spettanza statale, il differimento dei termini di cui al presente articolo è da ritenersi operante solo sull’eventuale quota aggiuntiva spettante all’ente locale.</w:t>
      </w:r>
    </w:p>
    <w:p w:rsidR="000A4F19" w:rsidRPr="000A4F19" w:rsidRDefault="000A4F19" w:rsidP="000A4F19">
      <w:pPr>
        <w:spacing w:after="0" w:line="240" w:lineRule="auto"/>
        <w:jc w:val="both"/>
        <w:rPr>
          <w:rFonts w:ascii="Times New Roman" w:eastAsia="Times New Roman" w:hAnsi="Times New Roman" w:cs="Times New Roman"/>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bookmarkStart w:id="20" w:name="_Toc34662175"/>
      <w:r w:rsidRPr="000A4F19">
        <w:rPr>
          <w:rFonts w:ascii="Times New Roman" w:eastAsia="Times New Roman" w:hAnsi="Times New Roman" w:cs="Times New Roman"/>
          <w:b/>
          <w:sz w:val="24"/>
          <w:szCs w:val="24"/>
          <w:lang w:eastAsia="it-IT"/>
        </w:rPr>
        <w:t xml:space="preserve">Articolo 8 </w:t>
      </w: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Esenzione immobile dato in comodato</w:t>
      </w:r>
      <w:bookmarkEnd w:id="20"/>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0"/>
          <w:numId w:val="6"/>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Sono esenti gli immobili dati in comodato gratuito registrato al Comune o altro ente territoriale, destinati esclusivamente all’esercizio dei rispettivi compiti istituzionali.</w:t>
      </w:r>
    </w:p>
    <w:p w:rsidR="000A4F19" w:rsidRPr="000A4F19" w:rsidRDefault="000A4F19" w:rsidP="000A4F19">
      <w:pPr>
        <w:numPr>
          <w:ilvl w:val="0"/>
          <w:numId w:val="6"/>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Sono esenti i fabbricati dati in comodato gratuito registrato ad enti non commerciali ed esclusivamente utilizzati per lo svolgimento con modalità non commerciali delle attività previste nella lettera i) dell’articolo 7, comma 1, del decreto legislativo 30 dicembre 1992, n. 504, a condizione che dette attività siano comprese negli scopi statutari degli enti stessi.</w:t>
      </w:r>
    </w:p>
    <w:p w:rsidR="000A4F19" w:rsidRPr="000A4F19" w:rsidRDefault="000A4F19" w:rsidP="000A4F19">
      <w:pPr>
        <w:numPr>
          <w:ilvl w:val="0"/>
          <w:numId w:val="6"/>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L’esenzione di cui ai commi precedenti è subordinata alla presentazione di una comunicazione redatta su modello predisposto dal Comune da presentarsi a pena di decadenza entro il 30 giugno dell’anno successivo a quello in cui si verificano i presupposti per l’esenzione.</w:t>
      </w:r>
    </w:p>
    <w:p w:rsidR="000A4F19" w:rsidRPr="000A4F19" w:rsidRDefault="000A4F19" w:rsidP="000A4F19">
      <w:pPr>
        <w:numPr>
          <w:ilvl w:val="0"/>
          <w:numId w:val="6"/>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L’esenzione opera solo per il periodo dell’anno durante il quale sussistono le condizioni prescritte dai commi 1 e 2.</w:t>
      </w:r>
    </w:p>
    <w:p w:rsidR="000A4F19" w:rsidRPr="000A4F19" w:rsidRDefault="000A4F19" w:rsidP="000A4F19">
      <w:pPr>
        <w:numPr>
          <w:ilvl w:val="0"/>
          <w:numId w:val="6"/>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Con riferimento alle esenzioni disposte ai sensi del presente articolo su immobili classificati nel gruppo catastale D, gravati da una quota dell’IMU di spettanza statale, si applicano le disposizioni di cui al comma 4 dell’articolo 7.</w:t>
      </w:r>
    </w:p>
    <w:p w:rsidR="000A4F19" w:rsidRPr="000A4F19" w:rsidRDefault="000A4F19" w:rsidP="000A4F19">
      <w:pPr>
        <w:spacing w:after="0" w:line="240" w:lineRule="auto"/>
        <w:jc w:val="both"/>
        <w:rPr>
          <w:rFonts w:ascii="Times New Roman" w:eastAsia="Times New Roman" w:hAnsi="Times New Roman" w:cs="Times New Roman"/>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 xml:space="preserve"> </w:t>
      </w:r>
      <w:bookmarkStart w:id="21" w:name="_Toc8712174"/>
      <w:bookmarkStart w:id="22" w:name="_Toc314411945"/>
      <w:bookmarkStart w:id="23" w:name="_Toc34662176"/>
      <w:r w:rsidRPr="000A4F19">
        <w:rPr>
          <w:rFonts w:ascii="Times New Roman" w:eastAsia="Times New Roman" w:hAnsi="Times New Roman" w:cs="Times New Roman"/>
          <w:b/>
          <w:sz w:val="24"/>
          <w:szCs w:val="24"/>
          <w:lang w:eastAsia="it-IT"/>
        </w:rPr>
        <w:t xml:space="preserve">Articolo </w:t>
      </w:r>
      <w:bookmarkEnd w:id="21"/>
      <w:r w:rsidRPr="000A4F19">
        <w:rPr>
          <w:rFonts w:ascii="Times New Roman" w:eastAsia="Times New Roman" w:hAnsi="Times New Roman" w:cs="Times New Roman"/>
          <w:b/>
          <w:sz w:val="24"/>
          <w:szCs w:val="24"/>
          <w:lang w:eastAsia="it-IT"/>
        </w:rPr>
        <w:t>9</w:t>
      </w: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Versamenti minimi</w:t>
      </w:r>
      <w:bookmarkEnd w:id="22"/>
      <w:bookmarkEnd w:id="23"/>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0"/>
          <w:numId w:val="7"/>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L’imposta non è dovuta qualora essa sia uguale o inferiore a 12 euro. Tale importo si intende riferito all’imposta complessivamente dovuta per l’anno e non alle singole rate di acconto e di saldo.</w:t>
      </w:r>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bookmarkStart w:id="24" w:name="_Toc314411941"/>
      <w:bookmarkStart w:id="25" w:name="_Toc34662177"/>
      <w:r w:rsidRPr="000A4F19">
        <w:rPr>
          <w:rFonts w:ascii="Times New Roman" w:eastAsia="Times New Roman" w:hAnsi="Times New Roman" w:cs="Times New Roman"/>
          <w:b/>
          <w:sz w:val="24"/>
          <w:szCs w:val="24"/>
          <w:lang w:eastAsia="it-IT"/>
        </w:rPr>
        <w:t>Articolo 10</w:t>
      </w:r>
      <w:bookmarkStart w:id="26" w:name="_Toc8712167"/>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Interessi moratori</w:t>
      </w:r>
      <w:bookmarkEnd w:id="24"/>
      <w:bookmarkEnd w:id="25"/>
      <w:bookmarkEnd w:id="26"/>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0"/>
          <w:numId w:val="9"/>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Sulle somme dovute a titolo di imposta municipale propria a seguito di violazioni contestate si applicano gli interessi moratori pari al tasso legale. </w:t>
      </w:r>
    </w:p>
    <w:p w:rsidR="000A4F19" w:rsidRPr="000A4F19" w:rsidRDefault="000A4F19" w:rsidP="000A4F19">
      <w:pPr>
        <w:numPr>
          <w:ilvl w:val="0"/>
          <w:numId w:val="9"/>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Gli interessi sono calcolati con maturazione giorno per giorno con decorrenza dal giorno in cui sono divenuti esigibili. </w:t>
      </w:r>
    </w:p>
    <w:p w:rsidR="000A4F19" w:rsidRPr="000A4F19" w:rsidRDefault="000A4F19" w:rsidP="000A4F19">
      <w:pPr>
        <w:spacing w:after="0" w:line="240" w:lineRule="auto"/>
        <w:jc w:val="both"/>
        <w:rPr>
          <w:rFonts w:ascii="Times New Roman" w:eastAsia="Times New Roman" w:hAnsi="Times New Roman" w:cs="Times New Roman"/>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 xml:space="preserve"> </w:t>
      </w:r>
      <w:bookmarkStart w:id="27" w:name="_Toc8712168"/>
      <w:bookmarkStart w:id="28" w:name="_Toc314411942"/>
      <w:bookmarkStart w:id="29" w:name="_Toc34662178"/>
      <w:r w:rsidRPr="000A4F19">
        <w:rPr>
          <w:rFonts w:ascii="Times New Roman" w:eastAsia="Times New Roman" w:hAnsi="Times New Roman" w:cs="Times New Roman"/>
          <w:b/>
          <w:sz w:val="24"/>
          <w:szCs w:val="24"/>
          <w:lang w:eastAsia="it-IT"/>
        </w:rPr>
        <w:t>Articolo 11</w:t>
      </w:r>
      <w:bookmarkStart w:id="30" w:name="_Toc8712169"/>
      <w:bookmarkEnd w:id="27"/>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Rimborsi</w:t>
      </w:r>
      <w:bookmarkEnd w:id="30"/>
      <w:r w:rsidRPr="000A4F19">
        <w:rPr>
          <w:rFonts w:ascii="Times New Roman" w:eastAsia="Times New Roman" w:hAnsi="Times New Roman" w:cs="Times New Roman"/>
          <w:b/>
          <w:sz w:val="24"/>
          <w:szCs w:val="24"/>
          <w:lang w:eastAsia="it-IT"/>
        </w:rPr>
        <w:t xml:space="preserve"> e compensazione</w:t>
      </w:r>
      <w:bookmarkEnd w:id="28"/>
      <w:bookmarkEnd w:id="29"/>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6"/>
          <w:numId w:val="10"/>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Sulle somme da rimborsare è corrisposto l'interesse nella misura stabilita dall’articolo 10. Gli interessi sono calcolati con maturazione giorno per giorno con decorrenza dalla data dell’eseguito versamento.</w:t>
      </w:r>
    </w:p>
    <w:p w:rsidR="000A4F19" w:rsidRPr="000A4F19" w:rsidRDefault="000A4F19" w:rsidP="000A4F19">
      <w:pPr>
        <w:numPr>
          <w:ilvl w:val="6"/>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Il provvedimento di rimborso deve essere emanato entro centoottanta giorni dalla data di presentazione dell’istanza.</w:t>
      </w:r>
    </w:p>
    <w:p w:rsidR="000A4F19" w:rsidRPr="000A4F19" w:rsidRDefault="000A4F19" w:rsidP="000A4F19">
      <w:pPr>
        <w:numPr>
          <w:ilvl w:val="6"/>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Non si dà luogo al rimborso di importi uguali o inferiori al versamento minimo di cui all’articolo 9. </w:t>
      </w:r>
    </w:p>
    <w:p w:rsidR="000A4F19" w:rsidRPr="000A4F19" w:rsidRDefault="000A4F19" w:rsidP="000A4F19">
      <w:pPr>
        <w:numPr>
          <w:ilvl w:val="6"/>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Le somme da rimborsare possono, su richiesta del contribuente formulata nell’istanza di rimborso, essere compensate con gli importi dovuti dal contribuente al Comune stesso a titolo di imposta municipale propria. La compensazione è subordinata alla notifica del provvedimento di accoglimento del rimborso e con esso comunicata.</w:t>
      </w:r>
    </w:p>
    <w:p w:rsidR="000A4F19" w:rsidRPr="000A4F19" w:rsidRDefault="000A4F19" w:rsidP="000A4F19">
      <w:pPr>
        <w:numPr>
          <w:ilvl w:val="6"/>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L’obbligazione tributaria di importo non superiore ad euro mille può essere estinta, purché non sia intervenuta decadenza del diritto al rimborso, mediante compensazione tra credito e debito IMU, fermo restando il divieto di compensazione tra quota statale e quota comunale dell’IMU. Il contribuente che intende avvalersi della compensazione presenta apposta comunicazione, su modulo predisposto dal Comune, almeno trenta giorni prima della scadenza del termine previsto per il versamento dell’imposta dovuta. Rimane impregiudicata la possibilità di accertamento a seguito della verifica delle comunicazioni presentate dal contribuente.</w:t>
      </w:r>
    </w:p>
    <w:p w:rsidR="000A4F19" w:rsidRPr="000A4F19" w:rsidRDefault="000A4F19" w:rsidP="000A4F19">
      <w:pPr>
        <w:numPr>
          <w:ilvl w:val="6"/>
          <w:numId w:val="4"/>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È ammesso l’accollo del debito d’imposta altrui senza liberazione del contribuente originario, previa comunicazione da presentare su modulo predisposto dal Comune. È fatto divieto di estinguere il debito accollato mediante compensazione con crediti dell’accollante. </w:t>
      </w:r>
    </w:p>
    <w:p w:rsidR="000A4F19" w:rsidRPr="000A4F19" w:rsidRDefault="000A4F19" w:rsidP="000A4F19">
      <w:pPr>
        <w:spacing w:after="0" w:line="240" w:lineRule="auto"/>
        <w:ind w:left="360"/>
        <w:jc w:val="both"/>
        <w:rPr>
          <w:rFonts w:ascii="Times New Roman" w:eastAsia="Times New Roman" w:hAnsi="Times New Roman" w:cs="Times New Roman"/>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bookmarkStart w:id="31" w:name="_Toc8712180"/>
      <w:bookmarkStart w:id="32" w:name="_Toc314411947"/>
      <w:bookmarkStart w:id="33" w:name="_Toc34662179"/>
      <w:r w:rsidRPr="000A4F19">
        <w:rPr>
          <w:rFonts w:ascii="Times New Roman" w:eastAsia="Times New Roman" w:hAnsi="Times New Roman" w:cs="Times New Roman"/>
          <w:b/>
          <w:sz w:val="24"/>
          <w:szCs w:val="24"/>
          <w:lang w:eastAsia="it-IT"/>
        </w:rPr>
        <w:t>Articolo 1</w:t>
      </w:r>
      <w:bookmarkEnd w:id="31"/>
      <w:r w:rsidRPr="000A4F19">
        <w:rPr>
          <w:rFonts w:ascii="Times New Roman" w:eastAsia="Times New Roman" w:hAnsi="Times New Roman" w:cs="Times New Roman"/>
          <w:b/>
          <w:sz w:val="24"/>
          <w:szCs w:val="24"/>
          <w:lang w:eastAsia="it-IT"/>
        </w:rPr>
        <w:t>2</w:t>
      </w:r>
      <w:bookmarkStart w:id="34" w:name="_Toc8712181"/>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Accertamento esecutivo e rateazione</w:t>
      </w:r>
      <w:bookmarkEnd w:id="32"/>
      <w:bookmarkEnd w:id="33"/>
      <w:bookmarkEnd w:id="34"/>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numPr>
          <w:ilvl w:val="0"/>
          <w:numId w:val="3"/>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L’attività di controllo è effettuata secondo le modalità disciplinate dalla legge n. 296 del 2006 e dalla legge n. 160 del 2019.</w:t>
      </w:r>
    </w:p>
    <w:p w:rsidR="000A4F19" w:rsidRPr="000A4F19" w:rsidRDefault="000A4F19" w:rsidP="000A4F19">
      <w:pPr>
        <w:numPr>
          <w:ilvl w:val="0"/>
          <w:numId w:val="3"/>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Nell'attività di recupero non si dà luogo ad emissione dell’avviso di accertamento esecutivo quando l’importo dello stesso, per imposta, sanzione ed interessi, non supera euro 12,00.</w:t>
      </w:r>
    </w:p>
    <w:p w:rsidR="000A4F19" w:rsidRPr="000A4F19" w:rsidRDefault="000A4F19" w:rsidP="000A4F19">
      <w:pPr>
        <w:numPr>
          <w:ilvl w:val="0"/>
          <w:numId w:val="3"/>
        </w:num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Il Comune, o il soggetto affidatario che decorso il termine ultimo per il pagamento procederà alla riscossione, concede, su richiesta del contribuente che versi in una situazione di temporanea </w:t>
      </w:r>
      <w:r w:rsidRPr="000A4F19">
        <w:rPr>
          <w:rFonts w:ascii="Times New Roman" w:eastAsia="Times New Roman" w:hAnsi="Times New Roman" w:cs="Times New Roman"/>
          <w:sz w:val="24"/>
          <w:szCs w:val="24"/>
          <w:lang w:eastAsia="it-IT"/>
        </w:rPr>
        <w:lastRenderedPageBreak/>
        <w:t>ed obiettiva difficoltà, la ripartizione del pagamento delle somme dovute secondo le condizioni e le modalità stabilite nei relativi regolamenti comunali.</w:t>
      </w: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bookmarkStart w:id="35" w:name="_Toc8712182"/>
      <w:bookmarkStart w:id="36" w:name="_Toc314411949"/>
      <w:bookmarkStart w:id="37" w:name="_Toc34662180"/>
      <w:r w:rsidRPr="000A4F19">
        <w:rPr>
          <w:rFonts w:ascii="Times New Roman" w:eastAsia="Times New Roman" w:hAnsi="Times New Roman" w:cs="Times New Roman"/>
          <w:b/>
          <w:sz w:val="24"/>
          <w:szCs w:val="24"/>
          <w:lang w:eastAsia="it-IT"/>
        </w:rPr>
        <w:t>Articolo 13</w:t>
      </w:r>
      <w:bookmarkStart w:id="38" w:name="_Toc8712183"/>
      <w:bookmarkEnd w:id="35"/>
    </w:p>
    <w:p w:rsidR="000A4F19" w:rsidRPr="000A4F19" w:rsidRDefault="000A4F19" w:rsidP="000A4F19">
      <w:pPr>
        <w:keepNext/>
        <w:spacing w:after="0" w:line="240" w:lineRule="auto"/>
        <w:jc w:val="center"/>
        <w:outlineLvl w:val="0"/>
        <w:rPr>
          <w:rFonts w:ascii="Times New Roman" w:eastAsia="Times New Roman" w:hAnsi="Times New Roman" w:cs="Times New Roman"/>
          <w:b/>
          <w:sz w:val="24"/>
          <w:szCs w:val="24"/>
          <w:lang w:eastAsia="it-IT"/>
        </w:rPr>
      </w:pPr>
      <w:r w:rsidRPr="000A4F19">
        <w:rPr>
          <w:rFonts w:ascii="Times New Roman" w:eastAsia="Times New Roman" w:hAnsi="Times New Roman" w:cs="Times New Roman"/>
          <w:b/>
          <w:sz w:val="24"/>
          <w:szCs w:val="24"/>
          <w:lang w:eastAsia="it-IT"/>
        </w:rPr>
        <w:t>Entrata in vigore del regolamento</w:t>
      </w:r>
      <w:bookmarkEnd w:id="36"/>
      <w:bookmarkEnd w:id="37"/>
      <w:bookmarkEnd w:id="38"/>
    </w:p>
    <w:p w:rsidR="000A4F19" w:rsidRPr="000A4F19" w:rsidRDefault="000A4F19" w:rsidP="000A4F19">
      <w:pPr>
        <w:spacing w:after="0" w:line="240" w:lineRule="auto"/>
        <w:rPr>
          <w:rFonts w:ascii="Times New Roman" w:eastAsia="Times New Roman" w:hAnsi="Times New Roman" w:cs="Times New Roman"/>
          <w:sz w:val="24"/>
          <w:szCs w:val="24"/>
          <w:lang w:eastAsia="it-IT"/>
        </w:rPr>
      </w:pPr>
    </w:p>
    <w:p w:rsidR="000A4F19" w:rsidRPr="000A4F19" w:rsidRDefault="000A4F19" w:rsidP="000A4F19">
      <w:pPr>
        <w:spacing w:after="0" w:line="240" w:lineRule="auto"/>
        <w:jc w:val="both"/>
        <w:rPr>
          <w:rFonts w:ascii="Times New Roman" w:eastAsia="Times New Roman" w:hAnsi="Times New Roman" w:cs="Times New Roman"/>
          <w:sz w:val="24"/>
          <w:szCs w:val="24"/>
          <w:lang w:eastAsia="it-IT"/>
        </w:rPr>
      </w:pPr>
      <w:r w:rsidRPr="000A4F19">
        <w:rPr>
          <w:rFonts w:ascii="Times New Roman" w:eastAsia="Times New Roman" w:hAnsi="Times New Roman" w:cs="Times New Roman"/>
          <w:sz w:val="24"/>
          <w:szCs w:val="24"/>
          <w:lang w:eastAsia="it-IT"/>
        </w:rPr>
        <w:t xml:space="preserve">1.  Il presente regolamento entra in vigore a decorrere dal 1° gennaio 2020. </w:t>
      </w:r>
    </w:p>
    <w:p w:rsidR="000A4F19" w:rsidRPr="000A4F19" w:rsidRDefault="000A4F19" w:rsidP="000A4F19">
      <w:pPr>
        <w:numPr>
          <w:ilvl w:val="6"/>
          <w:numId w:val="10"/>
        </w:numPr>
        <w:spacing w:after="0" w:line="240" w:lineRule="auto"/>
        <w:contextualSpacing/>
        <w:jc w:val="both"/>
        <w:rPr>
          <w:rFonts w:ascii="Times New Roman" w:eastAsia="Calibri" w:hAnsi="Times New Roman" w:cs="Times New Roman"/>
          <w:sz w:val="24"/>
          <w:szCs w:val="24"/>
        </w:rPr>
      </w:pPr>
      <w:r w:rsidRPr="000A4F19">
        <w:rPr>
          <w:rFonts w:ascii="Times New Roman" w:eastAsia="Calibri" w:hAnsi="Times New Roman" w:cs="Times New Roman"/>
          <w:sz w:val="24"/>
          <w:szCs w:val="24"/>
        </w:rPr>
        <w:t>Il presente regolamento si adegua automaticamente alle modificazioni della normativa nazionale e comunitaria. I richiami e le citazioni di norme contenuti nel presente regolamento si devono intendere fatti al testo vigente delle norme stesse.</w:t>
      </w:r>
    </w:p>
    <w:p w:rsidR="000A4F19" w:rsidRPr="000A4F19" w:rsidRDefault="000A4F19" w:rsidP="000A4F19">
      <w:pPr>
        <w:spacing w:after="80" w:line="264" w:lineRule="auto"/>
        <w:ind w:left="1202"/>
        <w:jc w:val="both"/>
        <w:rPr>
          <w:rFonts w:ascii="Times New Roman" w:eastAsia="Times New Roman" w:hAnsi="Times New Roman" w:cs="Times New Roman"/>
          <w:sz w:val="24"/>
          <w:szCs w:val="24"/>
          <w:lang w:eastAsia="it-IT"/>
        </w:rPr>
      </w:pPr>
    </w:p>
    <w:p w:rsidR="000A4F19" w:rsidRPr="000A4F19" w:rsidRDefault="000A4F19" w:rsidP="000A4F19">
      <w:pPr>
        <w:spacing w:after="0" w:line="240" w:lineRule="auto"/>
        <w:rPr>
          <w:rFonts w:ascii="Times New Roman" w:eastAsia="Times New Roman" w:hAnsi="Times New Roman" w:cs="Times New Roman"/>
          <w:b/>
          <w:sz w:val="24"/>
          <w:szCs w:val="24"/>
          <w:u w:val="single"/>
          <w:lang w:eastAsia="it-IT"/>
        </w:rPr>
      </w:pPr>
    </w:p>
    <w:p w:rsidR="000A4F19" w:rsidRDefault="000A4F19" w:rsidP="000A4F19"/>
    <w:sectPr w:rsidR="000A4F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997"/>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0DBE5E49"/>
    <w:multiLevelType w:val="singleLevel"/>
    <w:tmpl w:val="0410000F"/>
    <w:lvl w:ilvl="0">
      <w:start w:val="1"/>
      <w:numFmt w:val="decimal"/>
      <w:lvlText w:val="%1."/>
      <w:lvlJc w:val="left"/>
      <w:pPr>
        <w:tabs>
          <w:tab w:val="num" w:pos="360"/>
        </w:tabs>
        <w:ind w:left="360" w:hanging="360"/>
      </w:pPr>
    </w:lvl>
  </w:abstractNum>
  <w:abstractNum w:abstractNumId="2">
    <w:nsid w:val="12515C11"/>
    <w:multiLevelType w:val="multilevel"/>
    <w:tmpl w:val="ACACE3C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D6F6BA1"/>
    <w:multiLevelType w:val="hybridMultilevel"/>
    <w:tmpl w:val="77580930"/>
    <w:lvl w:ilvl="0" w:tplc="0410000F">
      <w:start w:val="1"/>
      <w:numFmt w:val="decimal"/>
      <w:lvlText w:val="%1."/>
      <w:lvlJc w:val="left"/>
      <w:pPr>
        <w:tabs>
          <w:tab w:val="num" w:pos="360"/>
        </w:tabs>
        <w:ind w:left="36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EFC4E77"/>
    <w:multiLevelType w:val="singleLevel"/>
    <w:tmpl w:val="0410000F"/>
    <w:lvl w:ilvl="0">
      <w:start w:val="1"/>
      <w:numFmt w:val="decimal"/>
      <w:lvlText w:val="%1."/>
      <w:lvlJc w:val="left"/>
      <w:pPr>
        <w:tabs>
          <w:tab w:val="num" w:pos="360"/>
        </w:tabs>
        <w:ind w:left="360" w:hanging="360"/>
      </w:pPr>
    </w:lvl>
  </w:abstractNum>
  <w:abstractNum w:abstractNumId="5">
    <w:nsid w:val="1FB92EF9"/>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205E750B"/>
    <w:multiLevelType w:val="hybridMultilevel"/>
    <w:tmpl w:val="E01C28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6C5248"/>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571D2AB8"/>
    <w:multiLevelType w:val="hybridMultilevel"/>
    <w:tmpl w:val="99829C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576744D3"/>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66E455C"/>
    <w:multiLevelType w:val="singleLevel"/>
    <w:tmpl w:val="0410000F"/>
    <w:lvl w:ilvl="0">
      <w:start w:val="1"/>
      <w:numFmt w:val="decimal"/>
      <w:lvlText w:val="%1."/>
      <w:lvlJc w:val="left"/>
      <w:pPr>
        <w:tabs>
          <w:tab w:val="num" w:pos="360"/>
        </w:tabs>
        <w:ind w:left="360" w:hanging="360"/>
      </w:pPr>
    </w:lvl>
  </w:abstractNum>
  <w:num w:numId="1">
    <w:abstractNumId w:val="1"/>
  </w:num>
  <w:num w:numId="2">
    <w:abstractNumId w:val="10"/>
  </w:num>
  <w:num w:numId="3">
    <w:abstractNumId w:val="4"/>
  </w:num>
  <w:num w:numId="4">
    <w:abstractNumId w:val="9"/>
  </w:num>
  <w:num w:numId="5">
    <w:abstractNumId w:val="7"/>
  </w:num>
  <w:num w:numId="6">
    <w:abstractNumId w:val="0"/>
  </w:num>
  <w:num w:numId="7">
    <w:abstractNumId w:val="5"/>
  </w:num>
  <w:num w:numId="8">
    <w:abstractNumId w:val="6"/>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01"/>
    <w:rsid w:val="000A4F19"/>
    <w:rsid w:val="002175FC"/>
    <w:rsid w:val="002C5B01"/>
    <w:rsid w:val="00362FDE"/>
    <w:rsid w:val="003F1968"/>
    <w:rsid w:val="00A24C75"/>
    <w:rsid w:val="00B516B5"/>
    <w:rsid w:val="00F615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qFormat/>
    <w:rsid w:val="000A4F19"/>
    <w:pPr>
      <w:pBdr>
        <w:bottom w:val="single" w:sz="4" w:space="1" w:color="auto"/>
      </w:pBdr>
      <w:spacing w:after="0" w:line="240" w:lineRule="auto"/>
      <w:jc w:val="center"/>
    </w:pPr>
    <w:rPr>
      <w:rFonts w:ascii="Garamond" w:eastAsia="Times New Roman" w:hAnsi="Garamond" w:cs="Times New Roman"/>
      <w:sz w:val="32"/>
      <w:szCs w:val="20"/>
      <w:lang w:eastAsia="it-IT"/>
    </w:rPr>
  </w:style>
  <w:style w:type="character" w:customStyle="1" w:styleId="SottotitoloCarattere">
    <w:name w:val="Sottotitolo Carattere"/>
    <w:basedOn w:val="Carpredefinitoparagrafo"/>
    <w:link w:val="Sottotitolo"/>
    <w:rsid w:val="000A4F19"/>
    <w:rPr>
      <w:rFonts w:ascii="Garamond" w:eastAsia="Times New Roman" w:hAnsi="Garamond" w:cs="Times New Roman"/>
      <w:sz w:val="32"/>
      <w:szCs w:val="20"/>
      <w:lang w:eastAsia="it-IT"/>
    </w:rPr>
  </w:style>
  <w:style w:type="paragraph" w:styleId="Sommario1">
    <w:name w:val="toc 1"/>
    <w:basedOn w:val="Normale"/>
    <w:next w:val="Normale"/>
    <w:autoRedefine/>
    <w:uiPriority w:val="39"/>
    <w:semiHidden/>
    <w:unhideWhenUsed/>
    <w:rsid w:val="000A4F19"/>
    <w:pPr>
      <w:tabs>
        <w:tab w:val="right" w:leader="underscore" w:pos="9628"/>
      </w:tabs>
      <w:spacing w:before="120" w:after="0" w:line="240" w:lineRule="auto"/>
    </w:pPr>
    <w:rPr>
      <w:rFonts w:ascii="Times New Roman" w:eastAsia="Times New Roman" w:hAnsi="Times New Roman" w:cs="Times New Roman"/>
      <w:b/>
      <w:noProof/>
      <w:sz w:val="24"/>
      <w:szCs w:val="20"/>
      <w:lang w:eastAsia="it-IT"/>
    </w:rPr>
  </w:style>
  <w:style w:type="paragraph" w:styleId="Titolo">
    <w:name w:val="Title"/>
    <w:basedOn w:val="Normale"/>
    <w:link w:val="TitoloCarattere"/>
    <w:qFormat/>
    <w:rsid w:val="000A4F19"/>
    <w:pPr>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0A4F19"/>
    <w:rPr>
      <w:rFonts w:ascii="Times New Roman" w:eastAsia="Times New Roman" w:hAnsi="Times New Roman" w:cs="Times New Roman"/>
      <w:b/>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qFormat/>
    <w:rsid w:val="000A4F19"/>
    <w:pPr>
      <w:pBdr>
        <w:bottom w:val="single" w:sz="4" w:space="1" w:color="auto"/>
      </w:pBdr>
      <w:spacing w:after="0" w:line="240" w:lineRule="auto"/>
      <w:jc w:val="center"/>
    </w:pPr>
    <w:rPr>
      <w:rFonts w:ascii="Garamond" w:eastAsia="Times New Roman" w:hAnsi="Garamond" w:cs="Times New Roman"/>
      <w:sz w:val="32"/>
      <w:szCs w:val="20"/>
      <w:lang w:eastAsia="it-IT"/>
    </w:rPr>
  </w:style>
  <w:style w:type="character" w:customStyle="1" w:styleId="SottotitoloCarattere">
    <w:name w:val="Sottotitolo Carattere"/>
    <w:basedOn w:val="Carpredefinitoparagrafo"/>
    <w:link w:val="Sottotitolo"/>
    <w:rsid w:val="000A4F19"/>
    <w:rPr>
      <w:rFonts w:ascii="Garamond" w:eastAsia="Times New Roman" w:hAnsi="Garamond" w:cs="Times New Roman"/>
      <w:sz w:val="32"/>
      <w:szCs w:val="20"/>
      <w:lang w:eastAsia="it-IT"/>
    </w:rPr>
  </w:style>
  <w:style w:type="paragraph" w:styleId="Sommario1">
    <w:name w:val="toc 1"/>
    <w:basedOn w:val="Normale"/>
    <w:next w:val="Normale"/>
    <w:autoRedefine/>
    <w:uiPriority w:val="39"/>
    <w:semiHidden/>
    <w:unhideWhenUsed/>
    <w:rsid w:val="000A4F19"/>
    <w:pPr>
      <w:tabs>
        <w:tab w:val="right" w:leader="underscore" w:pos="9628"/>
      </w:tabs>
      <w:spacing w:before="120" w:after="0" w:line="240" w:lineRule="auto"/>
    </w:pPr>
    <w:rPr>
      <w:rFonts w:ascii="Times New Roman" w:eastAsia="Times New Roman" w:hAnsi="Times New Roman" w:cs="Times New Roman"/>
      <w:b/>
      <w:noProof/>
      <w:sz w:val="24"/>
      <w:szCs w:val="20"/>
      <w:lang w:eastAsia="it-IT"/>
    </w:rPr>
  </w:style>
  <w:style w:type="paragraph" w:styleId="Titolo">
    <w:name w:val="Title"/>
    <w:basedOn w:val="Normale"/>
    <w:link w:val="TitoloCarattere"/>
    <w:qFormat/>
    <w:rsid w:val="000A4F19"/>
    <w:pPr>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0A4F19"/>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568670">
      <w:bodyDiv w:val="1"/>
      <w:marLeft w:val="0"/>
      <w:marRight w:val="0"/>
      <w:marTop w:val="0"/>
      <w:marBottom w:val="0"/>
      <w:divBdr>
        <w:top w:val="none" w:sz="0" w:space="0" w:color="auto"/>
        <w:left w:val="none" w:sz="0" w:space="0" w:color="auto"/>
        <w:bottom w:val="none" w:sz="0" w:space="0" w:color="auto"/>
        <w:right w:val="none" w:sz="0" w:space="0" w:color="auto"/>
      </w:divBdr>
    </w:div>
    <w:div w:id="175670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2126</Words>
  <Characters>12122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Alessandra</cp:lastModifiedBy>
  <cp:revision>3</cp:revision>
  <dcterms:created xsi:type="dcterms:W3CDTF">2020-09-22T13:15:00Z</dcterms:created>
  <dcterms:modified xsi:type="dcterms:W3CDTF">2020-09-28T13:39:00Z</dcterms:modified>
</cp:coreProperties>
</file>