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BA" w:rsidRDefault="008B40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40BA" w:rsidRDefault="00F4047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Schema di Convenzione per la </w:t>
      </w:r>
      <w:r>
        <w:rPr>
          <w:rFonts w:ascii="Arial" w:hAnsi="Arial" w:cs="Arial"/>
          <w:b/>
          <w:bCs/>
        </w:rPr>
        <w:t>CONCESSIONE IN GESTIONE DEL“CENTRO</w:t>
      </w:r>
    </w:p>
    <w:p w:rsidR="008B40BA" w:rsidRDefault="00F4047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ESTIVO COMUNALE” PERIODO 03-28 luglio 2017</w:t>
      </w:r>
    </w:p>
    <w:p w:rsidR="008B40BA" w:rsidRDefault="00F4047E"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Tra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Il Comune di Cerreto di Spoleto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in persona del responsabile dell’Area Amministrativa Sig.ra Bocci Oriana che interviene in nome e per conto del Comune di Cerreto di Spoleto C.F. 84002490542;</w:t>
      </w:r>
    </w:p>
    <w:p w:rsidR="008B40BA" w:rsidRDefault="00F4047E">
      <w:pPr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  ________________________in persona del proprio rappresentante legale , Sig. _______________, con sede in  C.F./P. IVA     ______________________,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si conviene e stipula quanto segue:</w:t>
      </w:r>
    </w:p>
    <w:p w:rsidR="008B40BA" w:rsidRDefault="008B40BA">
      <w:pPr>
        <w:spacing w:after="0" w:line="240" w:lineRule="auto"/>
        <w:rPr>
          <w:rFonts w:ascii="Arial" w:hAnsi="Arial" w:cs="Arial"/>
          <w:b/>
          <w:bCs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1 - Oggetto</w:t>
      </w:r>
    </w:p>
    <w:p w:rsidR="008B40BA" w:rsidRDefault="00F4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Convenzione ha per oggetto la concessione in gestione di un Centro Estivo (d’ora in poi C.E.) per minori, da svolgersi presso locali idonei ubicati nel territorio del  </w:t>
      </w:r>
      <w:r w:rsidR="0067159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di Cerreto di Spoleto di propria disponibilità, che gestiscano le proprie attività in conformità alla normativa vigente in materia e favoriscano l’integrazione di bambini/ragazzi diversamente abili:</w:t>
      </w:r>
    </w:p>
    <w:p w:rsidR="008B40BA" w:rsidRDefault="00F4047E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centro estivo per bambini e ragazzi (6 – 16 anni)</w:t>
      </w:r>
      <w:r w:rsidR="00671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0BA" w:rsidRPr="0067159F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9F">
        <w:rPr>
          <w:rFonts w:ascii="Times New Roman" w:hAnsi="Times New Roman" w:cs="Times New Roman"/>
          <w:sz w:val="24"/>
          <w:szCs w:val="24"/>
        </w:rPr>
        <w:t>Il progetto dovrà quindi prevedere un’unica organizzazione gestionale relative alla conduzione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159F">
        <w:rPr>
          <w:rFonts w:ascii="Times New Roman" w:hAnsi="Times New Roman" w:cs="Times New Roman"/>
          <w:sz w:val="24"/>
          <w:szCs w:val="24"/>
        </w:rPr>
        <w:t>educativa, sportiva ed aggregativa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C0457" w:rsidRPr="00AC0457" w:rsidRDefault="00AC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servizio dovrà essere svolto in conformità alla vigente normativa in materia, al presente contratto nonché all’offerta tecnica presentata in sede di gara.</w:t>
      </w:r>
    </w:p>
    <w:p w:rsidR="00AC0457" w:rsidRPr="00AC0457" w:rsidRDefault="00AC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4AE" w:rsidRDefault="00FC4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2 - Utenza e tariffario rette di frequenza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Centro estivo si rivolge ai bambini in età di 6 -1</w:t>
      </w:r>
      <w:r w:rsidR="00FC44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anni, anche diversamente abili,</w:t>
      </w:r>
      <w:r w:rsidR="00CE6490">
        <w:rPr>
          <w:rFonts w:ascii="Times New Roman" w:hAnsi="Times New Roman" w:cs="Times New Roman"/>
          <w:sz w:val="24"/>
          <w:szCs w:val="24"/>
          <w:shd w:val="clear" w:color="auto" w:fill="6666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residenti nel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Spoleto. Possono essere iscritti anche minori non residenti.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bambini vengono suddivisi in gruppi prevalentemente omogenei per età.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L’utenza massima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accoglibile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pari ad un massimo di 30 unità ivi compresi i diversamente abili per un massimo di 2 unità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seguente prospetto sono riportate le rette settimanali di frequenza, stabilite dalla Giunta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Comunale: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041"/>
        <w:gridCol w:w="1941"/>
        <w:gridCol w:w="2000"/>
        <w:gridCol w:w="2070"/>
        <w:gridCol w:w="1802"/>
      </w:tblGrid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 settimana (frequenza almeno 3 su 5 giorni)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€ comprensiva di ogni onere (iva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carico del comune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carico dell’utente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Utenza massima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accoglibile</w:t>
            </w:r>
            <w:proofErr w:type="spellEnd"/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28/30</w:t>
            </w:r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diversamente abile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1/2</w:t>
            </w:r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non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libera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Come disposto dalla ditta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libera</w:t>
            </w:r>
          </w:p>
        </w:tc>
      </w:tr>
    </w:tbl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 – Esecuzione del servizio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Il servizio, da svolgersi secondo l’articolazione progettuale presentata nell’offerta, sarà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attivo nei seguenti periodi nei giorni dal lunedì al venerdì: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03 al 28 luglio 2017 dalle ore 9,00 alle ore 13,30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Competono al Concessionario: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a) L’organizzazione e gestione del servizio nei seguenti periodi (dal lunedì al venerdì)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dalle ore 9.00 alle ore 13.30 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La gestione delle iscrizioni e l’incasso dei proventi derivanti dalle rette;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Il progetto completo di proposte motorie, sportive, educativo-aggregative ed operative,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Lo svolgimento dell’ attività di “piscina” (presso un idoneo impianto del territorio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Valnerina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”) – da svolgersi due volte a settimana - e del relativo trasporto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La gestione del personale amministrativo, educativo, di animazione (assunzione, formazione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prima dell’avvio del servizio, coordinamento e trattamento economico e fiscale);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La fornitura e la gestione del materiale didattico di consumo e di attrezzi per le attività motorie 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Gli incontri con i genitori e le comunicazioni alle famiglie durante il periodo di funzionamento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 centro;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 Le pulizie dei locali utilizzati per il Centro Estivo, con la fornitura del relativo materiale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occorrente;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 – Personale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educativo dovrà essere garantito in numero adeguato alle esigenze del servizio, al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di garantire con la propria professionalità una costante efficienza dello stesso.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standard assistenziale educatore/bambini minimo richiesto è di 1/15,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del mantenimento dello standard minimo 1/15, il concessionario dovrà assicurare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sostituzione del personale assente a qualsiasi titolo entro 4 ore dal verificarsi della circostanza.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presenza di bambini diversamente abili, dovrà essere assicurata la figura di educatore di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sostegno commisurato alla gravità del singolo caso.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dell’inizio del servizio il Concessionario dovrà presentare al Comune  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l’elenco del personale impiegato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 – Gestione delle iscrizioni – incasso rette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concerne le iscrizioni la gestione sarà organizzata come segue: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Raccolta schede di iscrizione con dati personali (e successiva consegna al Comune al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termine del C.E.)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Creazione della banca dati degli utenti che hanno formalizzato la domanda, sulla base della</w:t>
      </w:r>
    </w:p>
    <w:p w:rsidR="00877C19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degli iscritti, compilata dalla  </w:t>
      </w:r>
      <w:r w:rsidR="00877C19">
        <w:rPr>
          <w:rFonts w:ascii="Times New Roman" w:hAnsi="Times New Roman" w:cs="Times New Roman"/>
          <w:sz w:val="24"/>
          <w:szCs w:val="24"/>
        </w:rPr>
        <w:t>Ditta</w:t>
      </w:r>
      <w:r>
        <w:rPr>
          <w:rFonts w:ascii="Times New Roman" w:hAnsi="Times New Roman" w:cs="Times New Roman"/>
          <w:sz w:val="24"/>
          <w:szCs w:val="24"/>
        </w:rPr>
        <w:t>, completa delle tariffe da applicare per</w:t>
      </w:r>
      <w:r w:rsidR="00877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ciascuna iscrizione;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Individuazione di un referente incaricato di: contattare i genitori dei bambini iscritti, gestire 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pagamenti e rilasciare la relativa ricevuta, rendicontare al Comune le quote riscosse in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alle tariffe approvate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B40BA" w:rsidRDefault="00877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F4047E">
        <w:rPr>
          <w:rFonts w:ascii="Times New Roman" w:hAnsi="Times New Roman" w:cs="Times New Roman"/>
          <w:b/>
          <w:bCs/>
          <w:sz w:val="24"/>
          <w:szCs w:val="24"/>
        </w:rPr>
        <w:t xml:space="preserve"> – Riprese e fotografie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fotografie e riprese video relative ai minori il Concessionario dovrà provvedere a farsi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rilasciare autorizzazione scritta dai genitori.</w:t>
      </w:r>
    </w:p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0"/>
      </w:tblGrid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Art. 7 – Oneri a carico della Amministrazione Comunale: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Comune si impegna ad erogare alla ditta aggiudicataria la somma: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74E00">
              <w:rPr>
                <w:rFonts w:ascii="Calibri" w:eastAsia="Times New Roman" w:hAnsi="Calibri" w:cstheme="minorHAnsi"/>
                <w:color w:val="000000"/>
                <w:lang w:eastAsia="it-IT"/>
              </w:rPr>
              <w:t>a)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€ 25,00 settimanali per ogni utente 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€ 50,00 settimanali per ogni utente diversamente abile </w:t>
            </w:r>
          </w:p>
        </w:tc>
      </w:tr>
    </w:tbl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 meglio dettagliata nel prospetto presentato in sede di gara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Comune si impegna e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erogare al soggetto concessionario 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/>
          <w:sz w:val="24"/>
          <w:szCs w:val="24"/>
        </w:rPr>
        <w:t>quota a carico dell’ente, quantificata i</w:t>
      </w:r>
      <w:r w:rsidR="00877C19">
        <w:rPr>
          <w:rFonts w:ascii="Times New Roman" w:hAnsi="Times New Roman" w:cs="Times New Roman"/>
          <w:color w:val="000000"/>
          <w:sz w:val="24"/>
          <w:szCs w:val="24"/>
        </w:rPr>
        <w:t>n un massimo di € 3200,00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  consuntivo dietro presentazione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regolare fattura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rendiconto ed elenco dei soggetti frequentanti il centro estivo corredato della quota versata dall’utente.</w:t>
      </w:r>
    </w:p>
    <w:p w:rsidR="0006251B" w:rsidRDefault="0006251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>omune non provvederà in alcun caso al pagamento della quota parte a carico degli utenti.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9"/>
        <w:gridCol w:w="5491"/>
      </w:tblGrid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Art. 8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Concessionario si impegna a contrarre adeguata copertura assicurativa per i danni che possano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derivare al proprio personale o che questi causassero agli utenti, esonerando il Comune da ogni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responsabilità al riguardo, restando a completo ed esclusivo carico del soggetto aggiudicatario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ualsiasi risarcimento, senza diritto di rivalsa o di compensi da parte del Comune.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 polizza dovrà esplicitamente prevedere nel novero dei terzi i bambini frequentanti.</w:t>
            </w:r>
          </w:p>
        </w:tc>
      </w:tr>
      <w:tr w:rsidR="00574E00" w:rsidRPr="00574E00" w:rsidTr="00574E00">
        <w:trPr>
          <w:gridAfter w:val="1"/>
          <w:wAfter w:w="5491" w:type="dxa"/>
          <w:trHeight w:val="94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opia  della polizza assicurativa menzionata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dovrà essere consegnata all’Amministrazione Comunale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prima della stipula del contratto e comunque prima dell’inizio del servizio. La mancata presentazione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delle stesse sarà motiv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 di revoca dell’aggiudicazione.</w:t>
            </w:r>
          </w:p>
          <w:p w:rsidR="001D6828" w:rsidRPr="00574E00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="001D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Art.  9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VERIFICHE E CONTROLLI 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L'Amministrazione Comunale si riserva la facoltà, in qualsiasi momento essa lo ritenga </w:t>
            </w: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necessario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senza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preavviso e con le modalità ritenute opportune, di effettuare controlli per verificare la rispondenza del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servizio offerto alle prescrizioni del presente contratto, nonché al progetto presentato in sede di gara. </w:t>
            </w:r>
          </w:p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verifiche e i controlli verteranno su: 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realizzazione del progetto presentato in sede di gara;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andamento delle attività;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operato degli animatori;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controllo del rispetto del rapporto educatore/bambini.</w:t>
            </w:r>
          </w:p>
        </w:tc>
      </w:tr>
      <w:tr w:rsidR="00574E00" w:rsidRPr="00574E00" w:rsidTr="00574E00">
        <w:trPr>
          <w:trHeight w:val="126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Il gestore si impegna ad agevolare i controlli dell’Amministrazione Comunale. Qualora si rilevassero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disfunzioni, anomalie nella gestione o nella realizzazione del progetto, o nell’operato del personale,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il gestore dovrà adeguarsi ai provvedimenti indicati e/o adottati dall’Amministrazione Comunale.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L’Amministrazione Comunale potrà procedere all’applicazione di penalità, così come indicato nel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presente Capitolato Speciale</w:t>
            </w:r>
            <w:r w:rsid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1D6828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W w:w="10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80"/>
            </w:tblGrid>
            <w:tr w:rsidR="001D6828" w:rsidRPr="001D6828" w:rsidTr="001D6828">
              <w:trPr>
                <w:trHeight w:val="315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828" w:rsidRP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Art. 10 </w:t>
                  </w: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– DIVIETO DI SUBAPPALTO </w:t>
                  </w:r>
                </w:p>
              </w:tc>
            </w:tr>
            <w:tr w:rsidR="001D6828" w:rsidRPr="001D6828" w:rsidTr="001D6828">
              <w:trPr>
                <w:trHeight w:val="315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E’ vietato cedere o subappaltare il servizio assunto pena l’immediata risoluzione del contratto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1D6828" w:rsidRP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:rsidR="001D6828" w:rsidRPr="00574E00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Art. 11 </w:t>
            </w: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 PENALITA’ </w:t>
            </w:r>
          </w:p>
        </w:tc>
      </w:tr>
      <w:tr w:rsidR="001D6828" w:rsidRPr="001D6828" w:rsidTr="001D6828">
        <w:trPr>
          <w:trHeight w:val="157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Premesso che l'applicazione delle penali non esclude il diritto dell’Amministrazione a pretendere il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risarcimento dell’eventuale ulteriore danno, al verificarsi di inadempienze e violazioni delle norme 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contrattuali, qualora l’aggiudicatario non ottemperasse agli obblighi assunti, sia per quanto inerente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alla puntualità ed alla qualità, sia alla perfetta esecuzione del servizio, obblighi tutti che dovranno 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essere conformi al Progetto presentato dall’aggiudicatario in sede di offerta, saranno applicate, previa</w:t>
            </w:r>
          </w:p>
          <w:p w:rsidR="001D6828" w:rsidRP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contestazione, penali nella seguente misura: 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reiterati ritardi o uscite anticipate del personale impiegato nello svolgimento dei servizi: € 500,00 </w:t>
            </w:r>
          </w:p>
          <w:p w:rsidR="001D6828" w:rsidRPr="001D6828" w:rsidRDefault="001D6828" w:rsidP="001D6828">
            <w:pPr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 ogni violazione;</w:t>
            </w:r>
          </w:p>
        </w:tc>
      </w:tr>
      <w:tr w:rsidR="001D6828" w:rsidRPr="001D6828" w:rsidTr="001D6828">
        <w:trPr>
          <w:trHeight w:val="94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mancata sostituzione di operatori assenti ovvero ritardo nella sostituzione in conseguenza del </w:t>
            </w:r>
          </w:p>
          <w:p w:rsid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quale si sia verificata una mancata copertura del servizio: € 500,00 per ogni operatore non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sostituito e per ogni giorno di mancata sostituzione; 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mancato rispetto della dotazione di personale: € 1.000,00 per ogni infrazione;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impiego di personale non qualificato (anche supplente): € 1.000,00 per ogni unità di personale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non qualificato, moltiplicata per i giorni di infrazione;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mancata sostituzione di operatore richiesta dall’Amministrazione per gravi motivi: € 500,00 per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ogni giorno di mancata sostituzione; 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comportamenti degli operatori caratterizzati da imperizia o negligenza nei confronti dell’utenza e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degli operatori coinvolti nel servizio: € 500,00 per ciascuna violazione; 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inosservanza di leggi, regolamenti e disposizioni riguardanti il servizio svolto: € 1.000,00 per ogni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violazione.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D6828" w:rsidRPr="001D6828" w:rsidTr="001D6828">
        <w:trPr>
          <w:trHeight w:val="315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caso di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</w:t>
            </w: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sservizi ed inefficienze derivanti da fatti imputabili al gestore, non rientranti nelle tipologie 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sopra indicate, la misura delle penalità varierà, per ciascuna infrazione, da un minimo di € 500,00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(cinquecento euro) a un massimo di € 2.000,00 (duemila euro), a seconda della gravità dell’inadempienza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al protrarsi della situazione pregiudizievole, da valutarsi da parte del Comune a suo insindacabile giudizio,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ferma sempre restando la facoltà di risolvere il contratto. Le penali vengono applicate con la sola formalità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della previa contestazione scritta dell’inadempienza al soggetto aggiudicatario, da comunicarsi via PEC con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termine, salvo diversa e motivata indicazione della stazione appaltante, di dieci giorni dalla data di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ricevimento per la regolarizzazione dell’inadempienza contestata ovvero per le proprie controdeduzioni e 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giustificazioni. Decorso infruttuosamente tale termine, o qualora le giustificazioni non siano ritenute</w:t>
            </w:r>
          </w:p>
          <w:p w:rsidR="00B26B14" w:rsidRP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motivatamente accettabili, si provvederà</w:t>
            </w:r>
            <w:r w:rsid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all’irrogazione della penale.</w:t>
            </w:r>
          </w:p>
        </w:tc>
      </w:tr>
      <w:tr w:rsidR="001D6828" w:rsidRPr="001D6828" w:rsidTr="001D6828">
        <w:trPr>
          <w:trHeight w:val="94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penali saranno applicate mediante trattenuta sull’importo delle fatture con emissione da parte 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dell’aggiudicatario di note di accredito sulle stesse per un importo pari alle penalità irrogate. o in caso</w:t>
            </w:r>
          </w:p>
          <w:p w:rsidR="001D6828" w:rsidRP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insufficienza, mediante prelievo dalla cauzione. </w:t>
            </w:r>
          </w:p>
        </w:tc>
      </w:tr>
    </w:tbl>
    <w:p w:rsidR="008B40BA" w:rsidRPr="0067159F" w:rsidRDefault="008B40B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66FFFF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0"/>
      </w:tblGrid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Art.12...</w:t>
            </w: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Risoluzione e recesso</w:t>
            </w:r>
          </w:p>
        </w:tc>
      </w:tr>
      <w:tr w:rsidR="00B26B14" w:rsidRPr="00B26B14" w:rsidTr="00B26B14">
        <w:trPr>
          <w:trHeight w:val="252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Comune di Cerreto di Spoleto procederà alla risoluzione del contratto per gravi inadempimenti agli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obblighi contrattuali debitamente contestati all'Aggiudicatario; in tal caso il Responsabile competente 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procederà alla formulazione, per iscritto, della contestazione degli addebiti all'Aggiudicatario 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assegnandogli il termine di 15 (quindici) giorni naturali e consecutivi per la presentazione delle proprie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controdeduzioni (ovvero entro il termine minore in caso di inadempimenti di particolare rilevanza).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Acquisite e valutate negativamente le predette controdeduzioni, ovvero scaduto il termine senza che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l'Aggiudicatario abbia risposto,  il Comune procederà alla risoluzione del contratto, salvo il diritto al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risarcimento del danno; tale risoluzione verrà formalmente dichiarata con apposito provvedimento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amministrativo motivato e comunicato all'Aggiudicatario con PEC.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 procederà inoltre alla risoluzione del contratto ai sensi dell’articolo 1456 del codice civile nei seguenti casi: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 inadempimento agli obblighi contrattuali debitamente contestato;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b. interruzione non motivata di servizio; </w:t>
            </w: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gravi deficienze e/o irregolarità nell’espletamento degli interventi e dei servizi che pregiudichino il 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regolare svolgimento delle attività; 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d. perdita dei requisiti di moralità cui all’art. 80 del d.lgs. 50/2016;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e. la cessione del contratto;</w:t>
            </w: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f. l’effettuazione di transazioni senza avvalersi di banche o della società Poste Italiane Spa, fatto salvo 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quanto previsto dal comma 3 del citato art. 3 legge 13 agosto 2010, n. 136;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g. violazione ripetuta delle norme di sicurezza e prevenzione 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AA207B" w:rsidRDefault="00B26B14" w:rsidP="00AA207B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fallimento dell'Aggiudicatario;</w:t>
            </w:r>
          </w:p>
          <w:p w:rsidR="00AA207B" w:rsidRPr="00AA207B" w:rsidRDefault="00AA207B" w:rsidP="00AA207B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AA207B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inosservanza delle norme di legge relative al personale dipendente, mancata applicazione dei</w:t>
            </w:r>
          </w:p>
          <w:p w:rsidR="00B26B14" w:rsidRPr="00AA207B" w:rsidRDefault="00B26B14" w:rsidP="00AA207B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contratti</w:t>
            </w:r>
            <w:r w:rsid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collettivi;</w:t>
            </w:r>
          </w:p>
        </w:tc>
      </w:tr>
      <w:tr w:rsidR="00B26B14" w:rsidRPr="00B26B14" w:rsidTr="00B26B14">
        <w:trPr>
          <w:trHeight w:val="12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 caso di risoluzione del contratto ogni maggiore costo derivante dallo svolgimento di attività da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parte di altre ditte, comprese le eventuali spese per atti e simili, resta a carico dell'Aggiudicatario,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salvo l’eventuale danno ulteriore. In tutti i casi di risoluzione del contratto per colpa dell'Aggiudicatario,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questi è tenuto al risarcimento di tutti i danni comunque derivanti o connessi al verificarsi  della causa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risoluzione.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12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Ai sensi dell’articolo 1, comma 13, del decreto legge 6 luglio 2012, n. 95, convertito con modificazioni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dalla legge 7 agosto 2012, n. 135, qualora nel corso della durata del contratto sopravvenisse una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Convenzione </w:t>
            </w:r>
            <w:proofErr w:type="spell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Consip</w:t>
            </w:r>
            <w:proofErr w:type="spell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 condizioni migliorative a quelle del contratto di cui alla presente procedura,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il Comune si riserva la facoltà di rinegoziare il contratto medesimo o di recedere dallo stesso alle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condizioni stabilite nel sopra richiamato articolo.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 quanto non espressamente regolato nel presente contratto, relativamente alla disciplina della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risoluzione e del recesso dal contratto, trovano applicazione le disposizioni di cui agli artt. 1453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 seguenti del codice civile.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 applica l’art. 110 comma 1 del Decreto Legislativo 18 aprile 2016 n. 50.</w:t>
            </w:r>
          </w:p>
        </w:tc>
      </w:tr>
    </w:tbl>
    <w:p w:rsidR="008B40BA" w:rsidRDefault="008B40BA" w:rsidP="00AA207B">
      <w:pPr>
        <w:pStyle w:val="corpotestoCarattereCarattere"/>
        <w:ind w:firstLine="0"/>
        <w:rPr>
          <w:rFonts w:ascii="Times New Roman" w:eastAsia="Times New Roman" w:hAnsi="Times New Roman" w:cs="Verdana"/>
          <w:b/>
          <w:bCs/>
          <w:color w:val="800000"/>
          <w:sz w:val="24"/>
          <w:szCs w:val="24"/>
          <w:lang w:eastAsia="it-IT"/>
        </w:rPr>
      </w:pPr>
    </w:p>
    <w:p w:rsidR="008B40BA" w:rsidRDefault="00F4047E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A207B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–tracciabilità dei flussi finanziari    </w:t>
      </w:r>
    </w:p>
    <w:p w:rsidR="008B40BA" w:rsidRDefault="00F4047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Il ______________________ assume l’obbligo di tracciabilità dei flussi finanziari di cui alla presente procedura ai sensi e per gli effetti dell’art. 3 della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legge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13 agosto 2010, n. 136, impegnandosi altresì alla comunicazione di cui al comma 7 del medesimo articolo.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Il ______________________  o il subcontraente che ha notizia dell'inadempimento della propria controparte agli obblighi di tracciabilità finanziaria di cui al presente articolo ne da' immediata comunicazione al Comune di Cerreto Spoleto e alla Prefettura-Ufficio territor</w:t>
      </w:r>
      <w:r w:rsidR="00AA2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iale del Governo della Provincia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di Perugia.</w:t>
      </w:r>
    </w:p>
    <w:p w:rsidR="008B40BA" w:rsidRDefault="00F4047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Ai fini della tracciabilità dei flussi finanziari di cui alla legge sopra richiamata, gli strumenti di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pagamento devono riportare il seguente  codice CIG:  ...................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AA2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14</w:t>
      </w:r>
      <w:r w:rsidR="00F4047E">
        <w:rPr>
          <w:rFonts w:ascii="Times New Roman" w:hAnsi="Times New Roman" w:cs="Times New Roman"/>
          <w:b/>
          <w:bCs/>
          <w:sz w:val="24"/>
          <w:szCs w:val="24"/>
        </w:rPr>
        <w:t xml:space="preserve"> - Trattamento dei dati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dell’art.13 del D.Lgs.196/2003 (Codice in materia di protezione dei dati personali) il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Spoleto, in qualità di titolare del trattamento dei dati personali, informa che: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 dati personali forniti verranno gestiti nel completo rispetto dei principi dettati dal Codice in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 di protezione dei dati personali (D.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196/2003), e saranno trattati al solo fine di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permettere l’attivazione o la prosecuzione di rapporti in essere con il Comune.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il conferimento dei dati personali ha natura obbligatoria in quanto indispensabile per attivare il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procedimento;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 dati potranno essere comunicati ad altri enti in base alle disposizioni normative in vigore.</w:t>
      </w:r>
    </w:p>
    <w:p w:rsidR="008B40BA" w:rsidRDefault="00AA2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15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non risulti contemplato nella presente convenzione, si fa esplicito rinvio alle leggi ed ai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regolamenti vigenti.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Spoleto, li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dell’Area Amministrativa</w:t>
      </w:r>
    </w:p>
    <w:p w:rsidR="008B40BA" w:rsidRDefault="00F4047E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Concessionario</w:t>
      </w: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649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DB3"/>
    <w:multiLevelType w:val="hybridMultilevel"/>
    <w:tmpl w:val="0AD4D96E"/>
    <w:lvl w:ilvl="0" w:tplc="0410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B77"/>
    <w:multiLevelType w:val="hybridMultilevel"/>
    <w:tmpl w:val="50FADA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7898"/>
    <w:multiLevelType w:val="multilevel"/>
    <w:tmpl w:val="61741162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DD814E4"/>
    <w:multiLevelType w:val="multilevel"/>
    <w:tmpl w:val="2DD49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A22505"/>
    <w:multiLevelType w:val="multilevel"/>
    <w:tmpl w:val="BF606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6816"/>
    <w:multiLevelType w:val="hybridMultilevel"/>
    <w:tmpl w:val="8BC44F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1DDB"/>
    <w:multiLevelType w:val="hybridMultilevel"/>
    <w:tmpl w:val="30EC1A8A"/>
    <w:lvl w:ilvl="0" w:tplc="A1E8B06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BA"/>
    <w:rsid w:val="0006251B"/>
    <w:rsid w:val="001427CA"/>
    <w:rsid w:val="001D6828"/>
    <w:rsid w:val="00574E00"/>
    <w:rsid w:val="0067159F"/>
    <w:rsid w:val="00705A85"/>
    <w:rsid w:val="00877C19"/>
    <w:rsid w:val="008B40BA"/>
    <w:rsid w:val="00AA207B"/>
    <w:rsid w:val="00AC0457"/>
    <w:rsid w:val="00B26B14"/>
    <w:rsid w:val="00CE6490"/>
    <w:rsid w:val="00D940EA"/>
    <w:rsid w:val="00F4047E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Times New Roman" w:hAnsi="Verdana" w:cs="Verdana"/>
      <w:b/>
      <w:bCs/>
      <w:color w:val="800000"/>
      <w:sz w:val="22"/>
      <w:szCs w:val="22"/>
      <w:lang w:val="it-IT" w:eastAsia="it-IT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D4E3E"/>
    <w:pPr>
      <w:ind w:left="720"/>
      <w:contextualSpacing/>
    </w:pPr>
  </w:style>
  <w:style w:type="paragraph" w:customStyle="1" w:styleId="corpotestoCarattereCarattere">
    <w:name w:val="corpo testo Carattere Carattere"/>
    <w:basedOn w:val="Normale"/>
    <w:pPr>
      <w:spacing w:before="100" w:after="100"/>
      <w:ind w:firstLine="567"/>
      <w:jc w:val="both"/>
    </w:pPr>
    <w:rPr>
      <w:rFonts w:ascii="Trebuchet MS" w:hAnsi="Trebuchet MS" w:cs="Trebuchet MS"/>
      <w:sz w:val="18"/>
    </w:rPr>
  </w:style>
  <w:style w:type="numbering" w:customStyle="1" w:styleId="WW8Num2">
    <w:name w:val="WW8Num2"/>
  </w:style>
  <w:style w:type="table" w:styleId="Grigliatabella">
    <w:name w:val="Table Grid"/>
    <w:basedOn w:val="Tabellanormale"/>
    <w:uiPriority w:val="59"/>
    <w:rsid w:val="00D30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Times New Roman" w:hAnsi="Verdana" w:cs="Verdana"/>
      <w:b/>
      <w:bCs/>
      <w:color w:val="800000"/>
      <w:sz w:val="22"/>
      <w:szCs w:val="22"/>
      <w:lang w:val="it-IT" w:eastAsia="it-IT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D4E3E"/>
    <w:pPr>
      <w:ind w:left="720"/>
      <w:contextualSpacing/>
    </w:pPr>
  </w:style>
  <w:style w:type="paragraph" w:customStyle="1" w:styleId="corpotestoCarattereCarattere">
    <w:name w:val="corpo testo Carattere Carattere"/>
    <w:basedOn w:val="Normale"/>
    <w:pPr>
      <w:spacing w:before="100" w:after="100"/>
      <w:ind w:firstLine="567"/>
      <w:jc w:val="both"/>
    </w:pPr>
    <w:rPr>
      <w:rFonts w:ascii="Trebuchet MS" w:hAnsi="Trebuchet MS" w:cs="Trebuchet MS"/>
      <w:sz w:val="18"/>
    </w:rPr>
  </w:style>
  <w:style w:type="numbering" w:customStyle="1" w:styleId="WW8Num2">
    <w:name w:val="WW8Num2"/>
  </w:style>
  <w:style w:type="table" w:styleId="Grigliatabella">
    <w:name w:val="Table Grid"/>
    <w:basedOn w:val="Tabellanormale"/>
    <w:uiPriority w:val="59"/>
    <w:rsid w:val="00D30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2017-05-11T10:26:00Z</dcterms:created>
  <dcterms:modified xsi:type="dcterms:W3CDTF">2017-05-20T10:34:00Z</dcterms:modified>
  <dc:language>it-IT</dc:language>
</cp:coreProperties>
</file>