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38"/>
          <w:szCs w:val="24"/>
        </w:rPr>
      </w:pPr>
      <w:r w:rsidRPr="009A1550">
        <w:rPr>
          <w:rFonts w:ascii="Cambria" w:eastAsia="Times New Roman" w:hAnsi="Cambria" w:cs="Times New Roman"/>
          <w:sz w:val="38"/>
          <w:szCs w:val="24"/>
        </w:rPr>
        <w:t xml:space="preserve">COMUNE DI CERRETO DI SPOLETO </w:t>
      </w:r>
    </w:p>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38"/>
          <w:szCs w:val="24"/>
        </w:rPr>
      </w:pPr>
      <w:r w:rsidRPr="009A1550">
        <w:rPr>
          <w:rFonts w:ascii="Cambria" w:eastAsia="Times New Roman" w:hAnsi="Cambria" w:cs="Times New Roman"/>
          <w:sz w:val="38"/>
          <w:szCs w:val="24"/>
        </w:rPr>
        <w:t xml:space="preserve">Provincia di Perugia </w:t>
      </w: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sz w:val="38"/>
          <w:szCs w:val="24"/>
        </w:rPr>
      </w:pP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sz w:val="38"/>
          <w:szCs w:val="24"/>
        </w:rPr>
      </w:pPr>
      <w:r w:rsidRPr="009A1550">
        <w:rPr>
          <w:rFonts w:ascii="Cambria" w:eastAsia="Times New Roman" w:hAnsi="Cambria" w:cs="Times New Roman"/>
          <w:sz w:val="38"/>
          <w:szCs w:val="24"/>
        </w:rPr>
        <w:t>Regolamento sulla disciplina dele posizioni organizzative</w:t>
      </w: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b/>
          <w:sz w:val="24"/>
          <w:szCs w:val="24"/>
        </w:rPr>
      </w:pP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b/>
          <w:sz w:val="24"/>
          <w:szCs w:val="24"/>
        </w:rPr>
      </w:pPr>
      <w:r w:rsidRPr="009A1550">
        <w:rPr>
          <w:rFonts w:ascii="Cambria" w:eastAsia="Times New Roman" w:hAnsi="Cambria" w:cs="Times New Roman"/>
          <w:b/>
          <w:sz w:val="24"/>
          <w:szCs w:val="24"/>
        </w:rPr>
        <w:t>Articolo 1 - Istituzione delle posizioni organizzative</w:t>
      </w:r>
    </w:p>
    <w:p w:rsidR="009A1550" w:rsidRPr="009A1550" w:rsidRDefault="009A1550" w:rsidP="009A1550">
      <w:pPr>
        <w:numPr>
          <w:ilvl w:val="0"/>
          <w:numId w:val="1"/>
        </w:numPr>
        <w:autoSpaceDE w:val="0"/>
        <w:autoSpaceDN w:val="0"/>
        <w:adjustRightInd w:val="0"/>
        <w:spacing w:after="0" w:line="276" w:lineRule="auto"/>
        <w:ind w:left="284" w:hanging="284"/>
        <w:contextualSpacing/>
        <w:jc w:val="both"/>
        <w:rPr>
          <w:rFonts w:ascii="Cambria" w:eastAsia="Times New Roman" w:hAnsi="Cambria" w:cs="Times New Roman"/>
          <w:sz w:val="24"/>
          <w:szCs w:val="24"/>
        </w:rPr>
      </w:pPr>
      <w:r w:rsidRPr="009A1550">
        <w:rPr>
          <w:rFonts w:ascii="Cambria" w:eastAsia="Times New Roman" w:hAnsi="Cambria" w:cs="Times New Roman"/>
          <w:sz w:val="24"/>
          <w:szCs w:val="24"/>
        </w:rPr>
        <w:t>Sono istituite posizioni organizzative di cui al comma 1 dell’articolo 13 del CCNL 21.5.2018</w:t>
      </w:r>
    </w:p>
    <w:p w:rsidR="009A1550" w:rsidRPr="009A1550" w:rsidRDefault="009A1550" w:rsidP="009A1550">
      <w:pPr>
        <w:numPr>
          <w:ilvl w:val="0"/>
          <w:numId w:val="1"/>
        </w:numPr>
        <w:autoSpaceDE w:val="0"/>
        <w:autoSpaceDN w:val="0"/>
        <w:adjustRightInd w:val="0"/>
        <w:spacing w:after="0" w:line="276" w:lineRule="auto"/>
        <w:ind w:left="284" w:hanging="284"/>
        <w:contextualSpacing/>
        <w:jc w:val="both"/>
        <w:rPr>
          <w:rFonts w:ascii="Cambria" w:eastAsia="Times New Roman" w:hAnsi="Cambria" w:cs="Times New Roman"/>
          <w:sz w:val="24"/>
          <w:szCs w:val="24"/>
        </w:rPr>
      </w:pPr>
      <w:r w:rsidRPr="009A1550">
        <w:rPr>
          <w:rFonts w:ascii="Cambria" w:eastAsia="Times New Roman" w:hAnsi="Cambria" w:cs="Times New Roman"/>
          <w:sz w:val="24"/>
          <w:szCs w:val="24"/>
        </w:rPr>
        <w:t>La istituzione delle posizioni organizzative di direzione di strutture organizzative di cui alla lettera a) dell’articolo 13 del CCNL 21.5.2018 remunera il conferimento degli incarichi dirigenziali, visto che l’ente è privo di dirigenza</w:t>
      </w:r>
    </w:p>
    <w:p w:rsidR="009A1550" w:rsidRPr="009A1550" w:rsidRDefault="009A1550" w:rsidP="009A1550">
      <w:pPr>
        <w:numPr>
          <w:ilvl w:val="0"/>
          <w:numId w:val="1"/>
        </w:numPr>
        <w:autoSpaceDE w:val="0"/>
        <w:autoSpaceDN w:val="0"/>
        <w:adjustRightInd w:val="0"/>
        <w:spacing w:after="0" w:line="276" w:lineRule="auto"/>
        <w:ind w:left="284" w:hanging="284"/>
        <w:contextualSpacing/>
        <w:jc w:val="both"/>
        <w:rPr>
          <w:rFonts w:ascii="Cambria" w:eastAsia="Times New Roman" w:hAnsi="Cambria" w:cs="Times New Roman"/>
          <w:sz w:val="24"/>
          <w:szCs w:val="24"/>
        </w:rPr>
      </w:pPr>
      <w:r w:rsidRPr="009A1550">
        <w:rPr>
          <w:rFonts w:ascii="Cambria" w:eastAsia="Times New Roman" w:hAnsi="Cambria" w:cs="Times New Roman"/>
          <w:sz w:val="24"/>
          <w:szCs w:val="24"/>
        </w:rPr>
        <w:t xml:space="preserve">La istituzione delle posizioni organizzative di cui alla citata lettera b) dell’articolo 13 del CCNL 21.5.2018 richiede l’assegnazione di compiti qualificati come strategici per l’ente, anche in aggiunta al conferimento di incarichi dirigenziali. Tali compiti possono essere di studio, analisi, progettazione di interventi dell’ente, effettuazione di controlli interni o analoghi ed i dipendenti destinatari di tali incarichi devono essere in possesso del titolo di studio della laurea magistrale o del vecchio ordinamento o specialistica o in possesso della iscrizione ad un albo professionale coerente con i compiti assegnati o in possesso di un master post universitario con durata di almeno 2 anni e superamento di almeno 10 esami o in possesso del titolo di dottore di ricerca, </w:t>
      </w:r>
    </w:p>
    <w:p w:rsidR="009A1550" w:rsidRPr="009A1550" w:rsidRDefault="009A1550" w:rsidP="009A1550">
      <w:pPr>
        <w:numPr>
          <w:ilvl w:val="0"/>
          <w:numId w:val="1"/>
        </w:numPr>
        <w:autoSpaceDE w:val="0"/>
        <w:autoSpaceDN w:val="0"/>
        <w:adjustRightInd w:val="0"/>
        <w:spacing w:after="0" w:line="276" w:lineRule="auto"/>
        <w:ind w:left="284" w:hanging="284"/>
        <w:contextualSpacing/>
        <w:jc w:val="both"/>
        <w:rPr>
          <w:rFonts w:ascii="Cambria" w:eastAsia="Times New Roman" w:hAnsi="Cambria" w:cs="Times New Roman"/>
          <w:sz w:val="24"/>
          <w:szCs w:val="24"/>
        </w:rPr>
      </w:pPr>
      <w:r w:rsidRPr="009A1550">
        <w:rPr>
          <w:rFonts w:ascii="Cambria" w:eastAsia="Times New Roman" w:hAnsi="Cambria" w:cs="Times New Roman"/>
          <w:sz w:val="24"/>
          <w:szCs w:val="24"/>
        </w:rPr>
        <w:t>Gli incarichi di posizioni organizzative sono conferiti ai sensi art. 13 CCNL 21.5.2018</w:t>
      </w:r>
    </w:p>
    <w:p w:rsidR="009A1550" w:rsidRPr="009A1550" w:rsidRDefault="009A1550" w:rsidP="009A1550">
      <w:pPr>
        <w:autoSpaceDE w:val="0"/>
        <w:autoSpaceDN w:val="0"/>
        <w:adjustRightInd w:val="0"/>
        <w:spacing w:after="0" w:line="276" w:lineRule="auto"/>
        <w:ind w:left="284"/>
        <w:contextualSpacing/>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before="120" w:after="120" w:line="276" w:lineRule="auto"/>
        <w:jc w:val="both"/>
        <w:rPr>
          <w:rFonts w:ascii="Cambria" w:eastAsia="Times New Roman" w:hAnsi="Cambria" w:cs="Times New Roman"/>
          <w:b/>
          <w:sz w:val="24"/>
          <w:szCs w:val="24"/>
        </w:rPr>
      </w:pPr>
      <w:r w:rsidRPr="009A1550">
        <w:rPr>
          <w:rFonts w:ascii="Cambria" w:eastAsia="Times New Roman" w:hAnsi="Cambria" w:cs="Times New Roman"/>
          <w:b/>
          <w:sz w:val="24"/>
          <w:szCs w:val="24"/>
        </w:rPr>
        <w:t>Articolo 2 - Il conferimento di incarichi di posizione organizzativa</w:t>
      </w:r>
    </w:p>
    <w:p w:rsidR="009A1550" w:rsidRPr="009A1550" w:rsidRDefault="009A1550" w:rsidP="009A1550">
      <w:pPr>
        <w:numPr>
          <w:ilvl w:val="0"/>
          <w:numId w:val="2"/>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Gli incarichi di posizione organizzativa sono conferiti sulla base dei seguenti criteri:</w:t>
      </w:r>
    </w:p>
    <w:p w:rsidR="009A1550" w:rsidRPr="009A1550" w:rsidRDefault="009A1550" w:rsidP="009A1550">
      <w:pPr>
        <w:numPr>
          <w:ilvl w:val="0"/>
          <w:numId w:val="4"/>
        </w:numPr>
        <w:autoSpaceDE w:val="0"/>
        <w:autoSpaceDN w:val="0"/>
        <w:adjustRightInd w:val="0"/>
        <w:spacing w:after="0" w:line="276" w:lineRule="auto"/>
        <w:ind w:left="720" w:hanging="360"/>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natura</w:t>
      </w:r>
      <w:proofErr w:type="gramEnd"/>
      <w:r w:rsidRPr="009A1550">
        <w:rPr>
          <w:rFonts w:ascii="Cambria" w:eastAsia="Times New Roman" w:hAnsi="Cambria" w:cs="Times New Roman"/>
          <w:sz w:val="24"/>
          <w:szCs w:val="24"/>
        </w:rPr>
        <w:t xml:space="preserve"> e caratteristiche dei programmi da realizzare, con riferimento alle indicazioni contenute nel bilancio di mandato e nel piano delle performance o degli obiettivi;</w:t>
      </w:r>
    </w:p>
    <w:p w:rsidR="009A1550" w:rsidRPr="009A1550" w:rsidRDefault="009A1550" w:rsidP="009A1550">
      <w:pPr>
        <w:numPr>
          <w:ilvl w:val="0"/>
          <w:numId w:val="4"/>
        </w:numPr>
        <w:autoSpaceDE w:val="0"/>
        <w:autoSpaceDN w:val="0"/>
        <w:adjustRightInd w:val="0"/>
        <w:spacing w:after="0" w:line="276" w:lineRule="auto"/>
        <w:ind w:left="720" w:hanging="360"/>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requisiti</w:t>
      </w:r>
      <w:proofErr w:type="gramEnd"/>
      <w:r w:rsidRPr="009A1550">
        <w:rPr>
          <w:rFonts w:ascii="Cambria" w:eastAsia="Times New Roman" w:hAnsi="Cambria" w:cs="Times New Roman"/>
          <w:sz w:val="24"/>
          <w:szCs w:val="24"/>
        </w:rPr>
        <w:t xml:space="preserve"> culturali posseduti in relazione ai programmi da realizzare;</w:t>
      </w:r>
    </w:p>
    <w:p w:rsidR="009A1550" w:rsidRPr="009A1550" w:rsidRDefault="009A1550" w:rsidP="009A1550">
      <w:pPr>
        <w:numPr>
          <w:ilvl w:val="0"/>
          <w:numId w:val="4"/>
        </w:numPr>
        <w:autoSpaceDE w:val="0"/>
        <w:autoSpaceDN w:val="0"/>
        <w:adjustRightInd w:val="0"/>
        <w:spacing w:after="0" w:line="276" w:lineRule="auto"/>
        <w:ind w:left="720" w:hanging="360"/>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attitudini</w:t>
      </w:r>
      <w:proofErr w:type="gramEnd"/>
      <w:r w:rsidRPr="009A1550">
        <w:rPr>
          <w:rFonts w:ascii="Cambria" w:eastAsia="Times New Roman" w:hAnsi="Cambria" w:cs="Times New Roman"/>
          <w:sz w:val="24"/>
          <w:szCs w:val="24"/>
        </w:rPr>
        <w:t xml:space="preserve"> in relazione ai programmi da realizzare;</w:t>
      </w:r>
    </w:p>
    <w:p w:rsidR="009A1550" w:rsidRPr="009A1550" w:rsidRDefault="009A1550" w:rsidP="009A1550">
      <w:pPr>
        <w:numPr>
          <w:ilvl w:val="0"/>
          <w:numId w:val="4"/>
        </w:numPr>
        <w:autoSpaceDE w:val="0"/>
        <w:autoSpaceDN w:val="0"/>
        <w:adjustRightInd w:val="0"/>
        <w:spacing w:after="0" w:line="276" w:lineRule="auto"/>
        <w:ind w:left="720" w:hanging="360"/>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esperienza</w:t>
      </w:r>
      <w:proofErr w:type="gramEnd"/>
      <w:r w:rsidRPr="009A1550">
        <w:rPr>
          <w:rFonts w:ascii="Cambria" w:eastAsia="Times New Roman" w:hAnsi="Cambria" w:cs="Times New Roman"/>
          <w:sz w:val="24"/>
          <w:szCs w:val="24"/>
        </w:rPr>
        <w:t xml:space="preserve"> acquisita in relazione ai programmi da realizzare.</w:t>
      </w:r>
    </w:p>
    <w:p w:rsidR="009A1550" w:rsidRPr="009A1550" w:rsidRDefault="009A1550" w:rsidP="009A1550">
      <w:pPr>
        <w:numPr>
          <w:ilvl w:val="0"/>
          <w:numId w:val="2"/>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Per la valutazione dei fattori di cui alle lettere b), c) e d) del comma 1 del presente articolo si tiene conto degli esiti delle valutazioni degli anni precedenti e dei curricula.</w:t>
      </w:r>
    </w:p>
    <w:p w:rsidR="009A1550" w:rsidRPr="009A1550" w:rsidRDefault="009A1550" w:rsidP="009A1550">
      <w:pPr>
        <w:numPr>
          <w:ilvl w:val="0"/>
          <w:numId w:val="2"/>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Gli incarichi di posizione organizzativa sono conferiti e possono essere rinnovati dal sindaco con provvedimenti motivati in relazione ai criteri di cui ai precedenti commi.</w:t>
      </w:r>
    </w:p>
    <w:p w:rsidR="009A1550" w:rsidRPr="009A1550" w:rsidRDefault="009A1550" w:rsidP="009A1550">
      <w:pPr>
        <w:numPr>
          <w:ilvl w:val="0"/>
          <w:numId w:val="2"/>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Gli incarichi di responsabile apicale, titolare di posizione organizzativa, sono attributi per un periodo massimo di 3 anni.</w:t>
      </w:r>
    </w:p>
    <w:p w:rsidR="009A1550" w:rsidRPr="009A1550" w:rsidRDefault="009A1550" w:rsidP="009A1550">
      <w:pPr>
        <w:numPr>
          <w:ilvl w:val="0"/>
          <w:numId w:val="2"/>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Fatto salvo quanto previsto ai commi 4, di norma la durata dell’incarico non può essere inferiore ad un anno. Il provvedimento che dispone un incarico di durata inferiore deve esplicitarne le ragioni.</w:t>
      </w:r>
    </w:p>
    <w:p w:rsidR="009A1550" w:rsidRPr="009A1550" w:rsidRDefault="009A1550" w:rsidP="009A1550">
      <w:pPr>
        <w:autoSpaceDE w:val="0"/>
        <w:autoSpaceDN w:val="0"/>
        <w:adjustRightInd w:val="0"/>
        <w:spacing w:before="120" w:after="120" w:line="276" w:lineRule="auto"/>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before="120" w:after="120" w:line="276" w:lineRule="auto"/>
        <w:jc w:val="both"/>
        <w:rPr>
          <w:rFonts w:ascii="Cambria" w:eastAsia="Times New Roman" w:hAnsi="Cambria" w:cs="Times New Roman"/>
          <w:b/>
          <w:sz w:val="24"/>
          <w:szCs w:val="24"/>
        </w:rPr>
      </w:pPr>
      <w:r w:rsidRPr="009A1550">
        <w:rPr>
          <w:rFonts w:ascii="Cambria" w:eastAsia="Times New Roman" w:hAnsi="Cambria" w:cs="Times New Roman"/>
          <w:b/>
          <w:sz w:val="24"/>
          <w:szCs w:val="24"/>
        </w:rPr>
        <w:t>Articolo 3 - La revoca degli incarichi di posizione organizzativa</w:t>
      </w:r>
    </w:p>
    <w:p w:rsidR="009A1550" w:rsidRPr="009A1550" w:rsidRDefault="009A1550" w:rsidP="009A1550">
      <w:pPr>
        <w:numPr>
          <w:ilvl w:val="0"/>
          <w:numId w:val="5"/>
        </w:numPr>
        <w:autoSpaceDE w:val="0"/>
        <w:autoSpaceDN w:val="0"/>
        <w:adjustRightInd w:val="0"/>
        <w:spacing w:before="120" w:after="120" w:line="276" w:lineRule="auto"/>
        <w:ind w:left="720" w:hanging="360"/>
        <w:jc w:val="both"/>
        <w:rPr>
          <w:rFonts w:ascii="Cambria" w:eastAsia="Times New Roman" w:hAnsi="Cambria" w:cs="Times New Roman"/>
          <w:sz w:val="24"/>
          <w:szCs w:val="24"/>
        </w:rPr>
      </w:pPr>
      <w:r w:rsidRPr="009A1550">
        <w:rPr>
          <w:rFonts w:ascii="Cambria" w:eastAsia="Times New Roman" w:hAnsi="Cambria" w:cs="Times New Roman"/>
          <w:sz w:val="24"/>
          <w:szCs w:val="24"/>
        </w:rPr>
        <w:lastRenderedPageBreak/>
        <w:t>La revoca degli incarichi di posizione organizzativa, oltre che per ragioni disciplinari, può essere disposta per una delle seguenti motivazioni, previo contraddittorio con il dipendente interessato:</w:t>
      </w:r>
    </w:p>
    <w:p w:rsidR="009A1550" w:rsidRPr="009A1550" w:rsidRDefault="009A1550" w:rsidP="009A1550">
      <w:pPr>
        <w:numPr>
          <w:ilvl w:val="0"/>
          <w:numId w:val="6"/>
        </w:numPr>
        <w:autoSpaceDE w:val="0"/>
        <w:autoSpaceDN w:val="0"/>
        <w:adjustRightInd w:val="0"/>
        <w:spacing w:after="0" w:line="276" w:lineRule="auto"/>
        <w:ind w:left="720" w:hanging="360"/>
        <w:jc w:val="both"/>
        <w:rPr>
          <w:rFonts w:ascii="Cambria" w:eastAsia="Times New Roman" w:hAnsi="Cambria" w:cs="Times New Roman"/>
          <w:sz w:val="24"/>
          <w:szCs w:val="24"/>
        </w:rPr>
      </w:pPr>
      <w:r w:rsidRPr="009A1550">
        <w:rPr>
          <w:rFonts w:ascii="Cambria" w:eastAsia="Times New Roman" w:hAnsi="Cambria" w:cs="Times New Roman"/>
          <w:sz w:val="24"/>
          <w:szCs w:val="24"/>
        </w:rPr>
        <w:t>Intervenuti mutamenti dell’assetto organizzativo;</w:t>
      </w:r>
    </w:p>
    <w:p w:rsidR="009A1550" w:rsidRPr="009A1550" w:rsidRDefault="009A1550" w:rsidP="009A1550">
      <w:pPr>
        <w:numPr>
          <w:ilvl w:val="0"/>
          <w:numId w:val="6"/>
        </w:numPr>
        <w:autoSpaceDE w:val="0"/>
        <w:autoSpaceDN w:val="0"/>
        <w:adjustRightInd w:val="0"/>
        <w:spacing w:after="0" w:line="276" w:lineRule="auto"/>
        <w:ind w:left="720" w:hanging="360"/>
        <w:jc w:val="both"/>
        <w:rPr>
          <w:rFonts w:ascii="Cambria" w:eastAsia="Times New Roman" w:hAnsi="Cambria" w:cs="Times New Roman"/>
          <w:sz w:val="24"/>
          <w:szCs w:val="24"/>
        </w:rPr>
      </w:pPr>
      <w:r w:rsidRPr="009A1550">
        <w:rPr>
          <w:rFonts w:ascii="Cambria" w:eastAsia="Times New Roman" w:hAnsi="Cambria" w:cs="Times New Roman"/>
          <w:sz w:val="24"/>
          <w:szCs w:val="24"/>
        </w:rPr>
        <w:t>Valutazione negativa dell’attività svolta;</w:t>
      </w:r>
    </w:p>
    <w:p w:rsidR="009A1550" w:rsidRPr="009A1550" w:rsidRDefault="009A1550" w:rsidP="009A1550">
      <w:pPr>
        <w:numPr>
          <w:ilvl w:val="0"/>
          <w:numId w:val="6"/>
        </w:numPr>
        <w:autoSpaceDE w:val="0"/>
        <w:autoSpaceDN w:val="0"/>
        <w:adjustRightInd w:val="0"/>
        <w:spacing w:after="0" w:line="276" w:lineRule="auto"/>
        <w:ind w:left="720" w:hanging="360"/>
        <w:jc w:val="both"/>
        <w:rPr>
          <w:rFonts w:ascii="Cambria" w:eastAsia="Times New Roman" w:hAnsi="Cambria" w:cs="Times New Roman"/>
          <w:sz w:val="24"/>
          <w:szCs w:val="24"/>
        </w:rPr>
      </w:pPr>
      <w:r w:rsidRPr="009A1550">
        <w:rPr>
          <w:rFonts w:ascii="Cambria" w:eastAsia="Times New Roman" w:hAnsi="Cambria" w:cs="Times New Roman"/>
          <w:sz w:val="24"/>
          <w:szCs w:val="24"/>
        </w:rPr>
        <w:t>Inosservanza delle direttive impartite dal sindaco, dalla giunta o dall’assessore di riferimento.</w:t>
      </w:r>
    </w:p>
    <w:p w:rsidR="009A1550" w:rsidRPr="009A1550" w:rsidRDefault="009A1550" w:rsidP="009A1550">
      <w:pPr>
        <w:numPr>
          <w:ilvl w:val="0"/>
          <w:numId w:val="5"/>
        </w:numPr>
        <w:autoSpaceDE w:val="0"/>
        <w:autoSpaceDN w:val="0"/>
        <w:adjustRightInd w:val="0"/>
        <w:spacing w:before="120" w:after="120" w:line="276" w:lineRule="auto"/>
        <w:ind w:left="720" w:hanging="360"/>
        <w:jc w:val="both"/>
        <w:rPr>
          <w:rFonts w:ascii="Cambria" w:eastAsia="Times New Roman" w:hAnsi="Cambria" w:cs="Times New Roman"/>
          <w:sz w:val="24"/>
          <w:szCs w:val="24"/>
        </w:rPr>
      </w:pPr>
      <w:r w:rsidRPr="009A1550">
        <w:rPr>
          <w:rFonts w:ascii="Cambria" w:eastAsia="Times New Roman" w:hAnsi="Cambria" w:cs="Times New Roman"/>
          <w:sz w:val="24"/>
          <w:szCs w:val="24"/>
        </w:rPr>
        <w:t>Per intervenuti mutamenti dell’assetto organizzativo si intendono modifiche che incidono sul numero delle posizioni nel settore o che ne modificano radicalmente le attribuzioni</w:t>
      </w:r>
    </w:p>
    <w:p w:rsidR="009A1550" w:rsidRPr="009A1550" w:rsidRDefault="009A1550" w:rsidP="009A1550">
      <w:pPr>
        <w:numPr>
          <w:ilvl w:val="0"/>
          <w:numId w:val="5"/>
        </w:numPr>
        <w:autoSpaceDE w:val="0"/>
        <w:autoSpaceDN w:val="0"/>
        <w:adjustRightInd w:val="0"/>
        <w:spacing w:before="120" w:after="120" w:line="276" w:lineRule="auto"/>
        <w:ind w:left="720" w:hanging="360"/>
        <w:jc w:val="both"/>
        <w:rPr>
          <w:rFonts w:ascii="Cambria" w:eastAsia="Times New Roman" w:hAnsi="Cambria" w:cs="Times New Roman"/>
          <w:sz w:val="24"/>
          <w:szCs w:val="24"/>
        </w:rPr>
      </w:pPr>
      <w:r w:rsidRPr="009A1550">
        <w:rPr>
          <w:rFonts w:ascii="Cambria" w:eastAsia="Times New Roman" w:hAnsi="Cambria" w:cs="Times New Roman"/>
          <w:sz w:val="24"/>
          <w:szCs w:val="24"/>
        </w:rPr>
        <w:t>L’inosservanza delle direttive impartite dal sindaco, dalla giunta o dall’assessore di riferimento deve essere accertata da parte del segretario e deve riferirsi ad indicazioni che hanno un carattere strategico ed una rilievo di interesse generale</w:t>
      </w: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after="0" w:line="240" w:lineRule="auto"/>
        <w:rPr>
          <w:rFonts w:ascii="Cambria" w:eastAsia="Times New Roman" w:hAnsi="Cambria" w:cs="Times New Roman"/>
          <w:b/>
          <w:sz w:val="24"/>
          <w:szCs w:val="24"/>
        </w:rPr>
      </w:pPr>
      <w:r w:rsidRPr="009A1550">
        <w:rPr>
          <w:rFonts w:ascii="Cambria" w:eastAsia="Times New Roman" w:hAnsi="Cambria" w:cs="Times New Roman"/>
          <w:b/>
          <w:sz w:val="24"/>
          <w:szCs w:val="24"/>
        </w:rPr>
        <w:t xml:space="preserve">Articolo 4 - La graduazione degli incarichi di posizione organizzativa </w:t>
      </w:r>
    </w:p>
    <w:p w:rsidR="009A1550" w:rsidRPr="009A1550" w:rsidRDefault="009A1550" w:rsidP="009A1550">
      <w:pPr>
        <w:numPr>
          <w:ilvl w:val="0"/>
          <w:numId w:val="3"/>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 xml:space="preserve">La graduazione delle posizioni organizzative è volta a individuare il punteggio in corrispondenza del quale viene stabilita la retribuzione di posizione che va da un minimo </w:t>
      </w:r>
      <w:proofErr w:type="gramStart"/>
      <w:r w:rsidRPr="009A1550">
        <w:rPr>
          <w:rFonts w:ascii="Cambria" w:eastAsia="Times New Roman" w:hAnsi="Cambria" w:cs="Times New Roman"/>
          <w:sz w:val="24"/>
          <w:szCs w:val="24"/>
        </w:rPr>
        <w:t>di  5.000</w:t>
      </w:r>
      <w:proofErr w:type="gramEnd"/>
      <w:r w:rsidRPr="009A1550">
        <w:rPr>
          <w:rFonts w:ascii="Cambria" w:eastAsia="Times New Roman" w:hAnsi="Cambria" w:cs="Times New Roman"/>
          <w:sz w:val="24"/>
          <w:szCs w:val="24"/>
        </w:rPr>
        <w:t>,00 Euro ad un massimo di 16.000,00 Euro annui lordi per 13 mensilità, la graduazione avviene in base alla valutazione degli indicatori di complessità e responsabilità che sono i requisiti caratterizzanti l’attribuzione della posizione organizzativa.</w:t>
      </w:r>
    </w:p>
    <w:p w:rsidR="009A1550" w:rsidRPr="009A1550" w:rsidRDefault="009A1550" w:rsidP="009A1550">
      <w:pPr>
        <w:numPr>
          <w:ilvl w:val="0"/>
          <w:numId w:val="3"/>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La retribuzione di posizione nelle ipotesi di assegnazione delle PO a categorie inferiori alla D va da 3.000,00 Euro a 9.500,00 Euro.</w:t>
      </w:r>
    </w:p>
    <w:p w:rsidR="009A1550" w:rsidRPr="009A1550" w:rsidRDefault="009A1550" w:rsidP="009A1550">
      <w:pPr>
        <w:numPr>
          <w:ilvl w:val="0"/>
          <w:numId w:val="3"/>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 xml:space="preserve">Per l’erogazione annuale della retribuzione di risultato delle posizioni organizzative è destinata una quota non inferiore al 15% delle risorse complessivamente finalizzate alla erogazione della retribuzione di posizione e di risultato di tutte le posizioni organizzative previste dal proprio ordinamento che sono corrisposte a carico dei bilanci degli enti. Fatta salva la possibilità di stabilire criteri diversi in sede di contrattazione, per il primo anno di applicazione del presente regolamento la retribuzione di risultato è destinata a ciascun responsabile in proporzione alla indennità di posizione allo stesso attribuita.  </w:t>
      </w:r>
    </w:p>
    <w:p w:rsidR="009A1550" w:rsidRPr="009A1550" w:rsidRDefault="009A1550" w:rsidP="009A1550">
      <w:pPr>
        <w:numPr>
          <w:ilvl w:val="0"/>
          <w:numId w:val="3"/>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Il giudizio sui singoli indicatori viene espresso attraverso l’attribuzione di un punteggio e gli indicatori sono quelli di cui all’allegata scheda “A)”, su tutti questi indicatori viene espresso un giudizio che va dal basso verso l’alto, in base al grado di soddisfazione dell’indicatore, al giudizio corrisponde l’attribuzione di un punteggio secondo il sistema espresso nella scheda che segue il cui punteggio massimo raggiungibile è di 100 punti.</w:t>
      </w:r>
    </w:p>
    <w:p w:rsidR="009A1550" w:rsidRPr="009A1550" w:rsidRDefault="009A1550" w:rsidP="009A1550">
      <w:pPr>
        <w:numPr>
          <w:ilvl w:val="0"/>
          <w:numId w:val="3"/>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In base al percorso delineato, a ciascuna posizione viene attribuito un valore numerico equivalente alla somma dei valori riportati per ciascun fattore di valutazione.</w:t>
      </w:r>
    </w:p>
    <w:p w:rsidR="009A1550" w:rsidRPr="009A1550" w:rsidRDefault="009A1550" w:rsidP="009A1550">
      <w:pPr>
        <w:autoSpaceDE w:val="0"/>
        <w:autoSpaceDN w:val="0"/>
        <w:adjustRightInd w:val="0"/>
        <w:spacing w:before="120" w:after="120" w:line="276" w:lineRule="auto"/>
        <w:ind w:left="284"/>
        <w:jc w:val="both"/>
        <w:rPr>
          <w:rFonts w:ascii="Cambria" w:eastAsia="Times New Roman" w:hAnsi="Cambria" w:cs="Times New Roman"/>
          <w:sz w:val="24"/>
          <w:szCs w:val="24"/>
        </w:rPr>
      </w:pPr>
      <w:r w:rsidRPr="009A1550">
        <w:rPr>
          <w:rFonts w:ascii="Cambria" w:eastAsia="Times New Roman" w:hAnsi="Cambria" w:cs="Times New Roman"/>
          <w:sz w:val="24"/>
          <w:szCs w:val="24"/>
        </w:rPr>
        <w:t>L’individuazione del valore dell’indennità di posizione viene stabilita a seconda della fascia di punteggio in cui si colloca la pesatura del settore. Le fasce sono:</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bookmarkStart w:id="0" w:name="_GoBack"/>
      <w:bookmarkEnd w:id="0"/>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fino</w:t>
      </w:r>
      <w:proofErr w:type="gramEnd"/>
      <w:r w:rsidRPr="009A1550">
        <w:rPr>
          <w:rFonts w:ascii="Cambria" w:eastAsia="Times New Roman" w:hAnsi="Cambria" w:cs="Times New Roman"/>
          <w:sz w:val="24"/>
          <w:szCs w:val="24"/>
        </w:rPr>
        <w:t xml:space="preserve"> a 40 punti</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€ 5.000,00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41 a 49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€ 6.000,00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50 a 59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€ 7.000,00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60 a 69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€ 8.000,00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70 a 79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€ 9.000,00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80 a 84</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€ 10.500,00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85 a 89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€ 12.000,00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90 a 94</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€ 14.000,00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95 a 100</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€ 16.000,00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r w:rsidRPr="009A1550">
        <w:rPr>
          <w:rFonts w:ascii="Cambria" w:eastAsia="Times New Roman" w:hAnsi="Cambria" w:cs="Times New Roman"/>
          <w:sz w:val="24"/>
          <w:szCs w:val="24"/>
        </w:rPr>
        <w:t>Per quanto riguarda le categorie inferiori alla D</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fino</w:t>
      </w:r>
      <w:proofErr w:type="gramEnd"/>
      <w:r w:rsidRPr="009A1550">
        <w:rPr>
          <w:rFonts w:ascii="Cambria" w:eastAsia="Times New Roman" w:hAnsi="Cambria" w:cs="Times New Roman"/>
          <w:sz w:val="24"/>
          <w:szCs w:val="24"/>
        </w:rPr>
        <w:t xml:space="preserve"> a 40 punti</w:t>
      </w:r>
      <w:r w:rsidRPr="009A1550">
        <w:rPr>
          <w:rFonts w:ascii="Cambria" w:eastAsia="Times New Roman" w:hAnsi="Cambria" w:cs="Times New Roman"/>
          <w:sz w:val="24"/>
          <w:szCs w:val="24"/>
        </w:rPr>
        <w:tab/>
        <w:t>€.   3.000,00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41 a 49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3.500,00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50 a 59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4.000,00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60 a 69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4.500,00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70 a 79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5.500,00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80 a 84</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6.500,00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85 a 89</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7.500,00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90 a 94</w:t>
      </w:r>
      <w:r w:rsidRPr="009A1550">
        <w:rPr>
          <w:rFonts w:ascii="Cambria" w:eastAsia="Times New Roman" w:hAnsi="Cambria" w:cs="Times New Roman"/>
          <w:sz w:val="24"/>
          <w:szCs w:val="24"/>
        </w:rPr>
        <w:tab/>
      </w:r>
      <w:r w:rsidRPr="009A1550">
        <w:rPr>
          <w:rFonts w:ascii="Cambria" w:eastAsia="Times New Roman" w:hAnsi="Cambria" w:cs="Times New Roman"/>
          <w:sz w:val="24"/>
          <w:szCs w:val="24"/>
        </w:rPr>
        <w:tab/>
        <w:t>€    8.500,00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roofErr w:type="gramStart"/>
      <w:r w:rsidRPr="009A1550">
        <w:rPr>
          <w:rFonts w:ascii="Cambria" w:eastAsia="Times New Roman" w:hAnsi="Cambria" w:cs="Times New Roman"/>
          <w:sz w:val="24"/>
          <w:szCs w:val="24"/>
        </w:rPr>
        <w:t>da</w:t>
      </w:r>
      <w:proofErr w:type="gramEnd"/>
      <w:r w:rsidRPr="009A1550">
        <w:rPr>
          <w:rFonts w:ascii="Cambria" w:eastAsia="Times New Roman" w:hAnsi="Cambria" w:cs="Times New Roman"/>
          <w:sz w:val="24"/>
          <w:szCs w:val="24"/>
        </w:rPr>
        <w:t xml:space="preserve"> 95 a 100</w:t>
      </w:r>
      <w:r w:rsidRPr="009A1550">
        <w:rPr>
          <w:rFonts w:ascii="Cambria" w:eastAsia="Times New Roman" w:hAnsi="Cambria" w:cs="Times New Roman"/>
          <w:sz w:val="24"/>
          <w:szCs w:val="24"/>
        </w:rPr>
        <w:tab/>
        <w:t>€    9.500,00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r w:rsidRPr="009A1550">
        <w:rPr>
          <w:rFonts w:ascii="Cambria" w:eastAsia="Times New Roman" w:hAnsi="Cambria" w:cs="Times New Roman"/>
          <w:sz w:val="24"/>
          <w:szCs w:val="24"/>
        </w:rPr>
        <w:t>Qualora il totale dei valori delle pesature fosse superiore al budget previsto dall’ente, nel rispetto del limite del trattamento accessorio, gli importi verranno riproporzionati in modo da rispettare tale budget. Il riproporzionamento avverrà per la sola quota eccedente il minimo (5.000,00) e tra le sole posizioni che saranno superiori ad € 5.000,00.</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i/>
          <w:color w:val="0070C0"/>
          <w:sz w:val="24"/>
          <w:szCs w:val="24"/>
        </w:rPr>
      </w:pPr>
    </w:p>
    <w:p w:rsidR="009A1550" w:rsidRPr="009A1550" w:rsidRDefault="009A1550" w:rsidP="009A1550">
      <w:pPr>
        <w:numPr>
          <w:ilvl w:val="0"/>
          <w:numId w:val="3"/>
        </w:num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Nell’ipotesi di conferimento ad un lavoratore, già titolare di posizione organizzativa di un incarico ad interim relativo ad altra posizione organizzativa, per la durata dello stesso al lavoratore, nell’ambito della retribuzione di risultato, è attribuito un ulteriore importo la cui misura può variare dal 15% al 25% del valore economico della retribuzione di posizione prevista per la posizione organizzativa oggetto dell’incarico ad interim. Nella definizione delle citate percentuali, l’ente tiene conto della complessità delle attività e del livello di responsabilità connessi all’incarico attribuito nonché e del grado di conseguimento degli obiettivi.</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r w:rsidRPr="009A1550">
        <w:rPr>
          <w:rFonts w:ascii="Cambria" w:eastAsia="Times New Roman" w:hAnsi="Cambria" w:cs="Times New Roman"/>
          <w:sz w:val="24"/>
          <w:szCs w:val="24"/>
        </w:rPr>
        <w:t>La durata dell’incarico ad interim non può superare la durata di dodici mesi, eventualmente prorogabili per una sola volta, con atto motivato, qualora perdurino le cause che hanno determinato l’affidamento del dell’incarico.</w:t>
      </w:r>
    </w:p>
    <w:p w:rsidR="009A1550" w:rsidRPr="009A1550" w:rsidRDefault="009A1550" w:rsidP="009A1550">
      <w:pPr>
        <w:autoSpaceDE w:val="0"/>
        <w:autoSpaceDN w:val="0"/>
        <w:adjustRightInd w:val="0"/>
        <w:spacing w:after="0" w:line="240" w:lineRule="auto"/>
        <w:ind w:left="284"/>
        <w:jc w:val="both"/>
        <w:rPr>
          <w:rFonts w:ascii="Cambria" w:eastAsia="Times New Roman" w:hAnsi="Cambria" w:cs="Times New Roman"/>
          <w:sz w:val="24"/>
          <w:szCs w:val="24"/>
        </w:rPr>
      </w:pPr>
    </w:p>
    <w:p w:rsidR="009A1550" w:rsidRPr="009A1550" w:rsidRDefault="009A1550" w:rsidP="009A1550">
      <w:pPr>
        <w:autoSpaceDE w:val="0"/>
        <w:autoSpaceDN w:val="0"/>
        <w:adjustRightInd w:val="0"/>
        <w:spacing w:before="120" w:after="120" w:line="276" w:lineRule="auto"/>
        <w:ind w:left="284" w:hanging="284"/>
        <w:jc w:val="both"/>
        <w:rPr>
          <w:rFonts w:ascii="Cambria" w:eastAsia="Times New Roman" w:hAnsi="Cambria" w:cs="Times New Roman"/>
          <w:sz w:val="24"/>
          <w:szCs w:val="24"/>
        </w:rPr>
      </w:pPr>
      <w:r w:rsidRPr="009A1550">
        <w:rPr>
          <w:rFonts w:ascii="Cambria" w:eastAsia="Times New Roman" w:hAnsi="Cambria" w:cs="Times New Roman"/>
          <w:sz w:val="24"/>
          <w:szCs w:val="24"/>
        </w:rPr>
        <w:t xml:space="preserve">7. L’istruttoria tecnica ai fini della proposta del punteggio di pesatura delle singole posizioni organizzative e alte professionalità, in corrispondenza del quale viene stabilita la retribuzione di posizione, è di competenza del Nucleo di valutazione, di concerto con il Segretario </w:t>
      </w:r>
      <w:proofErr w:type="gramStart"/>
      <w:r w:rsidRPr="009A1550">
        <w:rPr>
          <w:rFonts w:ascii="Cambria" w:eastAsia="Times New Roman" w:hAnsi="Cambria" w:cs="Times New Roman"/>
          <w:sz w:val="24"/>
          <w:szCs w:val="24"/>
        </w:rPr>
        <w:t>comunale,  ed</w:t>
      </w:r>
      <w:proofErr w:type="gramEnd"/>
      <w:r w:rsidRPr="009A1550">
        <w:rPr>
          <w:rFonts w:ascii="Cambria" w:eastAsia="Times New Roman" w:hAnsi="Cambria" w:cs="Times New Roman"/>
          <w:sz w:val="24"/>
          <w:szCs w:val="24"/>
        </w:rPr>
        <w:t xml:space="preserve"> è sottoposta all’approvazione della Giunta.</w:t>
      </w: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color w:val="FF0000"/>
          <w:sz w:val="24"/>
          <w:szCs w:val="24"/>
        </w:rPr>
      </w:pP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color w:val="FF0000"/>
          <w:sz w:val="20"/>
          <w:szCs w:val="24"/>
        </w:rPr>
        <w:sectPr w:rsidR="009A1550" w:rsidRPr="009A1550">
          <w:pgSz w:w="11907" w:h="16840"/>
          <w:pgMar w:top="1417" w:right="1134" w:bottom="1134" w:left="1134" w:header="0" w:footer="1440" w:gutter="0"/>
          <w:cols w:space="720"/>
          <w:noEndnote/>
        </w:sectPr>
      </w:pP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b/>
          <w:sz w:val="24"/>
          <w:szCs w:val="24"/>
        </w:rPr>
      </w:pPr>
      <w:r w:rsidRPr="009A1550">
        <w:rPr>
          <w:rFonts w:ascii="Cambria" w:eastAsia="Times New Roman" w:hAnsi="Cambria" w:cs="Times New Roman"/>
          <w:b/>
          <w:sz w:val="24"/>
          <w:szCs w:val="24"/>
        </w:rPr>
        <w:lastRenderedPageBreak/>
        <w:t xml:space="preserve">Allegato A - Graduazione delle posizioni di lavoro </w:t>
      </w:r>
    </w:p>
    <w:p w:rsidR="009A1550" w:rsidRPr="009A1550" w:rsidRDefault="009A1550" w:rsidP="009A1550">
      <w:pPr>
        <w:autoSpaceDE w:val="0"/>
        <w:autoSpaceDN w:val="0"/>
        <w:adjustRightInd w:val="0"/>
        <w:spacing w:after="0" w:line="240" w:lineRule="auto"/>
        <w:jc w:val="both"/>
        <w:rPr>
          <w:rFonts w:ascii="Cambria" w:eastAsia="Times New Roman" w:hAnsi="Cambria" w:cs="Times New Roman"/>
          <w:b/>
          <w:sz w:val="24"/>
          <w:szCs w:val="24"/>
        </w:rPr>
      </w:pPr>
    </w:p>
    <w:tbl>
      <w:tblPr>
        <w:tblW w:w="9639" w:type="dxa"/>
        <w:tblInd w:w="-75" w:type="dxa"/>
        <w:tblCellMar>
          <w:left w:w="70" w:type="dxa"/>
          <w:right w:w="70" w:type="dxa"/>
        </w:tblCellMar>
        <w:tblLook w:val="0000" w:firstRow="0" w:lastRow="0" w:firstColumn="0" w:lastColumn="0" w:noHBand="0" w:noVBand="0"/>
      </w:tblPr>
      <w:tblGrid>
        <w:gridCol w:w="1997"/>
        <w:gridCol w:w="2965"/>
        <w:gridCol w:w="2874"/>
        <w:gridCol w:w="1803"/>
      </w:tblGrid>
      <w:tr w:rsidR="009A1550" w:rsidRPr="009A1550">
        <w:tc>
          <w:tcPr>
            <w:tcW w:w="1968" w:type="dxa"/>
            <w:tcBorders>
              <w:top w:val="single" w:sz="4" w:space="0" w:color="auto"/>
              <w:left w:val="single" w:sz="4" w:space="0" w:color="auto"/>
              <w:bottom w:val="single" w:sz="4" w:space="0" w:color="auto"/>
              <w:right w:val="single" w:sz="6"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b/>
                <w:sz w:val="20"/>
                <w:szCs w:val="24"/>
              </w:rPr>
            </w:pPr>
            <w:r w:rsidRPr="009A1550">
              <w:rPr>
                <w:rFonts w:ascii="Cambria" w:eastAsia="Times New Roman" w:hAnsi="Cambria" w:cs="Times New Roman"/>
                <w:b/>
                <w:sz w:val="20"/>
                <w:szCs w:val="24"/>
              </w:rPr>
              <w:t>INDICATORE</w:t>
            </w:r>
          </w:p>
        </w:tc>
        <w:tc>
          <w:tcPr>
            <w:tcW w:w="2923" w:type="dxa"/>
            <w:tcBorders>
              <w:top w:val="single" w:sz="4" w:space="0" w:color="auto"/>
              <w:left w:val="single" w:sz="6" w:space="0" w:color="auto"/>
              <w:bottom w:val="single" w:sz="4" w:space="0" w:color="auto"/>
              <w:right w:val="single" w:sz="6"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b/>
                <w:sz w:val="20"/>
                <w:szCs w:val="24"/>
              </w:rPr>
            </w:pPr>
            <w:r w:rsidRPr="009A1550">
              <w:rPr>
                <w:rFonts w:ascii="Cambria" w:eastAsia="Times New Roman" w:hAnsi="Cambria" w:cs="Times New Roman"/>
                <w:b/>
                <w:sz w:val="20"/>
                <w:szCs w:val="24"/>
              </w:rPr>
              <w:t>CRITERIO</w:t>
            </w:r>
          </w:p>
        </w:tc>
        <w:tc>
          <w:tcPr>
            <w:tcW w:w="2833" w:type="dxa"/>
            <w:tcBorders>
              <w:top w:val="single" w:sz="4" w:space="0" w:color="auto"/>
              <w:left w:val="single" w:sz="6" w:space="0" w:color="auto"/>
              <w:bottom w:val="single" w:sz="4" w:space="0" w:color="auto"/>
              <w:right w:val="single" w:sz="6"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b/>
                <w:sz w:val="20"/>
                <w:szCs w:val="24"/>
              </w:rPr>
            </w:pPr>
            <w:r w:rsidRPr="009A1550">
              <w:rPr>
                <w:rFonts w:ascii="Cambria" w:eastAsia="Times New Roman" w:hAnsi="Cambria" w:cs="Times New Roman"/>
                <w:b/>
                <w:sz w:val="20"/>
                <w:szCs w:val="24"/>
              </w:rPr>
              <w:t>DESCRIZIONE PUNTEGGIO</w:t>
            </w:r>
          </w:p>
        </w:tc>
        <w:tc>
          <w:tcPr>
            <w:tcW w:w="1777" w:type="dxa"/>
            <w:tcBorders>
              <w:top w:val="single" w:sz="4" w:space="0" w:color="auto"/>
              <w:left w:val="single" w:sz="6"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b/>
                <w:sz w:val="20"/>
                <w:szCs w:val="24"/>
              </w:rPr>
            </w:pPr>
            <w:r w:rsidRPr="009A1550">
              <w:rPr>
                <w:rFonts w:ascii="Cambria" w:eastAsia="Times New Roman" w:hAnsi="Cambria" w:cs="Times New Roman"/>
                <w:b/>
                <w:sz w:val="20"/>
                <w:szCs w:val="24"/>
              </w:rPr>
              <w:t>PUNTEGGIO OTTENUTO</w:t>
            </w:r>
          </w:p>
        </w:tc>
      </w:tr>
      <w:tr w:rsidR="009A1550" w:rsidRPr="009A1550">
        <w:trPr>
          <w:cantSplit/>
        </w:trPr>
        <w:tc>
          <w:tcPr>
            <w:tcW w:w="196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Dimensione organizzativa</w:t>
            </w: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Risorse umane previste in dotazione organica</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Da 0 a 5 dipendenti: 1</w:t>
            </w:r>
            <w:r w:rsidRPr="009A1550">
              <w:rPr>
                <w:rFonts w:ascii="Cambria" w:eastAsia="Times New Roman" w:hAnsi="Cambria" w:cs="Times New Roman"/>
                <w:b/>
                <w:sz w:val="20"/>
                <w:szCs w:val="24"/>
              </w:rPr>
              <w:t xml:space="preserve"> punto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Da 6 a 10 </w:t>
            </w:r>
            <w:proofErr w:type="gramStart"/>
            <w:r w:rsidRPr="009A1550">
              <w:rPr>
                <w:rFonts w:ascii="Cambria" w:eastAsia="Times New Roman" w:hAnsi="Cambria" w:cs="Times New Roman"/>
                <w:sz w:val="20"/>
                <w:szCs w:val="24"/>
              </w:rPr>
              <w:t>dipendenti</w:t>
            </w:r>
            <w:r w:rsidRPr="009A1550">
              <w:rPr>
                <w:rFonts w:ascii="Cambria" w:eastAsia="Times New Roman" w:hAnsi="Cambria" w:cs="Times New Roman"/>
                <w:b/>
                <w:sz w:val="20"/>
                <w:szCs w:val="24"/>
              </w:rPr>
              <w:t>:  1</w:t>
            </w:r>
            <w:proofErr w:type="gramEnd"/>
            <w:r w:rsidRPr="009A1550">
              <w:rPr>
                <w:rFonts w:ascii="Cambria" w:eastAsia="Times New Roman" w:hAnsi="Cambria" w:cs="Times New Roman"/>
                <w:b/>
                <w:sz w:val="20"/>
                <w:szCs w:val="24"/>
              </w:rPr>
              <w:t xml:space="preserve">,5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Oltre 10 dipendenti: </w:t>
            </w:r>
            <w:r w:rsidRPr="009A1550">
              <w:rPr>
                <w:rFonts w:ascii="Cambria" w:eastAsia="Times New Roman" w:hAnsi="Cambria" w:cs="Times New Roman"/>
                <w:b/>
                <w:sz w:val="20"/>
                <w:szCs w:val="24"/>
              </w:rPr>
              <w:t>2 punti</w:t>
            </w:r>
            <w:r w:rsidRPr="009A1550">
              <w:rPr>
                <w:rFonts w:ascii="Cambria" w:eastAsia="Times New Roman" w:hAnsi="Cambria" w:cs="Times New Roman"/>
                <w:sz w:val="20"/>
                <w:szCs w:val="24"/>
              </w:rPr>
              <w:t xml:space="preserve"> </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rPr>
          <w:cantSplit/>
        </w:trPr>
        <w:tc>
          <w:tcPr>
            <w:tcW w:w="196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Quantità di profili professionali coordinati</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Fino a 2 profili: </w:t>
            </w:r>
            <w:r w:rsidRPr="009A1550">
              <w:rPr>
                <w:rFonts w:ascii="Cambria" w:eastAsia="Times New Roman" w:hAnsi="Cambria" w:cs="Times New Roman"/>
                <w:b/>
                <w:sz w:val="20"/>
                <w:szCs w:val="24"/>
              </w:rPr>
              <w:t xml:space="preserve">1 punto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Fino a 4 profili</w:t>
            </w:r>
            <w:r w:rsidRPr="009A1550">
              <w:rPr>
                <w:rFonts w:ascii="Cambria" w:eastAsia="Times New Roman" w:hAnsi="Cambria" w:cs="Times New Roman"/>
                <w:b/>
                <w:sz w:val="20"/>
                <w:szCs w:val="24"/>
              </w:rPr>
              <w:t xml:space="preserve">: 1,5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Oltre 4 profili: </w:t>
            </w:r>
            <w:r w:rsidRPr="009A1550">
              <w:rPr>
                <w:rFonts w:ascii="Cambria" w:eastAsia="Times New Roman" w:hAnsi="Cambria" w:cs="Times New Roman"/>
                <w:b/>
                <w:sz w:val="20"/>
                <w:szCs w:val="24"/>
              </w:rPr>
              <w:t>2 punti</w:t>
            </w:r>
            <w:r w:rsidRPr="009A1550">
              <w:rPr>
                <w:rFonts w:ascii="Cambria" w:eastAsia="Times New Roman" w:hAnsi="Cambria" w:cs="Times New Roman"/>
                <w:sz w:val="20"/>
                <w:szCs w:val="24"/>
              </w:rPr>
              <w:t xml:space="preserve"> </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Complessità organizzativa</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Fino a 2 servizi: </w:t>
            </w:r>
            <w:r w:rsidRPr="009A1550">
              <w:rPr>
                <w:rFonts w:ascii="Cambria" w:eastAsia="Times New Roman" w:hAnsi="Cambria" w:cs="Times New Roman"/>
                <w:b/>
                <w:sz w:val="20"/>
                <w:szCs w:val="24"/>
              </w:rPr>
              <w:t xml:space="preserve">1 punto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Fino a 4 servizi</w:t>
            </w:r>
            <w:r w:rsidRPr="009A1550">
              <w:rPr>
                <w:rFonts w:ascii="Cambria" w:eastAsia="Times New Roman" w:hAnsi="Cambria" w:cs="Times New Roman"/>
                <w:b/>
                <w:sz w:val="20"/>
                <w:szCs w:val="24"/>
              </w:rPr>
              <w:t xml:space="preserve">: 1,5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Oltre 4 servizi: </w:t>
            </w:r>
            <w:r w:rsidRPr="009A1550">
              <w:rPr>
                <w:rFonts w:ascii="Cambria" w:eastAsia="Times New Roman" w:hAnsi="Cambria" w:cs="Times New Roman"/>
                <w:b/>
                <w:sz w:val="20"/>
                <w:szCs w:val="24"/>
              </w:rPr>
              <w:t>2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Complessità </w:t>
            </w:r>
            <w:proofErr w:type="gramStart"/>
            <w:r w:rsidRPr="009A1550">
              <w:rPr>
                <w:rFonts w:ascii="Cambria" w:eastAsia="Times New Roman" w:hAnsi="Cambria" w:cs="Times New Roman"/>
                <w:sz w:val="20"/>
                <w:szCs w:val="24"/>
              </w:rPr>
              <w:t>dei  procedimenti</w:t>
            </w:r>
            <w:proofErr w:type="gramEnd"/>
            <w:r w:rsidRPr="009A1550">
              <w:rPr>
                <w:rFonts w:ascii="Cambria" w:eastAsia="Times New Roman" w:hAnsi="Cambria" w:cs="Times New Roman"/>
                <w:sz w:val="20"/>
                <w:szCs w:val="24"/>
              </w:rPr>
              <w:t xml:space="preserve"> </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Bassa: </w:t>
            </w:r>
            <w:r w:rsidRPr="009A1550">
              <w:rPr>
                <w:rFonts w:ascii="Cambria" w:eastAsia="Times New Roman" w:hAnsi="Cambria" w:cs="Times New Roman"/>
                <w:b/>
                <w:sz w:val="20"/>
                <w:szCs w:val="24"/>
              </w:rPr>
              <w:t xml:space="preserve">1 punto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Media: </w:t>
            </w:r>
            <w:r w:rsidRPr="009A1550">
              <w:rPr>
                <w:rFonts w:ascii="Cambria" w:eastAsia="Times New Roman" w:hAnsi="Cambria" w:cs="Times New Roman"/>
                <w:b/>
                <w:sz w:val="20"/>
                <w:szCs w:val="24"/>
              </w:rPr>
              <w:t xml:space="preserve">1,5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Alta: </w:t>
            </w:r>
            <w:r w:rsidRPr="009A1550">
              <w:rPr>
                <w:rFonts w:ascii="Cambria" w:eastAsia="Times New Roman" w:hAnsi="Cambria" w:cs="Times New Roman"/>
                <w:b/>
                <w:sz w:val="20"/>
                <w:szCs w:val="24"/>
              </w:rPr>
              <w:t xml:space="preserve">2 punti </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Valore delle risorse di bilancio gestite in entrata e in uscita di parte corrente</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Fino a 500.000: </w:t>
            </w:r>
            <w:r w:rsidRPr="009A1550">
              <w:rPr>
                <w:rFonts w:ascii="Cambria" w:eastAsia="Times New Roman" w:hAnsi="Cambria" w:cs="Times New Roman"/>
                <w:b/>
                <w:sz w:val="20"/>
                <w:szCs w:val="24"/>
              </w:rPr>
              <w:t xml:space="preserve">1 punto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Fino a 1.000.000: </w:t>
            </w:r>
            <w:r w:rsidRPr="009A1550">
              <w:rPr>
                <w:rFonts w:ascii="Cambria" w:eastAsia="Times New Roman" w:hAnsi="Cambria" w:cs="Times New Roman"/>
                <w:b/>
                <w:sz w:val="20"/>
                <w:szCs w:val="24"/>
              </w:rPr>
              <w:t xml:space="preserve">1,5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Oltre 1.000.000: </w:t>
            </w:r>
            <w:r w:rsidRPr="009A1550">
              <w:rPr>
                <w:rFonts w:ascii="Cambria" w:eastAsia="Times New Roman" w:hAnsi="Cambria" w:cs="Times New Roman"/>
                <w:b/>
                <w:sz w:val="20"/>
                <w:szCs w:val="24"/>
              </w:rPr>
              <w:t>2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rPr>
          <w:cantSplit/>
        </w:trPr>
        <w:tc>
          <w:tcPr>
            <w:tcW w:w="196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Complessità gestionale</w:t>
            </w: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Complessità del processo di programmazione</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Basso: </w:t>
            </w:r>
            <w:r w:rsidRPr="009A1550">
              <w:rPr>
                <w:rFonts w:ascii="Cambria" w:eastAsia="Times New Roman" w:hAnsi="Cambria" w:cs="Times New Roman"/>
                <w:b/>
                <w:sz w:val="20"/>
                <w:szCs w:val="24"/>
              </w:rPr>
              <w:t xml:space="preserve">fino a 4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Medio</w:t>
            </w:r>
            <w:r w:rsidRPr="009A1550">
              <w:rPr>
                <w:rFonts w:ascii="Cambria" w:eastAsia="Times New Roman" w:hAnsi="Cambria" w:cs="Times New Roman"/>
                <w:b/>
                <w:sz w:val="20"/>
                <w:szCs w:val="24"/>
              </w:rPr>
              <w:t xml:space="preserve">: fino a 7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Alto: </w:t>
            </w:r>
            <w:r w:rsidRPr="009A1550">
              <w:rPr>
                <w:rFonts w:ascii="Cambria" w:eastAsia="Times New Roman" w:hAnsi="Cambria" w:cs="Times New Roman"/>
                <w:b/>
                <w:sz w:val="20"/>
                <w:szCs w:val="24"/>
              </w:rPr>
              <w:t>fino a</w:t>
            </w:r>
            <w:r w:rsidRPr="009A1550">
              <w:rPr>
                <w:rFonts w:ascii="Cambria" w:eastAsia="Times New Roman" w:hAnsi="Cambria" w:cs="Times New Roman"/>
                <w:sz w:val="20"/>
                <w:szCs w:val="24"/>
              </w:rPr>
              <w:t xml:space="preserve"> </w:t>
            </w:r>
            <w:r w:rsidRPr="009A1550">
              <w:rPr>
                <w:rFonts w:ascii="Cambria" w:eastAsia="Times New Roman" w:hAnsi="Cambria" w:cs="Times New Roman"/>
                <w:b/>
                <w:sz w:val="20"/>
                <w:szCs w:val="24"/>
              </w:rPr>
              <w:t>10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rPr>
          <w:cantSplit/>
        </w:trPr>
        <w:tc>
          <w:tcPr>
            <w:tcW w:w="196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Grado di rischio e responsabilità</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Basso: </w:t>
            </w:r>
            <w:r w:rsidRPr="009A1550">
              <w:rPr>
                <w:rFonts w:ascii="Cambria" w:eastAsia="Times New Roman" w:hAnsi="Cambria" w:cs="Times New Roman"/>
                <w:b/>
                <w:sz w:val="20"/>
                <w:szCs w:val="24"/>
              </w:rPr>
              <w:t xml:space="preserve">fino a 4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Medio</w:t>
            </w:r>
            <w:r w:rsidRPr="009A1550">
              <w:rPr>
                <w:rFonts w:ascii="Cambria" w:eastAsia="Times New Roman" w:hAnsi="Cambria" w:cs="Times New Roman"/>
                <w:b/>
                <w:sz w:val="20"/>
                <w:szCs w:val="24"/>
              </w:rPr>
              <w:t xml:space="preserve">: fino a 7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Alto: </w:t>
            </w:r>
            <w:r w:rsidRPr="009A1550">
              <w:rPr>
                <w:rFonts w:ascii="Cambria" w:eastAsia="Times New Roman" w:hAnsi="Cambria" w:cs="Times New Roman"/>
                <w:b/>
                <w:sz w:val="20"/>
                <w:szCs w:val="24"/>
              </w:rPr>
              <w:t>fino a</w:t>
            </w:r>
            <w:r w:rsidRPr="009A1550">
              <w:rPr>
                <w:rFonts w:ascii="Cambria" w:eastAsia="Times New Roman" w:hAnsi="Cambria" w:cs="Times New Roman"/>
                <w:sz w:val="20"/>
                <w:szCs w:val="24"/>
              </w:rPr>
              <w:t xml:space="preserve"> </w:t>
            </w:r>
            <w:r w:rsidRPr="009A1550">
              <w:rPr>
                <w:rFonts w:ascii="Cambria" w:eastAsia="Times New Roman" w:hAnsi="Cambria" w:cs="Times New Roman"/>
                <w:b/>
                <w:sz w:val="20"/>
                <w:szCs w:val="24"/>
              </w:rPr>
              <w:t>10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Complessità del sistema relazionale</w:t>
            </w: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Grado di complessità delle relazioni esterne e interne</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Basso: </w:t>
            </w:r>
            <w:r w:rsidRPr="009A1550">
              <w:rPr>
                <w:rFonts w:ascii="Cambria" w:eastAsia="Times New Roman" w:hAnsi="Cambria" w:cs="Times New Roman"/>
                <w:b/>
                <w:sz w:val="20"/>
                <w:szCs w:val="24"/>
              </w:rPr>
              <w:t xml:space="preserve">fino a 4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Medio</w:t>
            </w:r>
            <w:r w:rsidRPr="009A1550">
              <w:rPr>
                <w:rFonts w:ascii="Cambria" w:eastAsia="Times New Roman" w:hAnsi="Cambria" w:cs="Times New Roman"/>
                <w:b/>
                <w:sz w:val="20"/>
                <w:szCs w:val="24"/>
              </w:rPr>
              <w:t xml:space="preserve">: fino a 7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Alto: </w:t>
            </w:r>
            <w:r w:rsidRPr="009A1550">
              <w:rPr>
                <w:rFonts w:ascii="Cambria" w:eastAsia="Times New Roman" w:hAnsi="Cambria" w:cs="Times New Roman"/>
                <w:b/>
                <w:sz w:val="20"/>
                <w:szCs w:val="24"/>
              </w:rPr>
              <w:t>fino a</w:t>
            </w:r>
            <w:r w:rsidRPr="009A1550">
              <w:rPr>
                <w:rFonts w:ascii="Cambria" w:eastAsia="Times New Roman" w:hAnsi="Cambria" w:cs="Times New Roman"/>
                <w:sz w:val="20"/>
                <w:szCs w:val="24"/>
              </w:rPr>
              <w:t xml:space="preserve"> </w:t>
            </w:r>
            <w:r w:rsidRPr="009A1550">
              <w:rPr>
                <w:rFonts w:ascii="Cambria" w:eastAsia="Times New Roman" w:hAnsi="Cambria" w:cs="Times New Roman"/>
                <w:b/>
                <w:sz w:val="20"/>
                <w:szCs w:val="24"/>
              </w:rPr>
              <w:t>10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Complessità specialistica</w:t>
            </w: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Responsabilità tecnica</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Basso: </w:t>
            </w:r>
            <w:r w:rsidRPr="009A1550">
              <w:rPr>
                <w:rFonts w:ascii="Cambria" w:eastAsia="Times New Roman" w:hAnsi="Cambria" w:cs="Times New Roman"/>
                <w:b/>
                <w:sz w:val="20"/>
                <w:szCs w:val="24"/>
              </w:rPr>
              <w:t xml:space="preserve">fino a 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Medio</w:t>
            </w:r>
            <w:r w:rsidRPr="009A1550">
              <w:rPr>
                <w:rFonts w:ascii="Cambria" w:eastAsia="Times New Roman" w:hAnsi="Cambria" w:cs="Times New Roman"/>
                <w:b/>
                <w:sz w:val="20"/>
                <w:szCs w:val="24"/>
              </w:rPr>
              <w:t xml:space="preserve">: fino a 10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Alto: </w:t>
            </w:r>
            <w:r w:rsidRPr="009A1550">
              <w:rPr>
                <w:rFonts w:ascii="Cambria" w:eastAsia="Times New Roman" w:hAnsi="Cambria" w:cs="Times New Roman"/>
                <w:b/>
                <w:sz w:val="20"/>
                <w:szCs w:val="24"/>
              </w:rPr>
              <w:t>fino a</w:t>
            </w:r>
            <w:r w:rsidRPr="009A1550">
              <w:rPr>
                <w:rFonts w:ascii="Cambria" w:eastAsia="Times New Roman" w:hAnsi="Cambria" w:cs="Times New Roman"/>
                <w:sz w:val="20"/>
                <w:szCs w:val="24"/>
              </w:rPr>
              <w:t xml:space="preserve"> </w:t>
            </w:r>
            <w:r w:rsidRPr="009A1550">
              <w:rPr>
                <w:rFonts w:ascii="Cambria" w:eastAsia="Times New Roman" w:hAnsi="Cambria" w:cs="Times New Roman"/>
                <w:b/>
                <w:sz w:val="20"/>
                <w:szCs w:val="24"/>
              </w:rPr>
              <w:t>15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Responsabilità amministrativa</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Basso: </w:t>
            </w:r>
            <w:r w:rsidRPr="009A1550">
              <w:rPr>
                <w:rFonts w:ascii="Cambria" w:eastAsia="Times New Roman" w:hAnsi="Cambria" w:cs="Times New Roman"/>
                <w:b/>
                <w:sz w:val="20"/>
                <w:szCs w:val="24"/>
              </w:rPr>
              <w:t xml:space="preserve">fino a 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Medio</w:t>
            </w:r>
            <w:r w:rsidRPr="009A1550">
              <w:rPr>
                <w:rFonts w:ascii="Cambria" w:eastAsia="Times New Roman" w:hAnsi="Cambria" w:cs="Times New Roman"/>
                <w:b/>
                <w:sz w:val="20"/>
                <w:szCs w:val="24"/>
              </w:rPr>
              <w:t xml:space="preserve">: fino a 10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Alto: </w:t>
            </w:r>
            <w:r w:rsidRPr="009A1550">
              <w:rPr>
                <w:rFonts w:ascii="Cambria" w:eastAsia="Times New Roman" w:hAnsi="Cambria" w:cs="Times New Roman"/>
                <w:b/>
                <w:sz w:val="20"/>
                <w:szCs w:val="24"/>
              </w:rPr>
              <w:t>fino a</w:t>
            </w:r>
            <w:r w:rsidRPr="009A1550">
              <w:rPr>
                <w:rFonts w:ascii="Cambria" w:eastAsia="Times New Roman" w:hAnsi="Cambria" w:cs="Times New Roman"/>
                <w:sz w:val="20"/>
                <w:szCs w:val="24"/>
              </w:rPr>
              <w:t xml:space="preserve"> </w:t>
            </w:r>
            <w:r w:rsidRPr="009A1550">
              <w:rPr>
                <w:rFonts w:ascii="Cambria" w:eastAsia="Times New Roman" w:hAnsi="Cambria" w:cs="Times New Roman"/>
                <w:b/>
                <w:sz w:val="20"/>
                <w:szCs w:val="24"/>
              </w:rPr>
              <w:t>15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Responsabilità contabile</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Basso: </w:t>
            </w:r>
            <w:r w:rsidRPr="009A1550">
              <w:rPr>
                <w:rFonts w:ascii="Cambria" w:eastAsia="Times New Roman" w:hAnsi="Cambria" w:cs="Times New Roman"/>
                <w:b/>
                <w:sz w:val="20"/>
                <w:szCs w:val="24"/>
              </w:rPr>
              <w:t xml:space="preserve">fino a 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Medio</w:t>
            </w:r>
            <w:r w:rsidRPr="009A1550">
              <w:rPr>
                <w:rFonts w:ascii="Cambria" w:eastAsia="Times New Roman" w:hAnsi="Cambria" w:cs="Times New Roman"/>
                <w:b/>
                <w:sz w:val="20"/>
                <w:szCs w:val="24"/>
              </w:rPr>
              <w:t xml:space="preserve">: fino a 10 punti </w:t>
            </w:r>
          </w:p>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 xml:space="preserve">Alto: </w:t>
            </w:r>
            <w:r w:rsidRPr="009A1550">
              <w:rPr>
                <w:rFonts w:ascii="Cambria" w:eastAsia="Times New Roman" w:hAnsi="Cambria" w:cs="Times New Roman"/>
                <w:b/>
                <w:sz w:val="20"/>
                <w:szCs w:val="24"/>
              </w:rPr>
              <w:t>fino a</w:t>
            </w:r>
            <w:r w:rsidRPr="009A1550">
              <w:rPr>
                <w:rFonts w:ascii="Cambria" w:eastAsia="Times New Roman" w:hAnsi="Cambria" w:cs="Times New Roman"/>
                <w:sz w:val="20"/>
                <w:szCs w:val="24"/>
              </w:rPr>
              <w:t xml:space="preserve"> </w:t>
            </w:r>
            <w:r w:rsidRPr="009A1550">
              <w:rPr>
                <w:rFonts w:ascii="Cambria" w:eastAsia="Times New Roman" w:hAnsi="Cambria" w:cs="Times New Roman"/>
                <w:b/>
                <w:sz w:val="20"/>
                <w:szCs w:val="24"/>
              </w:rPr>
              <w:t>15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c>
          <w:tcPr>
            <w:tcW w:w="19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r w:rsidRPr="009A1550">
              <w:rPr>
                <w:rFonts w:ascii="Cambria" w:eastAsia="Times New Roman" w:hAnsi="Cambria" w:cs="Times New Roman"/>
                <w:sz w:val="20"/>
                <w:szCs w:val="24"/>
              </w:rPr>
              <w:t>Strategicità dell’area</w:t>
            </w:r>
          </w:p>
        </w:tc>
        <w:tc>
          <w:tcPr>
            <w:tcW w:w="29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sz w:val="20"/>
                <w:szCs w:val="24"/>
              </w:rPr>
            </w:pPr>
            <w:proofErr w:type="gramStart"/>
            <w:r w:rsidRPr="009A1550">
              <w:rPr>
                <w:rFonts w:ascii="Cambria" w:eastAsia="Times New Roman" w:hAnsi="Cambria" w:cs="Times New Roman"/>
                <w:sz w:val="20"/>
                <w:szCs w:val="24"/>
              </w:rPr>
              <w:t>Rilevanza  della</w:t>
            </w:r>
            <w:proofErr w:type="gramEnd"/>
            <w:r w:rsidRPr="009A1550">
              <w:rPr>
                <w:rFonts w:ascii="Cambria" w:eastAsia="Times New Roman" w:hAnsi="Cambria" w:cs="Times New Roman"/>
                <w:sz w:val="20"/>
                <w:szCs w:val="24"/>
              </w:rPr>
              <w:t xml:space="preserve"> PO rispetto ai programmi dell’ente</w:t>
            </w:r>
          </w:p>
        </w:tc>
        <w:tc>
          <w:tcPr>
            <w:tcW w:w="2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Basso: </w:t>
            </w:r>
            <w:r w:rsidRPr="009A1550">
              <w:rPr>
                <w:rFonts w:ascii="Cambria" w:eastAsia="Times New Roman" w:hAnsi="Cambria" w:cs="Times New Roman"/>
                <w:b/>
                <w:sz w:val="20"/>
                <w:szCs w:val="24"/>
              </w:rPr>
              <w:t xml:space="preserve">fino a 5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Medio</w:t>
            </w:r>
            <w:r w:rsidRPr="009A1550">
              <w:rPr>
                <w:rFonts w:ascii="Cambria" w:eastAsia="Times New Roman" w:hAnsi="Cambria" w:cs="Times New Roman"/>
                <w:b/>
                <w:sz w:val="20"/>
                <w:szCs w:val="24"/>
              </w:rPr>
              <w:t xml:space="preserve">: fino a 10 punti </w:t>
            </w:r>
          </w:p>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sz w:val="20"/>
                <w:szCs w:val="24"/>
              </w:rPr>
              <w:t xml:space="preserve">Alto: </w:t>
            </w:r>
            <w:r w:rsidRPr="009A1550">
              <w:rPr>
                <w:rFonts w:ascii="Cambria" w:eastAsia="Times New Roman" w:hAnsi="Cambria" w:cs="Times New Roman"/>
                <w:b/>
                <w:sz w:val="20"/>
                <w:szCs w:val="24"/>
              </w:rPr>
              <w:t>fino a</w:t>
            </w:r>
            <w:r w:rsidRPr="009A1550">
              <w:rPr>
                <w:rFonts w:ascii="Cambria" w:eastAsia="Times New Roman" w:hAnsi="Cambria" w:cs="Times New Roman"/>
                <w:sz w:val="20"/>
                <w:szCs w:val="24"/>
              </w:rPr>
              <w:t xml:space="preserve"> </w:t>
            </w:r>
            <w:r w:rsidRPr="009A1550">
              <w:rPr>
                <w:rFonts w:ascii="Cambria" w:eastAsia="Times New Roman" w:hAnsi="Cambria" w:cs="Times New Roman"/>
                <w:b/>
                <w:sz w:val="20"/>
                <w:szCs w:val="24"/>
              </w:rPr>
              <w:t>15 punti</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r w:rsidR="009A1550" w:rsidRPr="009A1550">
        <w:trPr>
          <w:cantSplit/>
        </w:trPr>
        <w:tc>
          <w:tcPr>
            <w:tcW w:w="772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rPr>
                <w:rFonts w:ascii="Cambria" w:eastAsia="Times New Roman" w:hAnsi="Cambria" w:cs="Times New Roman"/>
                <w:b/>
                <w:sz w:val="20"/>
                <w:szCs w:val="24"/>
              </w:rPr>
            </w:pPr>
            <w:r w:rsidRPr="009A1550">
              <w:rPr>
                <w:rFonts w:ascii="Cambria" w:eastAsia="Times New Roman" w:hAnsi="Cambria" w:cs="Times New Roman"/>
                <w:b/>
                <w:sz w:val="20"/>
                <w:szCs w:val="24"/>
              </w:rPr>
              <w:t>TOTALE PUNTEGGIO</w:t>
            </w:r>
          </w:p>
        </w:tc>
        <w:tc>
          <w:tcPr>
            <w:tcW w:w="17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A1550" w:rsidRPr="009A1550" w:rsidRDefault="009A1550" w:rsidP="009A1550">
            <w:pPr>
              <w:autoSpaceDE w:val="0"/>
              <w:autoSpaceDN w:val="0"/>
              <w:adjustRightInd w:val="0"/>
              <w:spacing w:after="0" w:line="240" w:lineRule="auto"/>
              <w:jc w:val="center"/>
              <w:rPr>
                <w:rFonts w:ascii="Cambria" w:eastAsia="Times New Roman" w:hAnsi="Cambria" w:cs="Times New Roman"/>
                <w:sz w:val="20"/>
                <w:szCs w:val="24"/>
              </w:rPr>
            </w:pPr>
          </w:p>
        </w:tc>
      </w:tr>
    </w:tbl>
    <w:p w:rsidR="009A1550" w:rsidRPr="009A1550" w:rsidRDefault="009A1550" w:rsidP="009A1550">
      <w:pPr>
        <w:autoSpaceDE w:val="0"/>
        <w:autoSpaceDN w:val="0"/>
        <w:adjustRightInd w:val="0"/>
        <w:spacing w:after="0" w:line="240" w:lineRule="auto"/>
        <w:jc w:val="both"/>
        <w:rPr>
          <w:rFonts w:ascii="Cambria" w:eastAsia="Times New Roman" w:hAnsi="Cambria" w:cs="Times New Roman"/>
          <w:b/>
          <w:sz w:val="24"/>
          <w:szCs w:val="24"/>
        </w:rPr>
      </w:pPr>
    </w:p>
    <w:p w:rsidR="009A1550" w:rsidRPr="009A1550" w:rsidRDefault="009A1550" w:rsidP="009A1550">
      <w:pPr>
        <w:autoSpaceDE w:val="0"/>
        <w:autoSpaceDN w:val="0"/>
        <w:adjustRightInd w:val="0"/>
        <w:spacing w:after="0" w:line="240" w:lineRule="auto"/>
        <w:rPr>
          <w:rFonts w:ascii="Times New Roman" w:eastAsia="Times New Roman" w:hAnsi="Times New Roman" w:cs="Times New Roman"/>
          <w:sz w:val="20"/>
          <w:szCs w:val="24"/>
        </w:rPr>
      </w:pPr>
    </w:p>
    <w:p w:rsidR="009A1550" w:rsidRPr="009A1550" w:rsidRDefault="009A1550" w:rsidP="009A1550">
      <w:pPr>
        <w:autoSpaceDE w:val="0"/>
        <w:autoSpaceDN w:val="0"/>
        <w:adjustRightInd w:val="0"/>
        <w:spacing w:after="0" w:line="240" w:lineRule="auto"/>
        <w:rPr>
          <w:rFonts w:ascii="Arial" w:eastAsia="Times New Roman" w:hAnsi="Arial" w:cs="Times New Roman"/>
          <w:sz w:val="24"/>
          <w:szCs w:val="24"/>
        </w:rPr>
      </w:pPr>
    </w:p>
    <w:p w:rsidR="00B53E25" w:rsidRDefault="00B53E25"/>
    <w:sectPr w:rsidR="00B53E25" w:rsidSect="00DB2DD1">
      <w:headerReference w:type="default" r:id="rId5"/>
      <w:footerReference w:type="default" r:id="rId6"/>
      <w:pgSz w:w="11902" w:h="16833"/>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D1" w:rsidRDefault="009A1550">
    <w:pPr>
      <w:pStyle w:val="Pidipagina"/>
      <w:framePr w:w="230" w:wrap="auto" w:vAnchor="text" w:hAnchor="margin" w:x="9405" w:y="1"/>
      <w:rPr>
        <w:rStyle w:val="Numeropagina"/>
        <w:rFonts w:eastAsia="Times New Roman"/>
        <w:szCs w:val="24"/>
      </w:rPr>
    </w:pPr>
    <w:r>
      <w:rPr>
        <w:rStyle w:val="Numeropagina"/>
        <w:rFonts w:eastAsia="Times New Roman"/>
        <w:szCs w:val="24"/>
      </w:rPr>
      <w:fldChar w:fldCharType="begin"/>
    </w:r>
    <w:r>
      <w:rPr>
        <w:rStyle w:val="Numeropagina"/>
        <w:rFonts w:eastAsia="Times New Roman"/>
        <w:szCs w:val="24"/>
      </w:rPr>
      <w:instrText>PAGE</w:instrText>
    </w:r>
    <w:r>
      <w:rPr>
        <w:rStyle w:val="Numeropagina"/>
        <w:rFonts w:eastAsia="Times New Roman"/>
        <w:szCs w:val="24"/>
      </w:rPr>
      <w:fldChar w:fldCharType="separate"/>
    </w:r>
    <w:r>
      <w:rPr>
        <w:rStyle w:val="Numeropagina"/>
        <w:rFonts w:eastAsia="Times New Roman"/>
        <w:noProof/>
        <w:szCs w:val="24"/>
      </w:rPr>
      <w:t>4</w:t>
    </w:r>
    <w:r>
      <w:rPr>
        <w:rStyle w:val="Numeropagina"/>
        <w:rFonts w:eastAsia="Times New Roman"/>
        <w:szCs w:val="24"/>
      </w:rPr>
      <w:fldChar w:fldCharType="end"/>
    </w:r>
  </w:p>
  <w:p w:rsidR="00DB2DD1" w:rsidRDefault="009A1550">
    <w:pPr>
      <w:pStyle w:val="Pidipagina"/>
      <w:pBdr>
        <w:top w:val="double" w:sz="6" w:space="0" w:color="auto"/>
      </w:pBdr>
      <w:ind w:right="360"/>
      <w:rPr>
        <w:rFonts w:ascii="Cambria" w:eastAsia="Times New Roman" w:hAnsi="Cambria"/>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D1" w:rsidRDefault="009A1550">
    <w:pPr>
      <w:pStyle w:val="Intestazione"/>
      <w:rPr>
        <w:rFonts w:eastAsia="Times New Roman"/>
        <w:szCs w:val="24"/>
      </w:rPr>
    </w:pPr>
    <w:r>
      <w:rPr>
        <w:rFonts w:eastAsia="Times New Roman"/>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554"/>
    <w:multiLevelType w:val="multilevel"/>
    <w:tmpl w:val="1F204E6E"/>
    <w:lvl w:ilvl="0">
      <w:start w:val="1"/>
      <w:numFmt w:val="lowerLetter"/>
      <w:lvlText w:val="%1)"/>
      <w:lvlJc w:val="left"/>
      <w:rPr>
        <w:rFonts w:cs="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0F1F4416"/>
    <w:multiLevelType w:val="multilevel"/>
    <w:tmpl w:val="5742E10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18145BB9"/>
    <w:multiLevelType w:val="multilevel"/>
    <w:tmpl w:val="129EA38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44CF77E1"/>
    <w:multiLevelType w:val="multilevel"/>
    <w:tmpl w:val="7884F38E"/>
    <w:lvl w:ilvl="0">
      <w:start w:val="1"/>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4EE15A6D"/>
    <w:multiLevelType w:val="multilevel"/>
    <w:tmpl w:val="3F04D67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 w15:restartNumberingAfterBreak="0">
    <w:nsid w:val="773D3B3B"/>
    <w:multiLevelType w:val="multilevel"/>
    <w:tmpl w:val="029096D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50"/>
    <w:rsid w:val="009A1550"/>
    <w:rsid w:val="00B53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9F7CC-6684-442C-B1E1-5434A19F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A1550"/>
    <w:pPr>
      <w:tabs>
        <w:tab w:val="center" w:pos="4819"/>
        <w:tab w:val="right" w:pos="9638"/>
      </w:tabs>
      <w:autoSpaceDE w:val="0"/>
      <w:autoSpaceDN w:val="0"/>
      <w:adjustRightInd w:val="0"/>
      <w:spacing w:after="0" w:line="240" w:lineRule="auto"/>
    </w:pPr>
    <w:rPr>
      <w:rFonts w:ascii="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9A1550"/>
    <w:rPr>
      <w:rFonts w:ascii="Times New Roman" w:hAnsi="Times New Roman" w:cs="Times New Roman"/>
      <w:sz w:val="20"/>
      <w:szCs w:val="20"/>
    </w:rPr>
  </w:style>
  <w:style w:type="paragraph" w:styleId="Pidipagina">
    <w:name w:val="footer"/>
    <w:basedOn w:val="Normale"/>
    <w:link w:val="PidipaginaCarattere"/>
    <w:uiPriority w:val="99"/>
    <w:rsid w:val="009A1550"/>
    <w:pPr>
      <w:tabs>
        <w:tab w:val="center" w:pos="4819"/>
        <w:tab w:val="right" w:pos="9638"/>
      </w:tabs>
      <w:autoSpaceDE w:val="0"/>
      <w:autoSpaceDN w:val="0"/>
      <w:adjustRightInd w:val="0"/>
      <w:spacing w:after="0" w:line="240" w:lineRule="auto"/>
    </w:pPr>
    <w:rPr>
      <w:rFonts w:ascii="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9A1550"/>
    <w:rPr>
      <w:rFonts w:ascii="Times New Roman" w:hAnsi="Times New Roman" w:cs="Times New Roman"/>
      <w:sz w:val="20"/>
      <w:szCs w:val="20"/>
    </w:rPr>
  </w:style>
  <w:style w:type="character" w:styleId="Numeropagina">
    <w:name w:val="page number"/>
    <w:basedOn w:val="Carpredefinitoparagrafo"/>
    <w:uiPriority w:val="99"/>
    <w:rsid w:val="009A1550"/>
  </w:style>
  <w:style w:type="paragraph" w:styleId="Corpodeltesto2">
    <w:name w:val="Body Text 2"/>
    <w:basedOn w:val="Normale"/>
    <w:link w:val="Corpodeltesto2Carattere"/>
    <w:uiPriority w:val="99"/>
    <w:rsid w:val="009A1550"/>
    <w:pPr>
      <w:pBdr>
        <w:top w:val="double" w:sz="6" w:space="0" w:color="auto"/>
        <w:left w:val="double" w:sz="6" w:space="0" w:color="auto"/>
        <w:bottom w:val="double" w:sz="6" w:space="0" w:color="auto"/>
        <w:right w:val="double" w:sz="6" w:space="0" w:color="auto"/>
      </w:pBdr>
      <w:autoSpaceDE w:val="0"/>
      <w:autoSpaceDN w:val="0"/>
      <w:adjustRightInd w:val="0"/>
      <w:spacing w:after="0" w:line="240" w:lineRule="auto"/>
      <w:jc w:val="center"/>
    </w:pPr>
    <w:rPr>
      <w:rFonts w:ascii="Tms Rmn" w:hAnsi="Tms Rmn" w:cs="Tms Rmn"/>
      <w:b/>
      <w:bCs/>
      <w:sz w:val="32"/>
      <w:szCs w:val="32"/>
    </w:rPr>
  </w:style>
  <w:style w:type="character" w:customStyle="1" w:styleId="Corpodeltesto2Carattere">
    <w:name w:val="Corpo del testo 2 Carattere"/>
    <w:basedOn w:val="Carpredefinitoparagrafo"/>
    <w:link w:val="Corpodeltesto2"/>
    <w:uiPriority w:val="99"/>
    <w:rsid w:val="009A1550"/>
    <w:rPr>
      <w:rFonts w:ascii="Tms Rmn" w:hAnsi="Tms Rmn" w:cs="Tms Rmn"/>
      <w:b/>
      <w:bCs/>
      <w:sz w:val="32"/>
      <w:szCs w:val="32"/>
    </w:rPr>
  </w:style>
  <w:style w:type="paragraph" w:styleId="NormaleWeb">
    <w:name w:val="Normal (Web)"/>
    <w:basedOn w:val="Normale"/>
    <w:uiPriority w:val="99"/>
    <w:rsid w:val="009A1550"/>
    <w:pPr>
      <w:autoSpaceDE w:val="0"/>
      <w:autoSpaceDN w:val="0"/>
      <w:adjustRightInd w:val="0"/>
      <w:spacing w:before="100" w:after="100" w:line="240" w:lineRule="auto"/>
    </w:pPr>
    <w:rPr>
      <w:rFonts w:ascii="Times New Roman" w:hAnsi="Times New Roman" w:cs="Times New Roman"/>
      <w:sz w:val="24"/>
      <w:szCs w:val="24"/>
    </w:rPr>
  </w:style>
  <w:style w:type="paragraph" w:styleId="Paragrafoelenco">
    <w:name w:val="List Paragraph"/>
    <w:basedOn w:val="Normale"/>
    <w:uiPriority w:val="99"/>
    <w:qFormat/>
    <w:rsid w:val="009A1550"/>
    <w:pPr>
      <w:autoSpaceDE w:val="0"/>
      <w:autoSpaceDN w:val="0"/>
      <w:adjustRightInd w:val="0"/>
      <w:spacing w:after="0" w:line="240" w:lineRule="auto"/>
      <w:ind w:left="708"/>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2019-05-22T08:50:00Z</dcterms:created>
  <dcterms:modified xsi:type="dcterms:W3CDTF">2019-05-22T08:51:00Z</dcterms:modified>
</cp:coreProperties>
</file>