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82" w:rsidRPr="00D55982" w:rsidRDefault="004D2B7F" w:rsidP="00D55982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Allegato A</w:t>
      </w:r>
    </w:p>
    <w:p w:rsidR="00D55982" w:rsidRDefault="00D55982" w:rsidP="00D55982"/>
    <w:p w:rsidR="00D55982" w:rsidRDefault="00D55982" w:rsidP="00D55982">
      <w:pPr>
        <w:pStyle w:val="Paragrafoelenco"/>
        <w:numPr>
          <w:ilvl w:val="0"/>
          <w:numId w:val="1"/>
        </w:numPr>
      </w:pPr>
      <w:r>
        <w:t>Quadro riassuntivo della gestione finanziaria anno 2017 - Allegato 1;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Conto di bilancio- Allegato 2;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Relazione al Conto di Bilancio - Allegato 3;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Conto del Patrimonio anno 2017 - Allegato 4;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 xml:space="preserve">Rendiconto degli agenti contabili - Allegato 5; 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Elenco dei residui attivi variati - Allegato 6;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Elenco dei residui passivi variati - Allegato 7;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Elenco dei residui attivi da riportare - Allegato 8;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Elenco dei residui passivi da riportare - Allegato 9;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 xml:space="preserve">Prospetto ex </w:t>
      </w:r>
      <w:proofErr w:type="spellStart"/>
      <w:r>
        <w:t>Siope</w:t>
      </w:r>
      <w:proofErr w:type="spellEnd"/>
      <w:r>
        <w:t xml:space="preserve"> - Allegato 10; 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Situazioni crediti/debiti con società partecipate - Allegato 11;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Prospetto verifica rispetto dei vincoli di finanza pubblica - Allegato 12;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 xml:space="preserve">Certificazione dei parametri obiettivi enti </w:t>
      </w:r>
      <w:proofErr w:type="spellStart"/>
      <w:r>
        <w:t>deficitari</w:t>
      </w:r>
      <w:proofErr w:type="spellEnd"/>
      <w:r>
        <w:t xml:space="preserve"> - Allegato 13;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Riepilogo per titoli, entrate ed uscite - Allegato 14;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Riepilogo generale delle spese per missioni - Allegato 15: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Verifica degli equilibri di bilancio - Allegato 16;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Prospetto delle entrate per categorie- Allegato 17;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Spese distinte per missioni, programmi e macroaggregati - Allegato 18;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Risultato di amministrazione - Allegato 19;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Composizione per missioni e programmi del fondo pluriennale vincolato - Allegato 20;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Composizione del fondo crediti di dubbia esigibilità - Allegato 21;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Rendiconto del tesoriere - Allegato 22;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Indicatore tempestività dei pagamenti - Allegato 23;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Piano degli indicatori di bilancio - Allegato 24</w:t>
      </w:r>
    </w:p>
    <w:p w:rsidR="00D55982" w:rsidRDefault="00D55982" w:rsidP="00D55982">
      <w:pPr>
        <w:pStyle w:val="Paragrafoelenco"/>
        <w:numPr>
          <w:ilvl w:val="0"/>
          <w:numId w:val="1"/>
        </w:numPr>
      </w:pPr>
      <w:r>
        <w:t>Sp</w:t>
      </w:r>
      <w:r w:rsidR="004D2B7F">
        <w:t>ese di Rappresentanza – Allegato</w:t>
      </w:r>
      <w:r>
        <w:t xml:space="preserve"> 25</w:t>
      </w:r>
    </w:p>
    <w:p w:rsidR="00D55982" w:rsidRDefault="00D55982" w:rsidP="00D55982"/>
    <w:p w:rsidR="00D55982" w:rsidRDefault="00D55982" w:rsidP="00D55982"/>
    <w:p w:rsidR="0091482F" w:rsidRDefault="0091482F"/>
    <w:sectPr w:rsidR="0091482F" w:rsidSect="009148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7B01"/>
    <w:multiLevelType w:val="hybridMultilevel"/>
    <w:tmpl w:val="3FF86C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55982"/>
    <w:rsid w:val="002306A7"/>
    <w:rsid w:val="004D2B7F"/>
    <w:rsid w:val="00817919"/>
    <w:rsid w:val="0091482F"/>
    <w:rsid w:val="00D55982"/>
    <w:rsid w:val="00EF0CD6"/>
    <w:rsid w:val="00F64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8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5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Funari Antonia</dc:creator>
  <cp:lastModifiedBy>Funari Antonia</cp:lastModifiedBy>
  <cp:revision>3</cp:revision>
  <cp:lastPrinted>2018-06-27T11:28:00Z</cp:lastPrinted>
  <dcterms:created xsi:type="dcterms:W3CDTF">2018-06-26T10:22:00Z</dcterms:created>
  <dcterms:modified xsi:type="dcterms:W3CDTF">2018-06-27T11:28:00Z</dcterms:modified>
</cp:coreProperties>
</file>