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CFE2" w14:textId="1EF98D4A" w:rsidR="000C049D" w:rsidRDefault="00E54B3B">
      <w:pPr>
        <w:jc w:val="center"/>
      </w:pPr>
      <w:r>
        <w:t xml:space="preserve">                                                                                                          </w:t>
      </w:r>
      <w:r>
        <w:tab/>
      </w:r>
      <w:r>
        <w:tab/>
      </w:r>
    </w:p>
    <w:tbl>
      <w:tblPr>
        <w:tblW w:w="10348" w:type="dxa"/>
        <w:tblBorders>
          <w:bottom w:val="single" w:sz="12" w:space="0" w:color="000000"/>
          <w:insideV w:val="single" w:sz="12" w:space="0" w:color="000000"/>
        </w:tblBorders>
        <w:tblLook w:val="04A0" w:firstRow="1" w:lastRow="0" w:firstColumn="1" w:lastColumn="0" w:noHBand="0" w:noVBand="1"/>
      </w:tblPr>
      <w:tblGrid>
        <w:gridCol w:w="1276"/>
        <w:gridCol w:w="8789"/>
        <w:gridCol w:w="283"/>
      </w:tblGrid>
      <w:tr w:rsidR="005D2740" w14:paraId="66C2F79B" w14:textId="77777777" w:rsidTr="00E52CB3">
        <w:trPr>
          <w:trHeight w:val="1135"/>
        </w:trPr>
        <w:tc>
          <w:tcPr>
            <w:tcW w:w="1276" w:type="dxa"/>
            <w:tcBorders>
              <w:top w:val="nil"/>
              <w:left w:val="nil"/>
              <w:bottom w:val="single" w:sz="12" w:space="0" w:color="000000"/>
              <w:right w:val="nil"/>
            </w:tcBorders>
            <w:hideMark/>
          </w:tcPr>
          <w:p w14:paraId="1775FCBB" w14:textId="77777777" w:rsidR="005D2740" w:rsidRDefault="005D2740" w:rsidP="00E52CB3">
            <w:pPr>
              <w:tabs>
                <w:tab w:val="center" w:pos="4819"/>
                <w:tab w:val="right" w:pos="9638"/>
              </w:tabs>
              <w:rPr>
                <w:sz w:val="20"/>
                <w:szCs w:val="20"/>
              </w:rPr>
            </w:pPr>
            <w:r>
              <w:rPr>
                <w:rFonts w:ascii="Arial" w:hAnsi="Arial" w:cs="Arial"/>
                <w:i/>
                <w:noProof/>
                <w:sz w:val="20"/>
                <w:szCs w:val="20"/>
              </w:rPr>
              <w:drawing>
                <wp:inline distT="0" distB="0" distL="0" distR="0" wp14:anchorId="60A1EA58" wp14:editId="3EA82788">
                  <wp:extent cx="361950" cy="571500"/>
                  <wp:effectExtent l="0" t="0" r="0" b="0"/>
                  <wp:docPr id="3" name="Immagin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1"/>
                          <pic:cNvPicPr>
                            <a:picLocks noChangeAspect="1" noChangeArrowheads="1"/>
                          </pic:cNvPicPr>
                        </pic:nvPicPr>
                        <pic:blipFill>
                          <a:blip r:embed="rId7" cstate="print">
                            <a:lum contrast="36000"/>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8789" w:type="dxa"/>
            <w:tcBorders>
              <w:top w:val="nil"/>
              <w:left w:val="nil"/>
              <w:bottom w:val="single" w:sz="12" w:space="0" w:color="000000"/>
              <w:right w:val="single" w:sz="12" w:space="0" w:color="000000"/>
            </w:tcBorders>
            <w:hideMark/>
          </w:tcPr>
          <w:p w14:paraId="246D494F" w14:textId="77777777" w:rsidR="005D2740" w:rsidRDefault="005D2740" w:rsidP="00E52CB3">
            <w:pPr>
              <w:tabs>
                <w:tab w:val="center" w:pos="4819"/>
                <w:tab w:val="right" w:pos="9638"/>
              </w:tabs>
              <w:rPr>
                <w:b/>
                <w:sz w:val="36"/>
                <w:szCs w:val="36"/>
              </w:rPr>
            </w:pPr>
            <w:r>
              <w:rPr>
                <w:b/>
                <w:sz w:val="36"/>
                <w:szCs w:val="36"/>
              </w:rPr>
              <w:t>Comune di ARQUATA DEL TRONTO</w:t>
            </w:r>
          </w:p>
          <w:p w14:paraId="0FA21818" w14:textId="77777777" w:rsidR="005D2740" w:rsidRDefault="005D2740" w:rsidP="00E52CB3">
            <w:pPr>
              <w:jc w:val="center"/>
              <w:rPr>
                <w:sz w:val="28"/>
                <w:szCs w:val="28"/>
              </w:rPr>
            </w:pPr>
            <w:r>
              <w:rPr>
                <w:sz w:val="28"/>
                <w:szCs w:val="28"/>
              </w:rPr>
              <w:t>Provincia di ASCOLI PICENO</w:t>
            </w:r>
          </w:p>
        </w:tc>
        <w:tc>
          <w:tcPr>
            <w:tcW w:w="283" w:type="dxa"/>
            <w:tcBorders>
              <w:top w:val="nil"/>
              <w:left w:val="single" w:sz="12" w:space="0" w:color="000000"/>
              <w:bottom w:val="single" w:sz="12" w:space="0" w:color="000000"/>
              <w:right w:val="nil"/>
            </w:tcBorders>
          </w:tcPr>
          <w:p w14:paraId="588313A1" w14:textId="77777777" w:rsidR="005D2740" w:rsidRDefault="005D2740" w:rsidP="00E52CB3">
            <w:pPr>
              <w:rPr>
                <w:b/>
                <w:bCs/>
              </w:rPr>
            </w:pPr>
            <w:r>
              <w:rPr>
                <w:rFonts w:ascii="Arial" w:hAnsi="Arial" w:cs="Arial"/>
                <w:b/>
                <w:bCs/>
              </w:rPr>
              <w:t xml:space="preserve">  </w:t>
            </w:r>
          </w:p>
          <w:p w14:paraId="3794E932" w14:textId="77777777" w:rsidR="005D2740" w:rsidRDefault="005D2740" w:rsidP="00E52CB3">
            <w:pPr>
              <w:tabs>
                <w:tab w:val="center" w:pos="4819"/>
                <w:tab w:val="right" w:pos="9638"/>
              </w:tabs>
              <w:rPr>
                <w:b/>
                <w:bCs/>
              </w:rPr>
            </w:pPr>
          </w:p>
        </w:tc>
      </w:tr>
    </w:tbl>
    <w:p w14:paraId="2308D211" w14:textId="77777777" w:rsidR="000C049D" w:rsidRDefault="000C049D">
      <w:pPr>
        <w:rPr>
          <w:b/>
          <w:bCs/>
        </w:rPr>
      </w:pPr>
    </w:p>
    <w:p w14:paraId="246F9C29" w14:textId="77777777" w:rsidR="000C049D" w:rsidRDefault="00E54B3B">
      <w:pPr>
        <w:rPr>
          <w:b/>
          <w:bCs/>
        </w:rPr>
      </w:pPr>
      <w:r>
        <w:rPr>
          <w:b/>
          <w:bCs/>
        </w:rPr>
        <w:t>AVVISO PUBBLICO PER PRESENTAZIONE MANIFESTAZIONE DI INTERESSE PER L’EVENTUALE ASSEGNAZIONE DI STRUTTURE ABITATIVE DI EMERGENZA SAE ALLE GIOVANI COPPIE</w:t>
      </w:r>
    </w:p>
    <w:p w14:paraId="269116FE" w14:textId="77777777" w:rsidR="000C049D" w:rsidRDefault="000C049D"/>
    <w:p w14:paraId="272BC5F2" w14:textId="77777777" w:rsidR="000C049D" w:rsidRDefault="00E54B3B">
      <w:pPr>
        <w:jc w:val="both"/>
      </w:pPr>
      <w:r>
        <w:t>Si avverte che:</w:t>
      </w:r>
    </w:p>
    <w:p w14:paraId="5555AD2E" w14:textId="77777777" w:rsidR="000C049D" w:rsidRDefault="000C049D">
      <w:pPr>
        <w:jc w:val="both"/>
      </w:pPr>
    </w:p>
    <w:p w14:paraId="52E19680" w14:textId="77777777" w:rsidR="000C049D" w:rsidRDefault="00E54B3B">
      <w:pPr>
        <w:pStyle w:val="Paragrafoelenco"/>
        <w:numPr>
          <w:ilvl w:val="0"/>
          <w:numId w:val="1"/>
        </w:numPr>
        <w:jc w:val="both"/>
      </w:pPr>
      <w:r>
        <w:t>Le giovani coppie con componenti di età inferiore ai 45 anni e più precisamente  i nuovi nuclei familiari sorti dopo gli eventi sismici del 24/08/2016 e  coloro che manifestino la volontà di costituire un nuovo nucleo familiare, trasferendo la propria residenza nell’unità abitativa di assegnazione, in cui sia presente almeno un componente avente diritto alle SAE di cui all'art. 1 dell'ordinanza n. 394/2016 (Modulo allegato A);</w:t>
      </w:r>
    </w:p>
    <w:p w14:paraId="33578FB5" w14:textId="77777777" w:rsidR="000C049D" w:rsidRDefault="000C049D">
      <w:pPr>
        <w:jc w:val="both"/>
        <w:rPr>
          <w:b/>
          <w:bCs/>
        </w:rPr>
      </w:pPr>
    </w:p>
    <w:p w14:paraId="4130D91D" w14:textId="77777777" w:rsidR="000C049D" w:rsidRDefault="00E54B3B">
      <w:pPr>
        <w:jc w:val="both"/>
      </w:pPr>
      <w:r>
        <w:t xml:space="preserve">potranno presentare la propria </w:t>
      </w:r>
      <w:r>
        <w:rPr>
          <w:b/>
          <w:bCs/>
        </w:rPr>
        <w:t>“Manifestazione d'interesse per l'eventuale assegnazione di strutture abitative di emergenza S.A.E.”</w:t>
      </w:r>
    </w:p>
    <w:p w14:paraId="0A05F685" w14:textId="77777777" w:rsidR="000C049D" w:rsidRDefault="000C049D">
      <w:pPr>
        <w:jc w:val="both"/>
        <w:rPr>
          <w:b/>
          <w:bCs/>
        </w:rPr>
      </w:pPr>
    </w:p>
    <w:p w14:paraId="21CEFCA6" w14:textId="29F7398F" w:rsidR="000C049D" w:rsidRDefault="00E54B3B">
      <w:pPr>
        <w:jc w:val="both"/>
      </w:pPr>
      <w:r>
        <w:t xml:space="preserve">Si precisa che ai sensi della delibera della Giunta comunale n. </w:t>
      </w:r>
      <w:r w:rsidR="00EF1772">
        <w:t>89</w:t>
      </w:r>
      <w:r>
        <w:t xml:space="preserve"> dell’11/11/2020:</w:t>
      </w:r>
    </w:p>
    <w:p w14:paraId="1CBF25DA" w14:textId="77777777" w:rsidR="000C049D" w:rsidRDefault="000C049D">
      <w:pPr>
        <w:jc w:val="both"/>
      </w:pPr>
    </w:p>
    <w:p w14:paraId="6C1BE2DA" w14:textId="77777777" w:rsidR="000C049D" w:rsidRDefault="00E54B3B">
      <w:pPr>
        <w:pStyle w:val="Paragrafoelenco"/>
        <w:numPr>
          <w:ilvl w:val="0"/>
          <w:numId w:val="2"/>
        </w:numPr>
        <w:jc w:val="both"/>
      </w:pPr>
      <w:r>
        <w:t>la graduatoria per giovani coppie verrà disposta con i seguenti punteggi:</w:t>
      </w:r>
    </w:p>
    <w:p w14:paraId="04DAAA0E" w14:textId="77777777" w:rsidR="000C049D" w:rsidRDefault="00E54B3B">
      <w:pPr>
        <w:pStyle w:val="Paragrafoelenco"/>
        <w:numPr>
          <w:ilvl w:val="0"/>
          <w:numId w:val="3"/>
        </w:numPr>
        <w:jc w:val="both"/>
      </w:pPr>
      <w:r>
        <w:t>Nuclei familiari sorti successivamente alla verificazione degli eventi sismici punti 3;</w:t>
      </w:r>
    </w:p>
    <w:p w14:paraId="53BA7B14" w14:textId="77777777" w:rsidR="000C049D" w:rsidRDefault="00E54B3B">
      <w:pPr>
        <w:pStyle w:val="Paragrafoelenco"/>
        <w:numPr>
          <w:ilvl w:val="0"/>
          <w:numId w:val="3"/>
        </w:numPr>
        <w:jc w:val="both"/>
      </w:pPr>
      <w:r>
        <w:t>Nuclei familiari con presenza di figli minori, per ogni figlio punti 2;</w:t>
      </w:r>
    </w:p>
    <w:p w14:paraId="34109D9C" w14:textId="77777777" w:rsidR="000C049D" w:rsidRDefault="00E54B3B">
      <w:pPr>
        <w:pStyle w:val="Paragrafoelenco"/>
        <w:numPr>
          <w:ilvl w:val="0"/>
          <w:numId w:val="3"/>
        </w:numPr>
        <w:jc w:val="both"/>
      </w:pPr>
      <w:r>
        <w:t>Soggetti disabili con invalidità accertata dal Ministero dell’interno massimo punti 3 ;</w:t>
      </w:r>
    </w:p>
    <w:p w14:paraId="7C7B405C" w14:textId="77777777" w:rsidR="000C049D" w:rsidRDefault="000C049D">
      <w:pPr>
        <w:jc w:val="both"/>
      </w:pPr>
    </w:p>
    <w:p w14:paraId="1F610FB2" w14:textId="77777777" w:rsidR="000C049D" w:rsidRDefault="00E54B3B">
      <w:pPr>
        <w:jc w:val="both"/>
        <w:rPr>
          <w:u w:val="single"/>
        </w:rPr>
      </w:pPr>
      <w:r>
        <w:rPr>
          <w:u w:val="single"/>
        </w:rPr>
        <w:t>Si specifica che tali richieste potranno essere accolte solo allorquando verranno esaurite le graduatorie di coloro che hanno i prescritti requisiti e comunque previo parere favorevole della Protezione Civile.</w:t>
      </w:r>
    </w:p>
    <w:p w14:paraId="69A3E652" w14:textId="77777777" w:rsidR="000C049D" w:rsidRDefault="000C049D">
      <w:pPr>
        <w:jc w:val="both"/>
      </w:pPr>
    </w:p>
    <w:p w14:paraId="4FC7BCA4" w14:textId="77777777" w:rsidR="000C049D" w:rsidRDefault="00E54B3B">
      <w:pPr>
        <w:jc w:val="both"/>
      </w:pPr>
      <w:r>
        <w:t>Si avverte che secondo quanto disposto dall’OCDPC n. 614/2019 art. 3 (Disposizioni in materia di contributo per il canone di locazione di unità immobiliari) potrà essere richiesto un modico canone di locazione.</w:t>
      </w:r>
    </w:p>
    <w:p w14:paraId="3C9CCC26" w14:textId="77777777" w:rsidR="000C049D" w:rsidRDefault="000C049D">
      <w:pPr>
        <w:jc w:val="both"/>
      </w:pPr>
    </w:p>
    <w:p w14:paraId="6650AF36" w14:textId="77777777" w:rsidR="000C049D" w:rsidRDefault="00E54B3B">
      <w:pPr>
        <w:jc w:val="both"/>
      </w:pPr>
      <w:r>
        <w:t>La modulistica per la richiesta della S.A.E. è disponibile presso l’Ufficio Protocollo del Comune e scaricabile anche dal sito istituzionale.</w:t>
      </w:r>
    </w:p>
    <w:p w14:paraId="405E898D" w14:textId="77777777" w:rsidR="000C049D" w:rsidRDefault="000C049D">
      <w:pPr>
        <w:jc w:val="both"/>
      </w:pPr>
    </w:p>
    <w:p w14:paraId="05CFC563" w14:textId="77777777" w:rsidR="000C049D" w:rsidRDefault="00E54B3B">
      <w:pPr>
        <w:jc w:val="both"/>
      </w:pPr>
      <w:r>
        <w:t xml:space="preserve">Le manifestazioni di interesse  dovranno  essere consegnate direttamente all’Ufficio Protocollo del Comune inviate tramite posta elettronica certificata all’indirizzo </w:t>
      </w:r>
      <w:hyperlink r:id="rId8" w:history="1">
        <w:r>
          <w:rPr>
            <w:rStyle w:val="Collegamentoipertestuale"/>
          </w:rPr>
          <w:t>comune.arquatadeltronto@emarche.it</w:t>
        </w:r>
      </w:hyperlink>
      <w:r>
        <w:t xml:space="preserve">  oppure tramite email: </w:t>
      </w:r>
      <w:hyperlink r:id="rId9" w:history="1">
        <w:r>
          <w:rPr>
            <w:rStyle w:val="Collegamentoipertestuale"/>
          </w:rPr>
          <w:t>info@comune.arquatadeltronto.ap.it</w:t>
        </w:r>
      </w:hyperlink>
      <w:r>
        <w:t xml:space="preserve"> entro il giorno:</w:t>
      </w:r>
    </w:p>
    <w:p w14:paraId="0ED40E4E" w14:textId="77777777" w:rsidR="000C049D" w:rsidRDefault="000C049D">
      <w:pPr>
        <w:jc w:val="both"/>
      </w:pPr>
    </w:p>
    <w:p w14:paraId="237AA5F5" w14:textId="77777777" w:rsidR="005D2740" w:rsidRDefault="005D2740">
      <w:pPr>
        <w:jc w:val="center"/>
        <w:rPr>
          <w:b/>
          <w:bCs/>
        </w:rPr>
      </w:pPr>
    </w:p>
    <w:p w14:paraId="783587AC" w14:textId="33CD462C" w:rsidR="000C049D" w:rsidRDefault="00D24D4C">
      <w:pPr>
        <w:jc w:val="center"/>
        <w:rPr>
          <w:b/>
          <w:bCs/>
        </w:rPr>
      </w:pPr>
      <w:r>
        <w:rPr>
          <w:b/>
          <w:bCs/>
        </w:rPr>
        <w:t>Venerdì</w:t>
      </w:r>
      <w:r w:rsidR="00E54B3B">
        <w:rPr>
          <w:b/>
          <w:bCs/>
        </w:rPr>
        <w:t xml:space="preserve"> 2</w:t>
      </w:r>
      <w:r w:rsidR="005D2740">
        <w:rPr>
          <w:b/>
          <w:bCs/>
        </w:rPr>
        <w:t>7</w:t>
      </w:r>
      <w:r w:rsidR="00E54B3B">
        <w:rPr>
          <w:b/>
          <w:bCs/>
        </w:rPr>
        <w:t xml:space="preserve"> novembre 2020</w:t>
      </w:r>
    </w:p>
    <w:p w14:paraId="38A2BA4F" w14:textId="633F8AB2" w:rsidR="000C049D" w:rsidRDefault="000C049D">
      <w:pPr>
        <w:jc w:val="both"/>
      </w:pPr>
    </w:p>
    <w:p w14:paraId="17B8C893" w14:textId="26F3772F" w:rsidR="005D2740" w:rsidRDefault="005D2740">
      <w:pPr>
        <w:jc w:val="both"/>
      </w:pPr>
    </w:p>
    <w:p w14:paraId="6530205C" w14:textId="025664E8" w:rsidR="005D2740" w:rsidRDefault="005D2740">
      <w:pPr>
        <w:jc w:val="both"/>
      </w:pPr>
    </w:p>
    <w:p w14:paraId="4769D8F2" w14:textId="77777777" w:rsidR="005D2740" w:rsidRDefault="005D2740">
      <w:pPr>
        <w:jc w:val="both"/>
      </w:pPr>
    </w:p>
    <w:p w14:paraId="55D24708" w14:textId="77777777" w:rsidR="000C049D" w:rsidRDefault="00E54B3B">
      <w:pPr>
        <w:jc w:val="both"/>
      </w:pPr>
      <w:r>
        <w:t xml:space="preserve">Si fa presente inoltre  che: </w:t>
      </w:r>
    </w:p>
    <w:p w14:paraId="7EFBF20B" w14:textId="77777777" w:rsidR="000C049D" w:rsidRDefault="000C049D">
      <w:pPr>
        <w:jc w:val="both"/>
      </w:pPr>
    </w:p>
    <w:p w14:paraId="22817EAB" w14:textId="77777777" w:rsidR="000C049D" w:rsidRDefault="00E54B3B">
      <w:pPr>
        <w:pStyle w:val="Paragrafoelenco"/>
        <w:numPr>
          <w:ilvl w:val="0"/>
          <w:numId w:val="4"/>
        </w:numPr>
        <w:jc w:val="both"/>
      </w:pPr>
      <w:r>
        <w:t>Le “casette” (S.A.E.) avranno una superficie modulabile in relazione al nucleo familiare assegnatario:</w:t>
      </w:r>
    </w:p>
    <w:p w14:paraId="5CE52489" w14:textId="77777777" w:rsidR="000C049D" w:rsidRDefault="00E54B3B">
      <w:pPr>
        <w:jc w:val="both"/>
      </w:pPr>
      <w:r>
        <w:t>mq. 40 con tolleranza +/- del 3% per n.f. di 1 o 2 persone;</w:t>
      </w:r>
    </w:p>
    <w:p w14:paraId="5DB7815F" w14:textId="77777777" w:rsidR="000C049D" w:rsidRDefault="00E54B3B">
      <w:pPr>
        <w:jc w:val="both"/>
      </w:pPr>
      <w:r>
        <w:t>mq. 60 con tolleranza +/- del 3% per n.f. di 3 o 4 persone;</w:t>
      </w:r>
    </w:p>
    <w:p w14:paraId="63EAFF0A" w14:textId="77777777" w:rsidR="000C049D" w:rsidRDefault="00E54B3B">
      <w:pPr>
        <w:jc w:val="both"/>
      </w:pPr>
      <w:r>
        <w:t>mq. 80 con tolleranza +/- del 3% per n.f. di 5 o 6 persone;</w:t>
      </w:r>
    </w:p>
    <w:p w14:paraId="49470131" w14:textId="77777777" w:rsidR="000C049D" w:rsidRDefault="000C049D">
      <w:pPr>
        <w:jc w:val="both"/>
      </w:pPr>
    </w:p>
    <w:p w14:paraId="4405977B" w14:textId="77777777" w:rsidR="000C049D" w:rsidRDefault="00E54B3B">
      <w:pPr>
        <w:pStyle w:val="Paragrafoelenco"/>
        <w:numPr>
          <w:ilvl w:val="0"/>
          <w:numId w:val="4"/>
        </w:numPr>
        <w:jc w:val="both"/>
      </w:pPr>
      <w:r>
        <w:t>L’amministrazione comunale provvederà ad effettuare verifiche sull’effettiva dimora abituale continuativa prima della data del sisma nell’abitazione lesionata dal sisma ed eventuali dichiarazioni mendaci saranno  perseguibili ai sensi del Codice Penale.</w:t>
      </w:r>
    </w:p>
    <w:p w14:paraId="25912BFE" w14:textId="77777777" w:rsidR="000C049D" w:rsidRDefault="000C049D">
      <w:pPr>
        <w:jc w:val="both"/>
      </w:pPr>
    </w:p>
    <w:p w14:paraId="4D516EBD" w14:textId="77777777" w:rsidR="000C049D" w:rsidRDefault="00E54B3B">
      <w:pPr>
        <w:pStyle w:val="Paragrafoelenco"/>
        <w:numPr>
          <w:ilvl w:val="0"/>
          <w:numId w:val="4"/>
        </w:numPr>
        <w:jc w:val="both"/>
      </w:pPr>
      <w:r>
        <w:t>Non sarà garantita l’assegnazione di Sae nella frazione di residenza o di dimora abituale e continuativa.</w:t>
      </w:r>
    </w:p>
    <w:p w14:paraId="48121CBB" w14:textId="77777777" w:rsidR="000C049D" w:rsidRDefault="000C049D">
      <w:pPr>
        <w:jc w:val="both"/>
      </w:pPr>
    </w:p>
    <w:p w14:paraId="79E50420" w14:textId="054A5A06" w:rsidR="000C049D" w:rsidRDefault="00E54B3B">
      <w:pPr>
        <w:jc w:val="both"/>
      </w:pPr>
      <w:r>
        <w:t>Arquata del Tronto</w:t>
      </w:r>
      <w:r w:rsidR="005D2740">
        <w:t>, 13.11.2020</w:t>
      </w:r>
      <w:r>
        <w:t xml:space="preserve">                                                              </w:t>
      </w:r>
    </w:p>
    <w:p w14:paraId="61DC49CB" w14:textId="77777777" w:rsidR="000C049D" w:rsidRDefault="000C049D">
      <w:pPr>
        <w:jc w:val="center"/>
      </w:pPr>
    </w:p>
    <w:p w14:paraId="5B07C87C" w14:textId="77777777" w:rsidR="000C049D" w:rsidRDefault="00E54B3B">
      <w:pPr>
        <w:jc w:val="center"/>
      </w:pPr>
      <w:r>
        <w:t>Il Sindaco</w:t>
      </w:r>
    </w:p>
    <w:p w14:paraId="54A331C9" w14:textId="77777777" w:rsidR="000C049D" w:rsidRDefault="00E54B3B">
      <w:pPr>
        <w:jc w:val="center"/>
      </w:pPr>
      <w:r>
        <w:t>Aleandro Petrucci</w:t>
      </w:r>
    </w:p>
    <w:p w14:paraId="13B9C5B6" w14:textId="77777777" w:rsidR="000C049D" w:rsidRDefault="000C049D">
      <w:pPr>
        <w:tabs>
          <w:tab w:val="left" w:pos="3822"/>
          <w:tab w:val="left" w:pos="6570"/>
        </w:tabs>
        <w:spacing w:before="75" w:line="552" w:lineRule="auto"/>
        <w:ind w:right="1193"/>
        <w:jc w:val="both"/>
        <w:rPr>
          <w:b/>
        </w:rPr>
      </w:pPr>
    </w:p>
    <w:p w14:paraId="58E29ADA" w14:textId="77777777" w:rsidR="000C049D" w:rsidRDefault="000C049D">
      <w:pPr>
        <w:tabs>
          <w:tab w:val="left" w:pos="3822"/>
          <w:tab w:val="left" w:pos="6570"/>
        </w:tabs>
        <w:spacing w:before="75" w:line="552" w:lineRule="auto"/>
        <w:ind w:right="1193"/>
        <w:jc w:val="both"/>
        <w:rPr>
          <w:b/>
        </w:rPr>
      </w:pPr>
    </w:p>
    <w:p w14:paraId="085B7ED5" w14:textId="77777777" w:rsidR="000C049D" w:rsidRDefault="000C049D">
      <w:pPr>
        <w:jc w:val="both"/>
      </w:pPr>
    </w:p>
    <w:sectPr w:rsidR="000C049D">
      <w:headerReference w:type="default" r:id="rId10"/>
      <w:footerReference w:type="default" r:id="rId1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F09E" w14:textId="77777777" w:rsidR="00D263DC" w:rsidRDefault="00D263DC">
      <w:r>
        <w:separator/>
      </w:r>
    </w:p>
  </w:endnote>
  <w:endnote w:type="continuationSeparator" w:id="0">
    <w:p w14:paraId="3C7A51CB" w14:textId="77777777" w:rsidR="00D263DC" w:rsidRDefault="00D2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2BA5" w14:textId="77777777" w:rsidR="0047200C" w:rsidRDefault="00E54B3B">
    <w:pPr>
      <w:pStyle w:val="Pidipagina"/>
      <w:jc w:val="center"/>
    </w:pPr>
    <w:r>
      <w:rPr>
        <w:noProof/>
        <w:sz w:val="22"/>
      </w:rPr>
      <mc:AlternateContent>
        <mc:Choice Requires="wps">
          <w:drawing>
            <wp:anchor distT="0" distB="0" distL="114300" distR="114300" simplePos="0" relativeHeight="251659264" behindDoc="0" locked="0" layoutInCell="1" allowOverlap="1" wp14:anchorId="7C3F115A" wp14:editId="1A89B73D">
              <wp:simplePos x="0" y="0"/>
              <wp:positionH relativeFrom="column">
                <wp:posOffset>106683</wp:posOffset>
              </wp:positionH>
              <wp:positionV relativeFrom="paragraph">
                <wp:posOffset>48892</wp:posOffset>
              </wp:positionV>
              <wp:extent cx="5577840" cy="0"/>
              <wp:effectExtent l="0" t="0" r="0" b="0"/>
              <wp:wrapNone/>
              <wp:docPr id="1" name="Connettore diritto 5"/>
              <wp:cNvGraphicFramePr/>
              <a:graphic xmlns:a="http://schemas.openxmlformats.org/drawingml/2006/main">
                <a:graphicData uri="http://schemas.microsoft.com/office/word/2010/wordprocessingShape">
                  <wps:wsp>
                    <wps:cNvCnPr/>
                    <wps:spPr>
                      <a:xfrm>
                        <a:off x="0" y="0"/>
                        <a:ext cx="5577840" cy="0"/>
                      </a:xfrm>
                      <a:prstGeom prst="straightConnector1">
                        <a:avLst/>
                      </a:prstGeom>
                      <a:noFill/>
                      <a:ln w="12701" cap="flat">
                        <a:solidFill>
                          <a:srgbClr val="000000"/>
                        </a:solidFill>
                        <a:prstDash val="solid"/>
                        <a:round/>
                      </a:ln>
                    </wps:spPr>
                    <wps:bodyPr/>
                  </wps:wsp>
                </a:graphicData>
              </a:graphic>
            </wp:anchor>
          </w:drawing>
        </mc:Choice>
        <mc:Fallback>
          <w:pict>
            <v:shapetype w14:anchorId="0713A515" id="_x0000_t32" coordsize="21600,21600" o:spt="32" o:oned="t" path="m,l21600,21600e" filled="f">
              <v:path arrowok="t" fillok="f" o:connecttype="none"/>
              <o:lock v:ext="edit" shapetype="t"/>
            </v:shapetype>
            <v:shape id="Connettore diritto 5" o:spid="_x0000_s1026" type="#_x0000_t32" style="position:absolute;margin-left:8.4pt;margin-top:3.85pt;width:439.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" strokeweight=".35281mm"/>
          </w:pict>
        </mc:Fallback>
      </mc:AlternateContent>
    </w:r>
  </w:p>
  <w:p w14:paraId="20604EA8" w14:textId="77777777" w:rsidR="0047200C" w:rsidRDefault="00E54B3B">
    <w:pPr>
      <w:pStyle w:val="Pidipagina"/>
      <w:jc w:val="center"/>
      <w:rPr>
        <w:sz w:val="20"/>
        <w:szCs w:val="20"/>
      </w:rPr>
    </w:pPr>
    <w:r>
      <w:rPr>
        <w:sz w:val="20"/>
        <w:szCs w:val="20"/>
      </w:rPr>
      <w:t>Comune di Arquata del Tronto sede Comunale provvisoria sita in Fraz. Borgo snc – 63096 Arquata del Tronto (AP) – Tel 0736/809122 - Fax 0736/809255</w:t>
    </w:r>
  </w:p>
  <w:p w14:paraId="29B64438" w14:textId="77777777" w:rsidR="0047200C" w:rsidRDefault="00E54B3B">
    <w:pPr>
      <w:pStyle w:val="Pidipagina"/>
      <w:jc w:val="center"/>
    </w:pPr>
    <w:r>
      <w:rPr>
        <w:sz w:val="20"/>
        <w:szCs w:val="20"/>
      </w:rPr>
      <w:t xml:space="preserve">Sito Web: </w:t>
    </w:r>
    <w:hyperlink r:id="rId1" w:history="1">
      <w:r>
        <w:rPr>
          <w:rStyle w:val="Collegamentoipertestuale"/>
          <w:sz w:val="20"/>
          <w:szCs w:val="20"/>
        </w:rPr>
        <w:t>http://www.comune.arquatadeltronto.ap.it</w:t>
      </w:r>
    </w:hyperlink>
    <w:r>
      <w:rPr>
        <w:sz w:val="20"/>
        <w:szCs w:val="20"/>
      </w:rPr>
      <w:t xml:space="preserve"> – E-mail (pec): </w:t>
    </w:r>
    <w:r>
      <w:rPr>
        <w:rStyle w:val="Collegamentoipertestuale"/>
        <w:sz w:val="20"/>
        <w:szCs w:val="20"/>
      </w:rPr>
      <w:t>comune.arquatadeltronto@emarche.it</w:t>
    </w:r>
  </w:p>
  <w:p w14:paraId="5063F33B" w14:textId="77777777" w:rsidR="0047200C" w:rsidRDefault="00D263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99E0" w14:textId="77777777" w:rsidR="00D263DC" w:rsidRDefault="00D263DC">
      <w:r>
        <w:rPr>
          <w:color w:val="000000"/>
        </w:rPr>
        <w:separator/>
      </w:r>
    </w:p>
  </w:footnote>
  <w:footnote w:type="continuationSeparator" w:id="0">
    <w:p w14:paraId="619C923D" w14:textId="77777777" w:rsidR="00D263DC" w:rsidRDefault="00D2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5A93" w14:textId="0FA5B5E3" w:rsidR="005D2740" w:rsidRPr="005D2740" w:rsidRDefault="005D2740" w:rsidP="005D2740">
    <w:pPr>
      <w:pStyle w:val="Intestazione"/>
      <w:jc w:val="right"/>
      <w:rPr>
        <w:b/>
        <w:bCs/>
      </w:rPr>
    </w:pPr>
    <w:r w:rsidRPr="005D2740">
      <w:rPr>
        <w:b/>
        <w:bCs/>
      </w:rPr>
      <w:tab/>
      <w:t xml:space="preserve">      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E782B"/>
    <w:multiLevelType w:val="multilevel"/>
    <w:tmpl w:val="C9F8E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395D1F"/>
    <w:multiLevelType w:val="multilevel"/>
    <w:tmpl w:val="7CF8A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38C399B"/>
    <w:multiLevelType w:val="multilevel"/>
    <w:tmpl w:val="636A3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67D6D8D"/>
    <w:multiLevelType w:val="multilevel"/>
    <w:tmpl w:val="F104E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9D"/>
    <w:rsid w:val="000C049D"/>
    <w:rsid w:val="00354517"/>
    <w:rsid w:val="003B34C3"/>
    <w:rsid w:val="005D0A4C"/>
    <w:rsid w:val="005D2740"/>
    <w:rsid w:val="00D24D4C"/>
    <w:rsid w:val="00D263DC"/>
    <w:rsid w:val="00E54B3B"/>
    <w:rsid w:val="00EF1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40DE"/>
  <w15:docId w15:val="{422BCE38-4FF2-4C46-A5B2-620D652C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rFonts w:ascii="Times New Roman" w:hAnsi="Times New Roman" w:cs="Times New Roman"/>
      <w:color w:val="0000FF"/>
      <w:u w:val="single"/>
    </w:rPr>
  </w:style>
  <w:style w:type="paragraph" w:styleId="Paragrafoelenco">
    <w:name w:val="List Paragraph"/>
    <w:basedOn w:val="Normale"/>
    <w:pPr>
      <w:ind w:left="708"/>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sz w:val="24"/>
      <w:szCs w:val="24"/>
      <w:lang w:eastAsia="it-IT"/>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732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arquatadeltronto@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mune.arquatadeltronto.ap.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ovincia.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dc:description/>
  <cp:lastModifiedBy>Arquata Deltronto</cp:lastModifiedBy>
  <cp:revision>5</cp:revision>
  <cp:lastPrinted>2020-05-27T10:39:00Z</cp:lastPrinted>
  <dcterms:created xsi:type="dcterms:W3CDTF">2020-11-13T09:50:00Z</dcterms:created>
  <dcterms:modified xsi:type="dcterms:W3CDTF">2020-11-13T11:48:00Z</dcterms:modified>
</cp:coreProperties>
</file>