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AF5" w:rsidRDefault="008D2AF5" w:rsidP="008D2AF5">
      <w:pPr>
        <w:autoSpaceDE w:val="0"/>
        <w:autoSpaceDN w:val="0"/>
        <w:adjustRightInd w:val="0"/>
        <w:jc w:val="center"/>
      </w:pPr>
    </w:p>
    <w:p w:rsidR="008D2AF5" w:rsidRDefault="008D2AF5" w:rsidP="008D2AF5">
      <w:pPr>
        <w:autoSpaceDE w:val="0"/>
        <w:autoSpaceDN w:val="0"/>
        <w:adjustRightInd w:val="0"/>
        <w:jc w:val="center"/>
      </w:pPr>
    </w:p>
    <w:p w:rsidR="008D2AF5" w:rsidRDefault="008D2AF5" w:rsidP="008D2AF5">
      <w:pPr>
        <w:autoSpaceDE w:val="0"/>
        <w:autoSpaceDN w:val="0"/>
        <w:adjustRightInd w:val="0"/>
        <w:jc w:val="center"/>
      </w:pPr>
    </w:p>
    <w:p w:rsidR="008D2AF5" w:rsidRDefault="008D2AF5" w:rsidP="008D2AF5">
      <w:pPr>
        <w:autoSpaceDE w:val="0"/>
        <w:autoSpaceDN w:val="0"/>
        <w:adjustRightInd w:val="0"/>
        <w:jc w:val="center"/>
      </w:pPr>
    </w:p>
    <w:p w:rsidR="008D2AF5" w:rsidRDefault="008D2AF5" w:rsidP="008D2AF5">
      <w:pPr>
        <w:autoSpaceDE w:val="0"/>
        <w:autoSpaceDN w:val="0"/>
        <w:adjustRightInd w:val="0"/>
        <w:jc w:val="center"/>
      </w:pPr>
    </w:p>
    <w:p w:rsidR="008D2AF5" w:rsidRDefault="008D2AF5" w:rsidP="008D2AF5">
      <w:pPr>
        <w:autoSpaceDE w:val="0"/>
        <w:autoSpaceDN w:val="0"/>
        <w:adjustRightInd w:val="0"/>
        <w:jc w:val="center"/>
      </w:pPr>
    </w:p>
    <w:p w:rsidR="008D2AF5" w:rsidRDefault="008D2AF5" w:rsidP="008D2AF5">
      <w:pPr>
        <w:autoSpaceDE w:val="0"/>
        <w:autoSpaceDN w:val="0"/>
        <w:adjustRightInd w:val="0"/>
        <w:jc w:val="center"/>
      </w:pPr>
    </w:p>
    <w:p w:rsidR="008D2AF5" w:rsidRDefault="008D2AF5" w:rsidP="008D2AF5">
      <w:pPr>
        <w:autoSpaceDE w:val="0"/>
        <w:autoSpaceDN w:val="0"/>
        <w:adjustRightInd w:val="0"/>
        <w:jc w:val="center"/>
      </w:pPr>
    </w:p>
    <w:p w:rsidR="008D2AF5" w:rsidRDefault="008D2AF5" w:rsidP="008D2AF5">
      <w:pPr>
        <w:autoSpaceDE w:val="0"/>
        <w:autoSpaceDN w:val="0"/>
        <w:adjustRightInd w:val="0"/>
        <w:jc w:val="center"/>
      </w:pPr>
    </w:p>
    <w:p w:rsidR="008D2AF5" w:rsidRDefault="008D2AF5" w:rsidP="008D2AF5">
      <w:pPr>
        <w:autoSpaceDE w:val="0"/>
        <w:autoSpaceDN w:val="0"/>
        <w:adjustRightInd w:val="0"/>
        <w:jc w:val="center"/>
      </w:pPr>
    </w:p>
    <w:p w:rsidR="008D2AF5" w:rsidRDefault="008D2AF5" w:rsidP="008D2AF5">
      <w:pPr>
        <w:autoSpaceDE w:val="0"/>
        <w:autoSpaceDN w:val="0"/>
        <w:adjustRightInd w:val="0"/>
        <w:jc w:val="center"/>
      </w:pPr>
    </w:p>
    <w:p w:rsidR="008D2AF5" w:rsidRDefault="008D2AF5" w:rsidP="008D2AF5">
      <w:pPr>
        <w:autoSpaceDE w:val="0"/>
        <w:autoSpaceDN w:val="0"/>
        <w:adjustRightInd w:val="0"/>
        <w:jc w:val="center"/>
      </w:pPr>
    </w:p>
    <w:p w:rsidR="008D2AF5" w:rsidRDefault="008D2AF5" w:rsidP="008D2AF5">
      <w:pPr>
        <w:autoSpaceDE w:val="0"/>
        <w:autoSpaceDN w:val="0"/>
        <w:adjustRightInd w:val="0"/>
        <w:jc w:val="center"/>
      </w:pPr>
    </w:p>
    <w:p w:rsidR="008D2AF5" w:rsidRDefault="008D2AF5" w:rsidP="008D2AF5">
      <w:pPr>
        <w:autoSpaceDE w:val="0"/>
        <w:autoSpaceDN w:val="0"/>
        <w:adjustRightInd w:val="0"/>
        <w:jc w:val="center"/>
      </w:pPr>
    </w:p>
    <w:p w:rsidR="008D2AF5" w:rsidRDefault="008D2AF5" w:rsidP="008D2AF5">
      <w:pPr>
        <w:autoSpaceDE w:val="0"/>
        <w:autoSpaceDN w:val="0"/>
        <w:adjustRightInd w:val="0"/>
        <w:jc w:val="center"/>
      </w:pPr>
    </w:p>
    <w:p w:rsidR="008D2AF5" w:rsidRDefault="008D2AF5" w:rsidP="008D2AF5">
      <w:pPr>
        <w:autoSpaceDE w:val="0"/>
        <w:autoSpaceDN w:val="0"/>
        <w:adjustRightInd w:val="0"/>
        <w:jc w:val="center"/>
      </w:pPr>
    </w:p>
    <w:p w:rsidR="008D2AF5" w:rsidRDefault="008D2AF5" w:rsidP="008D2AF5">
      <w:pPr>
        <w:autoSpaceDE w:val="0"/>
        <w:autoSpaceDN w:val="0"/>
        <w:adjustRightInd w:val="0"/>
        <w:jc w:val="center"/>
      </w:pPr>
    </w:p>
    <w:p w:rsidR="008D2AF5" w:rsidRDefault="008D2AF5" w:rsidP="008D2AF5">
      <w:pPr>
        <w:autoSpaceDE w:val="0"/>
        <w:autoSpaceDN w:val="0"/>
        <w:adjustRightInd w:val="0"/>
        <w:jc w:val="center"/>
        <w:rPr>
          <w:sz w:val="40"/>
          <w:szCs w:val="40"/>
        </w:rPr>
      </w:pPr>
      <w:r w:rsidRPr="008D2AF5">
        <w:rPr>
          <w:sz w:val="40"/>
          <w:szCs w:val="40"/>
        </w:rPr>
        <w:t>RE</w:t>
      </w:r>
      <w:r w:rsidR="004B77AF" w:rsidRPr="008D2AF5">
        <w:rPr>
          <w:sz w:val="40"/>
          <w:szCs w:val="40"/>
        </w:rPr>
        <w:t xml:space="preserve">GOLAMENTO COMUNALE PER </w:t>
      </w:r>
      <w:r w:rsidR="00C565E8" w:rsidRPr="008D2AF5">
        <w:rPr>
          <w:sz w:val="40"/>
          <w:szCs w:val="40"/>
        </w:rPr>
        <w:t xml:space="preserve">LA </w:t>
      </w:r>
      <w:bookmarkStart w:id="0" w:name="_GoBack"/>
      <w:bookmarkEnd w:id="0"/>
      <w:r w:rsidR="00C565E8" w:rsidRPr="008D2AF5">
        <w:rPr>
          <w:sz w:val="40"/>
          <w:szCs w:val="40"/>
        </w:rPr>
        <w:t xml:space="preserve">COSTITUZIONE </w:t>
      </w:r>
      <w:r w:rsidRPr="008D2AF5">
        <w:rPr>
          <w:sz w:val="40"/>
          <w:szCs w:val="40"/>
        </w:rPr>
        <w:t xml:space="preserve">E LA RIPARTIZIONE </w:t>
      </w:r>
      <w:r w:rsidR="00C565E8" w:rsidRPr="008D2AF5">
        <w:rPr>
          <w:sz w:val="40"/>
          <w:szCs w:val="40"/>
        </w:rPr>
        <w:t xml:space="preserve">DEL FONDO </w:t>
      </w:r>
      <w:r w:rsidR="00D70141">
        <w:rPr>
          <w:sz w:val="40"/>
          <w:szCs w:val="40"/>
        </w:rPr>
        <w:t>INCENTIVI PER LE FUNZIONI TECNICHE</w:t>
      </w:r>
      <w:r w:rsidR="00C565E8" w:rsidRPr="008D2AF5">
        <w:rPr>
          <w:sz w:val="40"/>
          <w:szCs w:val="40"/>
        </w:rPr>
        <w:t xml:space="preserve"> </w:t>
      </w:r>
    </w:p>
    <w:p w:rsidR="008D2AF5" w:rsidRDefault="008D2AF5" w:rsidP="008D2AF5">
      <w:pPr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4B77AF" w:rsidRPr="008D2AF5" w:rsidRDefault="008D2AF5" w:rsidP="008D2AF5">
      <w:pPr>
        <w:autoSpaceDE w:val="0"/>
        <w:autoSpaceDN w:val="0"/>
        <w:adjustRightInd w:val="0"/>
        <w:jc w:val="center"/>
        <w:rPr>
          <w:i/>
        </w:rPr>
      </w:pPr>
      <w:r w:rsidRPr="008D2AF5">
        <w:rPr>
          <w:i/>
        </w:rPr>
        <w:t>(</w:t>
      </w:r>
      <w:r w:rsidR="00D70141">
        <w:rPr>
          <w:i/>
        </w:rPr>
        <w:t xml:space="preserve">art. 113 del D. </w:t>
      </w:r>
      <w:proofErr w:type="spellStart"/>
      <w:r w:rsidR="00D70141">
        <w:rPr>
          <w:i/>
        </w:rPr>
        <w:t>Lgs</w:t>
      </w:r>
      <w:proofErr w:type="spellEnd"/>
      <w:r w:rsidR="00D70141">
        <w:rPr>
          <w:i/>
        </w:rPr>
        <w:t>. n. 50 del 18 aprile 2016</w:t>
      </w:r>
      <w:r w:rsidRPr="008D2AF5">
        <w:rPr>
          <w:i/>
        </w:rPr>
        <w:t>)</w:t>
      </w:r>
    </w:p>
    <w:p w:rsidR="008D2AF5" w:rsidRDefault="008D2AF5" w:rsidP="004B77AF">
      <w:pPr>
        <w:autoSpaceDE w:val="0"/>
        <w:autoSpaceDN w:val="0"/>
        <w:adjustRightInd w:val="0"/>
        <w:jc w:val="both"/>
      </w:pPr>
    </w:p>
    <w:p w:rsidR="008D2AF5" w:rsidRDefault="008D2AF5" w:rsidP="004B77AF">
      <w:pPr>
        <w:autoSpaceDE w:val="0"/>
        <w:autoSpaceDN w:val="0"/>
        <w:adjustRightInd w:val="0"/>
        <w:jc w:val="both"/>
      </w:pPr>
    </w:p>
    <w:p w:rsidR="008D2AF5" w:rsidRDefault="008D2AF5" w:rsidP="004B77AF">
      <w:pPr>
        <w:autoSpaceDE w:val="0"/>
        <w:autoSpaceDN w:val="0"/>
        <w:adjustRightInd w:val="0"/>
        <w:jc w:val="both"/>
      </w:pPr>
    </w:p>
    <w:p w:rsidR="008D2AF5" w:rsidRDefault="008D2AF5" w:rsidP="004B77AF">
      <w:pPr>
        <w:autoSpaceDE w:val="0"/>
        <w:autoSpaceDN w:val="0"/>
        <w:adjustRightInd w:val="0"/>
        <w:jc w:val="both"/>
      </w:pPr>
    </w:p>
    <w:p w:rsidR="008D2AF5" w:rsidRDefault="008D2AF5" w:rsidP="004B77AF">
      <w:pPr>
        <w:autoSpaceDE w:val="0"/>
        <w:autoSpaceDN w:val="0"/>
        <w:adjustRightInd w:val="0"/>
        <w:jc w:val="both"/>
      </w:pPr>
    </w:p>
    <w:p w:rsidR="008D2AF5" w:rsidRDefault="008D2AF5" w:rsidP="004B77AF">
      <w:pPr>
        <w:autoSpaceDE w:val="0"/>
        <w:autoSpaceDN w:val="0"/>
        <w:adjustRightInd w:val="0"/>
        <w:jc w:val="both"/>
      </w:pPr>
    </w:p>
    <w:p w:rsidR="008D2AF5" w:rsidRDefault="008D2AF5" w:rsidP="004B77AF">
      <w:pPr>
        <w:autoSpaceDE w:val="0"/>
        <w:autoSpaceDN w:val="0"/>
        <w:adjustRightInd w:val="0"/>
        <w:jc w:val="both"/>
      </w:pPr>
    </w:p>
    <w:p w:rsidR="008D2AF5" w:rsidRDefault="008D2AF5" w:rsidP="004B77AF">
      <w:pPr>
        <w:autoSpaceDE w:val="0"/>
        <w:autoSpaceDN w:val="0"/>
        <w:adjustRightInd w:val="0"/>
        <w:jc w:val="both"/>
      </w:pPr>
    </w:p>
    <w:p w:rsidR="008D2AF5" w:rsidRDefault="008D2AF5" w:rsidP="004B77AF">
      <w:pPr>
        <w:autoSpaceDE w:val="0"/>
        <w:autoSpaceDN w:val="0"/>
        <w:adjustRightInd w:val="0"/>
        <w:jc w:val="both"/>
      </w:pPr>
    </w:p>
    <w:p w:rsidR="008D2AF5" w:rsidRDefault="008D2AF5" w:rsidP="004B77AF">
      <w:pPr>
        <w:autoSpaceDE w:val="0"/>
        <w:autoSpaceDN w:val="0"/>
        <w:adjustRightInd w:val="0"/>
        <w:jc w:val="both"/>
      </w:pPr>
    </w:p>
    <w:p w:rsidR="008D2AF5" w:rsidRDefault="008D2AF5" w:rsidP="004B77AF">
      <w:pPr>
        <w:autoSpaceDE w:val="0"/>
        <w:autoSpaceDN w:val="0"/>
        <w:adjustRightInd w:val="0"/>
        <w:jc w:val="both"/>
      </w:pPr>
    </w:p>
    <w:p w:rsidR="008D2AF5" w:rsidRDefault="008D2AF5" w:rsidP="004B77AF">
      <w:pPr>
        <w:autoSpaceDE w:val="0"/>
        <w:autoSpaceDN w:val="0"/>
        <w:adjustRightInd w:val="0"/>
        <w:jc w:val="both"/>
      </w:pPr>
    </w:p>
    <w:p w:rsidR="008D2AF5" w:rsidRDefault="008D2AF5" w:rsidP="004B77AF">
      <w:pPr>
        <w:autoSpaceDE w:val="0"/>
        <w:autoSpaceDN w:val="0"/>
        <w:adjustRightInd w:val="0"/>
        <w:jc w:val="both"/>
      </w:pPr>
    </w:p>
    <w:p w:rsidR="008D2AF5" w:rsidRDefault="008D2AF5" w:rsidP="004B77AF">
      <w:pPr>
        <w:autoSpaceDE w:val="0"/>
        <w:autoSpaceDN w:val="0"/>
        <w:adjustRightInd w:val="0"/>
        <w:jc w:val="both"/>
      </w:pPr>
    </w:p>
    <w:p w:rsidR="008D2AF5" w:rsidRDefault="008D2AF5" w:rsidP="004B77AF">
      <w:pPr>
        <w:autoSpaceDE w:val="0"/>
        <w:autoSpaceDN w:val="0"/>
        <w:adjustRightInd w:val="0"/>
        <w:jc w:val="both"/>
      </w:pPr>
    </w:p>
    <w:p w:rsidR="004B77AF" w:rsidRPr="004B77AF" w:rsidRDefault="004B77AF" w:rsidP="008D2AF5">
      <w:pPr>
        <w:autoSpaceDE w:val="0"/>
        <w:autoSpaceDN w:val="0"/>
        <w:adjustRightInd w:val="0"/>
        <w:jc w:val="center"/>
      </w:pPr>
      <w:r w:rsidRPr="004B77AF">
        <w:t>(</w:t>
      </w:r>
      <w:proofErr w:type="gramStart"/>
      <w:r w:rsidR="008D2AF5">
        <w:t>approvato</w:t>
      </w:r>
      <w:proofErr w:type="gramEnd"/>
      <w:r w:rsidRPr="004B77AF">
        <w:t xml:space="preserve"> con deliberazione della G.C. n. </w:t>
      </w:r>
      <w:r w:rsidR="008D2AF5">
        <w:t xml:space="preserve">…….. </w:t>
      </w:r>
      <w:r w:rsidRPr="004B77AF">
        <w:t xml:space="preserve">del </w:t>
      </w:r>
      <w:r w:rsidR="008D2AF5">
        <w:t>…………</w:t>
      </w:r>
      <w:r w:rsidRPr="004B77AF">
        <w:t>)</w:t>
      </w:r>
    </w:p>
    <w:p w:rsidR="008D2AF5" w:rsidRPr="00F20ACF" w:rsidRDefault="008D2AF5" w:rsidP="00F20ACF">
      <w:pPr>
        <w:autoSpaceDE w:val="0"/>
        <w:autoSpaceDN w:val="0"/>
        <w:adjustRightInd w:val="0"/>
        <w:jc w:val="center"/>
        <w:rPr>
          <w:b/>
        </w:rPr>
      </w:pPr>
      <w:r>
        <w:br w:type="page"/>
      </w:r>
      <w:r w:rsidR="004B77AF" w:rsidRPr="00F20ACF">
        <w:rPr>
          <w:b/>
        </w:rPr>
        <w:lastRenderedPageBreak/>
        <w:t>Art. 1</w:t>
      </w:r>
      <w:r w:rsidRPr="00F20ACF">
        <w:rPr>
          <w:b/>
        </w:rPr>
        <w:t xml:space="preserve"> – Oggetto </w:t>
      </w:r>
      <w:r w:rsidR="00F20ACF">
        <w:rPr>
          <w:b/>
        </w:rPr>
        <w:t>e ambito di applicazione</w:t>
      </w:r>
    </w:p>
    <w:p w:rsidR="00F20ACF" w:rsidRDefault="00F20ACF" w:rsidP="00D04217">
      <w:pPr>
        <w:autoSpaceDE w:val="0"/>
        <w:autoSpaceDN w:val="0"/>
        <w:adjustRightInd w:val="0"/>
        <w:jc w:val="both"/>
      </w:pPr>
    </w:p>
    <w:p w:rsidR="007E4D12" w:rsidRDefault="008D2AF5" w:rsidP="00D04217">
      <w:pPr>
        <w:autoSpaceDE w:val="0"/>
        <w:autoSpaceDN w:val="0"/>
        <w:adjustRightInd w:val="0"/>
        <w:jc w:val="both"/>
      </w:pPr>
      <w:r>
        <w:t xml:space="preserve">1. Il </w:t>
      </w:r>
      <w:r w:rsidRPr="004B77AF">
        <w:t xml:space="preserve">presente regolamento è </w:t>
      </w:r>
      <w:r>
        <w:t>adottato in attuazione dell’</w:t>
      </w:r>
      <w:r w:rsidRPr="004B77AF">
        <w:t xml:space="preserve">articolo </w:t>
      </w:r>
      <w:r w:rsidR="007E4D12">
        <w:t>113</w:t>
      </w:r>
      <w:r>
        <w:t xml:space="preserve"> </w:t>
      </w:r>
      <w:r w:rsidRPr="004B77AF">
        <w:t xml:space="preserve">del </w:t>
      </w:r>
      <w:r>
        <w:t xml:space="preserve">D. Lgs. </w:t>
      </w:r>
      <w:r w:rsidR="007E4D12">
        <w:t>18</w:t>
      </w:r>
      <w:r>
        <w:t>/04/</w:t>
      </w:r>
      <w:r w:rsidRPr="004B77AF">
        <w:t>20</w:t>
      </w:r>
      <w:r w:rsidR="007E4D12">
        <w:t>1</w:t>
      </w:r>
      <w:r w:rsidRPr="004B77AF">
        <w:t>6, n.</w:t>
      </w:r>
      <w:r>
        <w:t xml:space="preserve"> </w:t>
      </w:r>
      <w:r w:rsidR="007E4D12">
        <w:t>50</w:t>
      </w:r>
      <w:r w:rsidRPr="004B77AF">
        <w:t xml:space="preserve"> </w:t>
      </w:r>
      <w:r>
        <w:t>(</w:t>
      </w:r>
      <w:r w:rsidRPr="004B77AF">
        <w:t xml:space="preserve">di seguito denominato </w:t>
      </w:r>
      <w:r>
        <w:t xml:space="preserve">semplicemente </w:t>
      </w:r>
      <w:r w:rsidRPr="004B77AF">
        <w:t>«codice»</w:t>
      </w:r>
      <w:r>
        <w:t>)</w:t>
      </w:r>
      <w:r w:rsidR="007E4D12">
        <w:t>.</w:t>
      </w:r>
    </w:p>
    <w:p w:rsidR="007E4D12" w:rsidRDefault="00D04217" w:rsidP="00D04217">
      <w:pPr>
        <w:autoSpaceDE w:val="0"/>
        <w:autoSpaceDN w:val="0"/>
        <w:adjustRightInd w:val="0"/>
        <w:jc w:val="both"/>
      </w:pPr>
      <w:r>
        <w:t>2</w:t>
      </w:r>
      <w:r w:rsidR="00F71F85">
        <w:t xml:space="preserve">. </w:t>
      </w:r>
      <w:r>
        <w:t>Il regolamento ha per oggetto i criteri e le modalità di quantificazione</w:t>
      </w:r>
      <w:r w:rsidR="00F71F85">
        <w:t xml:space="preserve"> e di</w:t>
      </w:r>
      <w:r>
        <w:t xml:space="preserve"> ripartizione del fondo per </w:t>
      </w:r>
      <w:r w:rsidR="007E4D12">
        <w:t xml:space="preserve">le funzioni tecniche svolte dai dipendenti </w:t>
      </w:r>
      <w:r w:rsidR="007E4D12" w:rsidRPr="007E4D12">
        <w:t>esclusivamente per le attività di programmazione della spesa per investimenti, di verifica preventiva dei progetti di predisposizione e di controllo delle procedure di bando e di esecuzione dei contratti pubblici, di responsabile unico di procedimento, di direzione dei lavori ovvero direzione dell’esecuzione, di collaudo tecnico-amministrativo ovvero di</w:t>
      </w:r>
      <w:r w:rsidR="007E4D12">
        <w:t xml:space="preserve"> verifica di </w:t>
      </w:r>
      <w:r w:rsidR="007E4D12" w:rsidRPr="007E4D12">
        <w:t>conformità e di collaudatore statico</w:t>
      </w:r>
      <w:r w:rsidR="00326E2C">
        <w:t>, ove necessario</w:t>
      </w:r>
      <w:r w:rsidR="007E4D12">
        <w:t>.</w:t>
      </w:r>
    </w:p>
    <w:p w:rsidR="008D2AF5" w:rsidRDefault="007E4D12" w:rsidP="00D04217">
      <w:pPr>
        <w:autoSpaceDE w:val="0"/>
        <w:autoSpaceDN w:val="0"/>
        <w:adjustRightInd w:val="0"/>
        <w:jc w:val="both"/>
      </w:pPr>
      <w:r>
        <w:t xml:space="preserve">3. </w:t>
      </w:r>
      <w:r w:rsidR="007B17A6">
        <w:t xml:space="preserve">Alla </w:t>
      </w:r>
      <w:r>
        <w:t xml:space="preserve">ripartizione del </w:t>
      </w:r>
      <w:r w:rsidR="007B17A6">
        <w:t xml:space="preserve">fondo partecipano il responsabile unico di procedimento ed i dipendenti che svolgono le funzioni tecniche di cui al precedente comma 2, nonché </w:t>
      </w:r>
      <w:r w:rsidR="00D04217" w:rsidRPr="00D04217">
        <w:t>i loro collaboratori</w:t>
      </w:r>
      <w:r w:rsidR="00D04217">
        <w:t xml:space="preserve">, </w:t>
      </w:r>
      <w:r w:rsidR="00663A11">
        <w:t xml:space="preserve">così </w:t>
      </w:r>
      <w:r w:rsidR="004A62E5">
        <w:t xml:space="preserve">come </w:t>
      </w:r>
      <w:r w:rsidR="00D04217">
        <w:t>identificati con atto formale da pa</w:t>
      </w:r>
      <w:r w:rsidR="00F71F85">
        <w:t>rte del competente responsabile</w:t>
      </w:r>
      <w:r w:rsidR="00F20ACF">
        <w:t>.</w:t>
      </w:r>
    </w:p>
    <w:p w:rsidR="00466650" w:rsidRDefault="00466650" w:rsidP="00466650">
      <w:pPr>
        <w:autoSpaceDE w:val="0"/>
        <w:autoSpaceDN w:val="0"/>
        <w:adjustRightInd w:val="0"/>
        <w:jc w:val="both"/>
      </w:pPr>
      <w:r>
        <w:t xml:space="preserve">3. </w:t>
      </w:r>
      <w:r w:rsidR="00F20ACF">
        <w:t>A</w:t>
      </w:r>
      <w:r>
        <w:t>lla ripartizione del fondo non partecipa il personale con qualifica dirigenziale.</w:t>
      </w:r>
    </w:p>
    <w:p w:rsidR="0011297C" w:rsidRDefault="00466650" w:rsidP="00466650">
      <w:pPr>
        <w:autoSpaceDE w:val="0"/>
        <w:autoSpaceDN w:val="0"/>
        <w:adjustRightInd w:val="0"/>
        <w:jc w:val="both"/>
      </w:pPr>
      <w:r>
        <w:t>4</w:t>
      </w:r>
      <w:r w:rsidRPr="004B77AF">
        <w:t xml:space="preserve">. </w:t>
      </w:r>
      <w:r w:rsidR="00A16571">
        <w:t xml:space="preserve">Rientrano nell’ambito applicativo del presente regolamento le </w:t>
      </w:r>
      <w:r w:rsidR="007B17A6">
        <w:t xml:space="preserve">funzioni tecniche </w:t>
      </w:r>
      <w:r w:rsidR="00326E2C">
        <w:t>di cui al precedente comma 2 finalizzate a consentire l’esecuzione del contratto nel rispetto dei documenti di gara, del progetto, dei tempi e costi prestabiliti.</w:t>
      </w:r>
      <w:r w:rsidR="00A16571">
        <w:t xml:space="preserve"> </w:t>
      </w:r>
    </w:p>
    <w:p w:rsidR="008D2AF5" w:rsidRDefault="008D2AF5" w:rsidP="004B77AF">
      <w:pPr>
        <w:autoSpaceDE w:val="0"/>
        <w:autoSpaceDN w:val="0"/>
        <w:adjustRightInd w:val="0"/>
        <w:jc w:val="both"/>
      </w:pPr>
    </w:p>
    <w:p w:rsidR="004B77AF" w:rsidRPr="00F20ACF" w:rsidRDefault="004B77AF" w:rsidP="00F20ACF">
      <w:pPr>
        <w:autoSpaceDE w:val="0"/>
        <w:autoSpaceDN w:val="0"/>
        <w:adjustRightInd w:val="0"/>
        <w:jc w:val="center"/>
        <w:rPr>
          <w:b/>
        </w:rPr>
      </w:pPr>
      <w:r w:rsidRPr="00F20ACF">
        <w:rPr>
          <w:b/>
        </w:rPr>
        <w:t xml:space="preserve">Art. </w:t>
      </w:r>
      <w:r w:rsidR="00466650" w:rsidRPr="00F20ACF">
        <w:rPr>
          <w:b/>
        </w:rPr>
        <w:t>2</w:t>
      </w:r>
      <w:r w:rsidR="00F20ACF">
        <w:rPr>
          <w:b/>
        </w:rPr>
        <w:t xml:space="preserve"> - </w:t>
      </w:r>
      <w:r w:rsidRPr="00F20ACF">
        <w:rPr>
          <w:b/>
        </w:rPr>
        <w:t xml:space="preserve">Costituzione del fondo per </w:t>
      </w:r>
      <w:r w:rsidR="007B17A6">
        <w:rPr>
          <w:b/>
        </w:rPr>
        <w:t>le funzioni tecniche</w:t>
      </w:r>
    </w:p>
    <w:p w:rsidR="00F20ACF" w:rsidRDefault="00F20ACF" w:rsidP="004B77AF">
      <w:pPr>
        <w:autoSpaceDE w:val="0"/>
        <w:autoSpaceDN w:val="0"/>
        <w:adjustRightInd w:val="0"/>
        <w:jc w:val="both"/>
      </w:pPr>
    </w:p>
    <w:p w:rsidR="004B77AF" w:rsidRDefault="004B77AF" w:rsidP="004B77AF">
      <w:pPr>
        <w:autoSpaceDE w:val="0"/>
        <w:autoSpaceDN w:val="0"/>
        <w:adjustRightInd w:val="0"/>
        <w:jc w:val="both"/>
      </w:pPr>
      <w:smartTag w:uri="urn:schemas-microsoft-com:office:smarttags" w:element="metricconverter">
        <w:smartTagPr>
          <w:attr w:name="ProductID" w:val="1. A"/>
        </w:smartTagPr>
        <w:r w:rsidRPr="004B77AF">
          <w:t>1. A</w:t>
        </w:r>
      </w:smartTag>
      <w:r w:rsidRPr="004B77AF">
        <w:t xml:space="preserve"> valere sugli stanziamenti di cui al</w:t>
      </w:r>
      <w:r w:rsidR="00C057A8">
        <w:t xml:space="preserve">l’art. </w:t>
      </w:r>
      <w:r w:rsidR="007B17A6" w:rsidRPr="00745A27">
        <w:t>113</w:t>
      </w:r>
      <w:r w:rsidR="00C057A8" w:rsidRPr="00745A27">
        <w:t>,</w:t>
      </w:r>
      <w:r w:rsidRPr="00745A27">
        <w:t xml:space="preserve"> comma </w:t>
      </w:r>
      <w:r w:rsidR="007B17A6" w:rsidRPr="00745A27">
        <w:t>1</w:t>
      </w:r>
      <w:r w:rsidR="00C057A8">
        <w:t>,</w:t>
      </w:r>
      <w:r w:rsidRPr="004B77AF">
        <w:t xml:space="preserve"> del </w:t>
      </w:r>
      <w:r w:rsidR="00C057A8">
        <w:t>codice</w:t>
      </w:r>
      <w:r w:rsidRPr="004B77AF">
        <w:t>, l’Amministrazione Comunale</w:t>
      </w:r>
      <w:r w:rsidR="006B3576">
        <w:t xml:space="preserve"> </w:t>
      </w:r>
      <w:r w:rsidRPr="004B77AF">
        <w:t xml:space="preserve">destina ad un fondo per </w:t>
      </w:r>
      <w:r w:rsidR="007B17A6">
        <w:t>funzioni tecniche</w:t>
      </w:r>
      <w:r w:rsidRPr="004B77AF">
        <w:t xml:space="preserve"> risorse finanziarie in misura non</w:t>
      </w:r>
      <w:r w:rsidR="006B3576">
        <w:t xml:space="preserve"> </w:t>
      </w:r>
      <w:r w:rsidRPr="004B77AF">
        <w:t>superiore al 2</w:t>
      </w:r>
      <w:r w:rsidR="00142BB4">
        <w:t>%</w:t>
      </w:r>
      <w:r w:rsidRPr="004B77AF">
        <w:t xml:space="preserve"> </w:t>
      </w:r>
      <w:r w:rsidR="007B17A6">
        <w:t xml:space="preserve">modulate sull’importo dei </w:t>
      </w:r>
      <w:r w:rsidR="007B17A6" w:rsidRPr="0037615C">
        <w:t>lavori</w:t>
      </w:r>
      <w:r w:rsidR="007B17A6">
        <w:t xml:space="preserve"> posti a base di gara</w:t>
      </w:r>
      <w:r w:rsidRPr="004B77AF">
        <w:t>.</w:t>
      </w:r>
    </w:p>
    <w:p w:rsidR="007B17A6" w:rsidRDefault="007B17A6" w:rsidP="004B77AF">
      <w:pPr>
        <w:autoSpaceDE w:val="0"/>
        <w:autoSpaceDN w:val="0"/>
        <w:adjustRightInd w:val="0"/>
        <w:jc w:val="both"/>
      </w:pPr>
      <w:r>
        <w:t xml:space="preserve">2. In relazione all’importo dei </w:t>
      </w:r>
      <w:r w:rsidRPr="0037615C">
        <w:t>lavori</w:t>
      </w:r>
      <w:r w:rsidR="00356EE7">
        <w:t>, dei servizi e delle forniture</w:t>
      </w:r>
      <w:r>
        <w:t xml:space="preserve"> posti a base di gara</w:t>
      </w:r>
      <w:r w:rsidR="00EE0CE9">
        <w:t>, la percentuale di cui al comma 1 viene determinata come segue:</w:t>
      </w:r>
    </w:p>
    <w:p w:rsidR="00EE0CE9" w:rsidRDefault="00EE0CE9" w:rsidP="004B77AF">
      <w:pPr>
        <w:autoSpaceDE w:val="0"/>
        <w:autoSpaceDN w:val="0"/>
        <w:adjustRightInd w:val="0"/>
        <w:jc w:val="both"/>
      </w:pPr>
    </w:p>
    <w:p w:rsidR="001D3C34" w:rsidRDefault="001D3C34" w:rsidP="004B77AF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E0CE9" w:rsidRPr="00243DD1" w:rsidTr="00243DD1">
        <w:tc>
          <w:tcPr>
            <w:tcW w:w="4889" w:type="dxa"/>
          </w:tcPr>
          <w:p w:rsidR="00EE0CE9" w:rsidRPr="00243DD1" w:rsidRDefault="00EE0CE9" w:rsidP="00243D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3DD1">
              <w:rPr>
                <w:b/>
              </w:rPr>
              <w:t>Importo posto a base di gara</w:t>
            </w:r>
          </w:p>
        </w:tc>
        <w:tc>
          <w:tcPr>
            <w:tcW w:w="4889" w:type="dxa"/>
          </w:tcPr>
          <w:p w:rsidR="00EE0CE9" w:rsidRPr="00243DD1" w:rsidRDefault="00EE0CE9" w:rsidP="00243D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3DD1">
              <w:rPr>
                <w:b/>
              </w:rPr>
              <w:t>Quota da destinare al fondo</w:t>
            </w:r>
          </w:p>
        </w:tc>
      </w:tr>
      <w:tr w:rsidR="00EE0CE9" w:rsidTr="00243DD1">
        <w:tc>
          <w:tcPr>
            <w:tcW w:w="4889" w:type="dxa"/>
          </w:tcPr>
          <w:p w:rsidR="00EE0CE9" w:rsidRDefault="009C4891" w:rsidP="00356EE7">
            <w:pPr>
              <w:autoSpaceDE w:val="0"/>
              <w:autoSpaceDN w:val="0"/>
              <w:adjustRightInd w:val="0"/>
              <w:jc w:val="center"/>
            </w:pPr>
            <w:r>
              <w:t xml:space="preserve">Da 40.000 </w:t>
            </w:r>
            <w:r w:rsidR="00356EE7">
              <w:t xml:space="preserve">fino </w:t>
            </w:r>
            <w:proofErr w:type="gramStart"/>
            <w:r w:rsidR="00356EE7">
              <w:t>a  €</w:t>
            </w:r>
            <w:proofErr w:type="gramEnd"/>
            <w:r w:rsidR="00356EE7">
              <w:t xml:space="preserve"> 1.000.000</w:t>
            </w:r>
          </w:p>
        </w:tc>
        <w:tc>
          <w:tcPr>
            <w:tcW w:w="4889" w:type="dxa"/>
          </w:tcPr>
          <w:p w:rsidR="00EE0CE9" w:rsidRDefault="00356EE7" w:rsidP="00243DD1">
            <w:pPr>
              <w:autoSpaceDE w:val="0"/>
              <w:autoSpaceDN w:val="0"/>
              <w:adjustRightInd w:val="0"/>
              <w:jc w:val="center"/>
            </w:pPr>
            <w:r>
              <w:t>2%</w:t>
            </w:r>
          </w:p>
        </w:tc>
      </w:tr>
      <w:tr w:rsidR="00EE0CE9" w:rsidTr="00243DD1">
        <w:tc>
          <w:tcPr>
            <w:tcW w:w="4889" w:type="dxa"/>
          </w:tcPr>
          <w:p w:rsidR="00EE0CE9" w:rsidRDefault="00356EE7" w:rsidP="00356EE7">
            <w:pPr>
              <w:autoSpaceDE w:val="0"/>
              <w:autoSpaceDN w:val="0"/>
              <w:adjustRightInd w:val="0"/>
              <w:jc w:val="center"/>
            </w:pPr>
            <w:r>
              <w:t>oltre € 1.000.000</w:t>
            </w:r>
          </w:p>
        </w:tc>
        <w:tc>
          <w:tcPr>
            <w:tcW w:w="4889" w:type="dxa"/>
          </w:tcPr>
          <w:p w:rsidR="00EE0CE9" w:rsidRDefault="00356EE7" w:rsidP="0037615C">
            <w:pPr>
              <w:autoSpaceDE w:val="0"/>
              <w:autoSpaceDN w:val="0"/>
              <w:adjustRightInd w:val="0"/>
              <w:jc w:val="center"/>
            </w:pPr>
            <w:r>
              <w:t>1,5%</w:t>
            </w:r>
          </w:p>
        </w:tc>
      </w:tr>
      <w:tr w:rsidR="00EE0CE9" w:rsidTr="00243DD1">
        <w:tc>
          <w:tcPr>
            <w:tcW w:w="4889" w:type="dxa"/>
          </w:tcPr>
          <w:p w:rsidR="00EE0CE9" w:rsidRDefault="00EE0CE9" w:rsidP="003761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89" w:type="dxa"/>
          </w:tcPr>
          <w:p w:rsidR="00EE0CE9" w:rsidRDefault="00EE0CE9" w:rsidP="00243DD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85F1B" w:rsidRDefault="00985F1B" w:rsidP="00F71F85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207AF3" w:rsidRDefault="00494054" w:rsidP="00F71F85">
      <w:pPr>
        <w:autoSpaceDE w:val="0"/>
        <w:autoSpaceDN w:val="0"/>
        <w:adjustRightInd w:val="0"/>
        <w:jc w:val="both"/>
      </w:pPr>
      <w:r>
        <w:t>3</w:t>
      </w:r>
      <w:r w:rsidR="004B77AF" w:rsidRPr="004B77AF">
        <w:t xml:space="preserve">. Le </w:t>
      </w:r>
      <w:r>
        <w:t>risorse</w:t>
      </w:r>
      <w:r w:rsidR="004B77AF" w:rsidRPr="004B77AF">
        <w:t xml:space="preserve"> per la </w:t>
      </w:r>
      <w:r w:rsidR="00142BB4">
        <w:t>costituzione del fondo di cui a</w:t>
      </w:r>
      <w:r w:rsidR="00017915">
        <w:t>i commi precedenti</w:t>
      </w:r>
      <w:r w:rsidR="004B77AF" w:rsidRPr="004B77AF">
        <w:t xml:space="preserve"> sono previste </w:t>
      </w:r>
      <w:r>
        <w:t xml:space="preserve">e accantonate </w:t>
      </w:r>
      <w:r w:rsidR="004B77AF" w:rsidRPr="004B77AF">
        <w:t>nell'ambito delle</w:t>
      </w:r>
      <w:r w:rsidR="006B3576">
        <w:t xml:space="preserve"> </w:t>
      </w:r>
      <w:r w:rsidR="004B77AF" w:rsidRPr="004B77AF">
        <w:t>somme a disposizione all'interno del quadro economico del relativo progetto</w:t>
      </w:r>
      <w:r w:rsidR="00D13C8F">
        <w:t xml:space="preserve"> dell’opera o lavoro</w:t>
      </w:r>
      <w:r w:rsidR="00DB573A">
        <w:t>, del servizio o della fornitura</w:t>
      </w:r>
      <w:r w:rsidR="003D3029">
        <w:t xml:space="preserve"> (in caso di servizi e forniture solo qualora sia previsto il direttore dell’esecuzione)</w:t>
      </w:r>
      <w:r w:rsidR="004B77AF" w:rsidRPr="004B77AF">
        <w:t>.</w:t>
      </w:r>
    </w:p>
    <w:p w:rsidR="00F71F85" w:rsidRDefault="00207AF3" w:rsidP="00F71F85">
      <w:pPr>
        <w:autoSpaceDE w:val="0"/>
        <w:autoSpaceDN w:val="0"/>
        <w:adjustRightInd w:val="0"/>
        <w:jc w:val="both"/>
      </w:pPr>
      <w:r>
        <w:t xml:space="preserve">4. </w:t>
      </w:r>
      <w:r w:rsidR="00D13C8F">
        <w:t>L’ammontare del</w:t>
      </w:r>
      <w:r>
        <w:t xml:space="preserve"> fondo per </w:t>
      </w:r>
      <w:r w:rsidR="00DB573A">
        <w:t>le funzioni tecniche</w:t>
      </w:r>
      <w:r>
        <w:t xml:space="preserve"> non è soggetto ad alcuna rettifica qualora in sede di appalto si verifichino dei ribassi.</w:t>
      </w:r>
    </w:p>
    <w:p w:rsidR="004B77AF" w:rsidRDefault="004B77AF" w:rsidP="004B77AF">
      <w:pPr>
        <w:autoSpaceDE w:val="0"/>
        <w:autoSpaceDN w:val="0"/>
        <w:adjustRightInd w:val="0"/>
        <w:jc w:val="both"/>
      </w:pPr>
    </w:p>
    <w:p w:rsidR="00494054" w:rsidRPr="00142BB4" w:rsidRDefault="00494054" w:rsidP="00494054">
      <w:pPr>
        <w:autoSpaceDE w:val="0"/>
        <w:autoSpaceDN w:val="0"/>
        <w:adjustRightInd w:val="0"/>
        <w:jc w:val="center"/>
        <w:rPr>
          <w:b/>
        </w:rPr>
      </w:pPr>
      <w:r w:rsidRPr="00142BB4">
        <w:rPr>
          <w:b/>
        </w:rPr>
        <w:t xml:space="preserve">Art. </w:t>
      </w:r>
      <w:r>
        <w:rPr>
          <w:b/>
        </w:rPr>
        <w:t xml:space="preserve">3 - </w:t>
      </w:r>
      <w:r w:rsidRPr="00142BB4">
        <w:rPr>
          <w:b/>
        </w:rPr>
        <w:t>Ripartizione del fondo per la progettazione e l’innovazione</w:t>
      </w:r>
    </w:p>
    <w:p w:rsidR="00494054" w:rsidRDefault="00494054" w:rsidP="00494054">
      <w:pPr>
        <w:autoSpaceDE w:val="0"/>
        <w:autoSpaceDN w:val="0"/>
        <w:adjustRightInd w:val="0"/>
        <w:jc w:val="both"/>
      </w:pPr>
    </w:p>
    <w:p w:rsidR="00DB573A" w:rsidRDefault="000A774D" w:rsidP="00494054">
      <w:pPr>
        <w:autoSpaceDE w:val="0"/>
        <w:autoSpaceDN w:val="0"/>
        <w:adjustRightInd w:val="0"/>
        <w:jc w:val="both"/>
      </w:pPr>
      <w:r>
        <w:t>1</w:t>
      </w:r>
      <w:r w:rsidR="00494054" w:rsidRPr="004B77AF">
        <w:t>. L'80</w:t>
      </w:r>
      <w:r w:rsidR="00494054">
        <w:t>%</w:t>
      </w:r>
      <w:r w:rsidR="00494054" w:rsidRPr="004B77AF">
        <w:t xml:space="preserve"> delle risorse finanziarie</w:t>
      </w:r>
      <w:r w:rsidR="00494054">
        <w:t>,</w:t>
      </w:r>
      <w:r w:rsidR="00494054" w:rsidRPr="004B77AF">
        <w:t xml:space="preserve"> </w:t>
      </w:r>
      <w:r w:rsidR="00494054">
        <w:t>confluite n</w:t>
      </w:r>
      <w:r w:rsidR="00494054" w:rsidRPr="004B77AF">
        <w:t xml:space="preserve">el fondo per </w:t>
      </w:r>
      <w:r w:rsidR="00DB573A">
        <w:t>le funzioni tecniche</w:t>
      </w:r>
      <w:r w:rsidR="00494054">
        <w:t xml:space="preserve"> ai sensi del precedente art. 2, è </w:t>
      </w:r>
      <w:r w:rsidR="00494054" w:rsidRPr="004B77AF">
        <w:t>ripartito</w:t>
      </w:r>
      <w:r w:rsidR="00F9548E">
        <w:t xml:space="preserve"> tra i dipendenti interessati</w:t>
      </w:r>
      <w:r w:rsidR="00494054" w:rsidRPr="004B77AF">
        <w:t xml:space="preserve">, per ciascuna opera o lavoro, </w:t>
      </w:r>
      <w:r w:rsidR="00DB573A">
        <w:t>servizio o fornitura</w:t>
      </w:r>
      <w:r w:rsidR="00326E2C">
        <w:t>,</w:t>
      </w:r>
      <w:r w:rsidR="00DB573A">
        <w:t xml:space="preserve"> </w:t>
      </w:r>
      <w:r w:rsidR="00494054" w:rsidRPr="004B77AF">
        <w:t>con le modalità e i criteri definiti in sede di</w:t>
      </w:r>
      <w:r w:rsidR="00494054">
        <w:t xml:space="preserve"> </w:t>
      </w:r>
      <w:r w:rsidR="00494054" w:rsidRPr="004B77AF">
        <w:t>contrattazione decentrata integrativa del personale</w:t>
      </w:r>
      <w:r w:rsidR="00DB573A">
        <w:t>, sulla base d</w:t>
      </w:r>
      <w:r w:rsidR="00494054" w:rsidRPr="004B77AF">
        <w:t>el presente regolamento</w:t>
      </w:r>
      <w:r w:rsidR="00DB573A">
        <w:t>.</w:t>
      </w:r>
    </w:p>
    <w:p w:rsidR="00DB573A" w:rsidRPr="00F9548E" w:rsidRDefault="00DB573A" w:rsidP="00DB573A">
      <w:pPr>
        <w:autoSpaceDE w:val="0"/>
        <w:autoSpaceDN w:val="0"/>
        <w:adjustRightInd w:val="0"/>
        <w:jc w:val="both"/>
      </w:pPr>
      <w:r w:rsidRPr="00F9548E">
        <w:t>2. Gli importi dell’incentivo sono comprensivi degli oneri previdenziali ed assistenziali a carico dell’amministrazione.</w:t>
      </w:r>
    </w:p>
    <w:p w:rsidR="00DB573A" w:rsidRPr="00F9548E" w:rsidRDefault="00DB573A" w:rsidP="00DB573A">
      <w:pPr>
        <w:jc w:val="both"/>
      </w:pPr>
      <w:r w:rsidRPr="00F9548E">
        <w:t xml:space="preserve">3. Partecipano alla ripartizione dell'incentivo </w:t>
      </w:r>
      <w:r w:rsidR="00F9548E" w:rsidRPr="00F9548E">
        <w:t xml:space="preserve">il responsabile unico del procedimento e i dipendenti che svolgono le funzioni tecniche, nonché i loro collaboratori, </w:t>
      </w:r>
      <w:r w:rsidRPr="00F9548E">
        <w:t>esclusivamente per le seguenti attività:</w:t>
      </w:r>
    </w:p>
    <w:p w:rsidR="00DB573A" w:rsidRPr="00F9548E" w:rsidRDefault="00DB573A" w:rsidP="00F9548E">
      <w:pPr>
        <w:numPr>
          <w:ilvl w:val="0"/>
          <w:numId w:val="4"/>
        </w:numPr>
        <w:ind w:left="284" w:hanging="284"/>
        <w:jc w:val="both"/>
      </w:pPr>
      <w:r w:rsidRPr="00F9548E">
        <w:t>di programmazione della spesa per investimenti;</w:t>
      </w:r>
    </w:p>
    <w:p w:rsidR="00DB573A" w:rsidRPr="00F9548E" w:rsidRDefault="00DB573A" w:rsidP="00F9548E">
      <w:pPr>
        <w:numPr>
          <w:ilvl w:val="0"/>
          <w:numId w:val="4"/>
        </w:numPr>
        <w:ind w:left="284" w:hanging="284"/>
        <w:jc w:val="both"/>
      </w:pPr>
      <w:r w:rsidRPr="00F9548E">
        <w:lastRenderedPageBreak/>
        <w:t>di verifica preventiva dei progetti di predisposizione e di controllo delle procedure di bando e di esecuzione dei contratti pubblici;</w:t>
      </w:r>
    </w:p>
    <w:p w:rsidR="00DB573A" w:rsidRPr="00F9548E" w:rsidRDefault="00DB573A" w:rsidP="00F9548E">
      <w:pPr>
        <w:numPr>
          <w:ilvl w:val="0"/>
          <w:numId w:val="4"/>
        </w:numPr>
        <w:ind w:left="284" w:hanging="284"/>
        <w:jc w:val="both"/>
      </w:pPr>
      <w:r w:rsidRPr="00F9548E">
        <w:t>di responsabile unico di procedimento;</w:t>
      </w:r>
    </w:p>
    <w:p w:rsidR="00DB573A" w:rsidRPr="00F9548E" w:rsidRDefault="00DB573A" w:rsidP="00F9548E">
      <w:pPr>
        <w:numPr>
          <w:ilvl w:val="0"/>
          <w:numId w:val="4"/>
        </w:numPr>
        <w:ind w:left="284" w:hanging="284"/>
        <w:jc w:val="both"/>
      </w:pPr>
      <w:r w:rsidRPr="00F9548E">
        <w:t>di direzione dei lavori ovvero direzione dell’esecuzione;</w:t>
      </w:r>
    </w:p>
    <w:p w:rsidR="00DB573A" w:rsidRPr="00F9548E" w:rsidRDefault="00DB573A" w:rsidP="00F9548E">
      <w:pPr>
        <w:numPr>
          <w:ilvl w:val="0"/>
          <w:numId w:val="4"/>
        </w:numPr>
        <w:ind w:left="284" w:hanging="284"/>
        <w:jc w:val="both"/>
      </w:pPr>
      <w:r w:rsidRPr="00F9548E">
        <w:t>di collaudo tecnico-amministrativo ovvero di verifica di conformità;</w:t>
      </w:r>
    </w:p>
    <w:p w:rsidR="00DB573A" w:rsidRPr="00F9548E" w:rsidRDefault="00DB573A" w:rsidP="00F9548E">
      <w:pPr>
        <w:numPr>
          <w:ilvl w:val="0"/>
          <w:numId w:val="4"/>
        </w:numPr>
        <w:ind w:left="284" w:hanging="284"/>
        <w:jc w:val="both"/>
      </w:pPr>
      <w:r w:rsidRPr="00F9548E">
        <w:t>di collaudatore statico</w:t>
      </w:r>
    </w:p>
    <w:p w:rsidR="00494054" w:rsidRDefault="0011297C" w:rsidP="004B77AF">
      <w:pPr>
        <w:autoSpaceDE w:val="0"/>
        <w:autoSpaceDN w:val="0"/>
        <w:adjustRightInd w:val="0"/>
        <w:jc w:val="both"/>
      </w:pPr>
      <w:r w:rsidRPr="00F9548E">
        <w:t>4</w:t>
      </w:r>
      <w:r w:rsidR="00494054" w:rsidRPr="00F9548E">
        <w:t xml:space="preserve">. Il restante 20% delle risorse finanziarie del fondo per </w:t>
      </w:r>
      <w:r w:rsidR="00F9548E" w:rsidRPr="00F9548E">
        <w:t>le funzioni tecniche,</w:t>
      </w:r>
      <w:r w:rsidR="00494054" w:rsidRPr="00F9548E">
        <w:t xml:space="preserve"> </w:t>
      </w:r>
      <w:r w:rsidR="00F9548E" w:rsidRPr="00F9548E">
        <w:t>ad esclusione di risorse derivanti da finanziamenti europei o da altri finanziamenti a destinazione vincolata, viene destinato all'acquisto da parte dell'ente di beni, strumentazioni e tecnologie funzionali a progetti di innovazione anche per il progressivo uso di metodi e strumenti elettronici specifici di modellazione elettronica informativa per l'edilizia e le infrastrutture, di implementazione delle banche dati per il controllo e il miglioramento della capacità di spesa e di efficientamento informatico, con particolare riferimento alle metodologie e strumentazioni elettroniche per i controlli</w:t>
      </w:r>
      <w:r w:rsidR="003F17DB">
        <w:t>. U</w:t>
      </w:r>
      <w:r w:rsidR="003F17DB" w:rsidRPr="003F17DB">
        <w:t xml:space="preserve">na parte </w:t>
      </w:r>
      <w:r w:rsidR="003F17DB">
        <w:t>può essere utilizzata</w:t>
      </w:r>
      <w:r w:rsidR="003F17DB" w:rsidRPr="003F17DB">
        <w:t xml:space="preserve"> per l'attivazione di tirocini formativi e di orientamento di cui all'art. </w:t>
      </w:r>
      <w:hyperlink r:id="rId6" w:history="1">
        <w:r w:rsidR="003F17DB" w:rsidRPr="003F17DB">
          <w:t>18</w:t>
        </w:r>
      </w:hyperlink>
      <w:r w:rsidR="003F17DB" w:rsidRPr="003F17DB">
        <w:t xml:space="preserve"> della </w:t>
      </w:r>
      <w:hyperlink r:id="rId7" w:history="1">
        <w:r w:rsidR="003F17DB" w:rsidRPr="003F17DB">
          <w:t xml:space="preserve">L. n. 196/1997 </w:t>
        </w:r>
      </w:hyperlink>
      <w:r w:rsidR="003F17DB" w:rsidRPr="003F17DB">
        <w:t>o per lo svolgimento di dottorati di ricerca di alta qualificazione nel settore dei contratti pubblici previa sottoscrizione di apposite convenzioni con le Università e gli istituti scolastici superiori.</w:t>
      </w:r>
    </w:p>
    <w:p w:rsidR="003F17DB" w:rsidRPr="004B77AF" w:rsidRDefault="003F17DB" w:rsidP="004B77AF">
      <w:pPr>
        <w:autoSpaceDE w:val="0"/>
        <w:autoSpaceDN w:val="0"/>
        <w:adjustRightInd w:val="0"/>
        <w:jc w:val="both"/>
      </w:pPr>
    </w:p>
    <w:p w:rsidR="004B77AF" w:rsidRPr="00C057A8" w:rsidRDefault="004B77AF" w:rsidP="00C057A8">
      <w:pPr>
        <w:autoSpaceDE w:val="0"/>
        <w:autoSpaceDN w:val="0"/>
        <w:adjustRightInd w:val="0"/>
        <w:jc w:val="center"/>
        <w:rPr>
          <w:b/>
        </w:rPr>
      </w:pPr>
      <w:r w:rsidRPr="00C057A8">
        <w:rPr>
          <w:b/>
        </w:rPr>
        <w:t xml:space="preserve">Art. </w:t>
      </w:r>
      <w:r w:rsidR="00017915">
        <w:rPr>
          <w:b/>
        </w:rPr>
        <w:t>4</w:t>
      </w:r>
      <w:r w:rsidR="00C057A8">
        <w:rPr>
          <w:b/>
        </w:rPr>
        <w:t xml:space="preserve"> </w:t>
      </w:r>
      <w:r w:rsidR="00F9548E">
        <w:rPr>
          <w:b/>
        </w:rPr>
        <w:t>–</w:t>
      </w:r>
      <w:r w:rsidR="00C057A8">
        <w:rPr>
          <w:b/>
        </w:rPr>
        <w:t xml:space="preserve"> </w:t>
      </w:r>
      <w:r w:rsidR="00F9548E">
        <w:rPr>
          <w:b/>
        </w:rPr>
        <w:t>Affidamento delle funzioni tecniche e individuazione dei dipendenti coinvolti</w:t>
      </w:r>
    </w:p>
    <w:p w:rsidR="00C057A8" w:rsidRDefault="00C057A8" w:rsidP="004B77AF">
      <w:pPr>
        <w:autoSpaceDE w:val="0"/>
        <w:autoSpaceDN w:val="0"/>
        <w:adjustRightInd w:val="0"/>
        <w:jc w:val="both"/>
      </w:pPr>
    </w:p>
    <w:p w:rsidR="004B77AF" w:rsidRPr="004B77AF" w:rsidRDefault="004B77AF" w:rsidP="004B77AF">
      <w:pPr>
        <w:autoSpaceDE w:val="0"/>
        <w:autoSpaceDN w:val="0"/>
        <w:adjustRightInd w:val="0"/>
        <w:jc w:val="both"/>
      </w:pPr>
      <w:r w:rsidRPr="004B77AF">
        <w:t xml:space="preserve">1. </w:t>
      </w:r>
      <w:r w:rsidR="00C057A8">
        <w:t>L’affidamento de</w:t>
      </w:r>
      <w:r w:rsidR="00F9548E">
        <w:t xml:space="preserve">lle funzioni tecniche </w:t>
      </w:r>
      <w:r w:rsidR="00C057A8">
        <w:t>è effettuato con provvedimento formale del</w:t>
      </w:r>
      <w:r w:rsidR="00F9548E">
        <w:t xml:space="preserve"> competente</w:t>
      </w:r>
      <w:r w:rsidR="00C057A8">
        <w:t xml:space="preserve"> </w:t>
      </w:r>
      <w:r w:rsidR="00C057A8" w:rsidRPr="004C09EB">
        <w:t xml:space="preserve">Responsabile, </w:t>
      </w:r>
      <w:r w:rsidRPr="004C09EB">
        <w:t>garantendo</w:t>
      </w:r>
      <w:r w:rsidR="00B86BC0" w:rsidRPr="004C09EB">
        <w:t>, ove possibile,</w:t>
      </w:r>
      <w:r w:rsidRPr="004C09EB">
        <w:t xml:space="preserve"> un</w:t>
      </w:r>
      <w:r w:rsidR="00C057A8" w:rsidRPr="004C09EB">
        <w:t>’</w:t>
      </w:r>
      <w:r w:rsidRPr="004C09EB">
        <w:t>opportuna rotazione del personale.</w:t>
      </w:r>
    </w:p>
    <w:p w:rsidR="00142BB4" w:rsidRDefault="00C057A8" w:rsidP="004B77AF">
      <w:pPr>
        <w:autoSpaceDE w:val="0"/>
        <w:autoSpaceDN w:val="0"/>
        <w:adjustRightInd w:val="0"/>
        <w:jc w:val="both"/>
      </w:pPr>
      <w:smartTag w:uri="urn:schemas-microsoft-com:office:smarttags" w:element="metricconverter">
        <w:smartTagPr>
          <w:attr w:name="ProductID" w:val="2. L"/>
        </w:smartTagPr>
        <w:r>
          <w:t>2</w:t>
        </w:r>
        <w:r w:rsidR="004B77AF" w:rsidRPr="004B77AF">
          <w:t>. L</w:t>
        </w:r>
      </w:smartTag>
      <w:r w:rsidR="004B77AF" w:rsidRPr="004B77AF">
        <w:t xml:space="preserve">'atto di </w:t>
      </w:r>
      <w:r w:rsidR="00F9548E">
        <w:t xml:space="preserve">affidamento delle funzioni tecniche </w:t>
      </w:r>
      <w:r w:rsidR="004B77AF" w:rsidRPr="004B77AF">
        <w:t>deve riportare</w:t>
      </w:r>
      <w:r w:rsidR="00497CF6">
        <w:t>, per ciascuna delle attività nell’ambito della stessa opera o lavoro, servizio o fornitura,</w:t>
      </w:r>
      <w:r w:rsidR="004B77AF" w:rsidRPr="004B77AF">
        <w:t xml:space="preserve"> il nominativo de</w:t>
      </w:r>
      <w:r w:rsidR="00497CF6">
        <w:t xml:space="preserve">l dipendente assegnatario, nonché di quello </w:t>
      </w:r>
      <w:r w:rsidR="004B77AF" w:rsidRPr="004B77AF">
        <w:t>che partecipa e/o concorre a</w:t>
      </w:r>
      <w:r w:rsidR="00497CF6">
        <w:t>llo svolgimento delle stesse</w:t>
      </w:r>
      <w:r w:rsidR="004B77AF" w:rsidRPr="004B77AF">
        <w:t>, indicando i compiti e i tempi assegnati a ciascuno.</w:t>
      </w:r>
    </w:p>
    <w:p w:rsidR="005A1AA4" w:rsidRDefault="005A1AA4" w:rsidP="005A1AA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Art. </w:t>
      </w:r>
      <w:r w:rsidR="00017915">
        <w:rPr>
          <w:b/>
        </w:rPr>
        <w:t>5</w:t>
      </w:r>
      <w:r>
        <w:rPr>
          <w:b/>
        </w:rPr>
        <w:t xml:space="preserve"> - Ripartizione dell’incentivo</w:t>
      </w:r>
    </w:p>
    <w:p w:rsidR="005A1AA4" w:rsidRPr="005E7D67" w:rsidRDefault="005A1AA4" w:rsidP="005A1AA4">
      <w:pPr>
        <w:autoSpaceDE w:val="0"/>
        <w:autoSpaceDN w:val="0"/>
        <w:adjustRightInd w:val="0"/>
        <w:jc w:val="center"/>
        <w:rPr>
          <w:b/>
        </w:rPr>
      </w:pPr>
    </w:p>
    <w:p w:rsidR="005A1AA4" w:rsidRDefault="00B22FD8" w:rsidP="00B22FD8">
      <w:pPr>
        <w:autoSpaceDE w:val="0"/>
        <w:autoSpaceDN w:val="0"/>
        <w:adjustRightInd w:val="0"/>
        <w:jc w:val="both"/>
      </w:pPr>
      <w:r>
        <w:t xml:space="preserve">1. </w:t>
      </w:r>
      <w:r w:rsidR="00497CF6">
        <w:t>L</w:t>
      </w:r>
      <w:r w:rsidR="005A1AA4">
        <w:t xml:space="preserve">a quota di fondo </w:t>
      </w:r>
      <w:r w:rsidR="00D9202C">
        <w:t>di cui all’art. 3, comma 1</w:t>
      </w:r>
      <w:r w:rsidR="00107287">
        <w:t xml:space="preserve">, del presente regolamento, </w:t>
      </w:r>
      <w:r w:rsidR="005A1AA4">
        <w:t xml:space="preserve">destinata </w:t>
      </w:r>
      <w:r>
        <w:t xml:space="preserve">alle funzioni tecniche, </w:t>
      </w:r>
      <w:r w:rsidR="0001535A">
        <w:t xml:space="preserve">per ciascuna opera o lavoro, servizio o fornitura, </w:t>
      </w:r>
      <w:r w:rsidR="005A1AA4">
        <w:t xml:space="preserve">viene </w:t>
      </w:r>
      <w:r w:rsidR="0001535A">
        <w:t>suddivisa</w:t>
      </w:r>
      <w:r w:rsidR="00497CF6">
        <w:t xml:space="preserve"> </w:t>
      </w:r>
      <w:r w:rsidR="0001535A">
        <w:t xml:space="preserve">tra le varie attività </w:t>
      </w:r>
      <w:r w:rsidR="00497CF6">
        <w:t>sulla base dei seguenti criteri</w:t>
      </w:r>
      <w:r w:rsidR="005A1AA4">
        <w:t>:</w:t>
      </w:r>
    </w:p>
    <w:p w:rsidR="00B22FD8" w:rsidRDefault="00B22FD8" w:rsidP="00B22FD8">
      <w:pPr>
        <w:autoSpaceDE w:val="0"/>
        <w:autoSpaceDN w:val="0"/>
        <w:adjustRightInd w:val="0"/>
        <w:jc w:val="both"/>
      </w:pPr>
    </w:p>
    <w:p w:rsidR="0001535A" w:rsidRDefault="0001535A" w:rsidP="0001535A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per le opere o lavori:</w:t>
      </w:r>
    </w:p>
    <w:p w:rsidR="00497CF6" w:rsidRDefault="00497CF6" w:rsidP="00107287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809"/>
      </w:tblGrid>
      <w:tr w:rsidR="00497CF6" w:rsidRPr="00243DD1" w:rsidTr="00243DD1">
        <w:tc>
          <w:tcPr>
            <w:tcW w:w="4889" w:type="dxa"/>
          </w:tcPr>
          <w:p w:rsidR="00497CF6" w:rsidRPr="00243DD1" w:rsidRDefault="0001535A" w:rsidP="00243D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3DD1">
              <w:rPr>
                <w:b/>
              </w:rPr>
              <w:t>Attività (art. 113, comma 2)</w:t>
            </w:r>
          </w:p>
        </w:tc>
        <w:tc>
          <w:tcPr>
            <w:tcW w:w="4889" w:type="dxa"/>
          </w:tcPr>
          <w:p w:rsidR="00497CF6" w:rsidRPr="00243DD1" w:rsidRDefault="0001535A" w:rsidP="00243D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3DD1">
              <w:rPr>
                <w:b/>
              </w:rPr>
              <w:t>Peso dell’attività nell’ambito del</w:t>
            </w:r>
            <w:r w:rsidR="00B22FD8" w:rsidRPr="00243DD1">
              <w:rPr>
                <w:b/>
              </w:rPr>
              <w:t xml:space="preserve">la quota destinata al </w:t>
            </w:r>
            <w:r w:rsidRPr="00243DD1">
              <w:rPr>
                <w:b/>
              </w:rPr>
              <w:t>fondo</w:t>
            </w:r>
          </w:p>
        </w:tc>
      </w:tr>
      <w:tr w:rsidR="00497CF6" w:rsidTr="00243DD1">
        <w:tc>
          <w:tcPr>
            <w:tcW w:w="4889" w:type="dxa"/>
          </w:tcPr>
          <w:p w:rsidR="00497CF6" w:rsidRDefault="0001535A" w:rsidP="00243DD1">
            <w:pPr>
              <w:autoSpaceDE w:val="0"/>
              <w:autoSpaceDN w:val="0"/>
              <w:adjustRightInd w:val="0"/>
              <w:jc w:val="both"/>
            </w:pPr>
            <w:r>
              <w:t>Programmazione della spesa per investimenti</w:t>
            </w:r>
          </w:p>
        </w:tc>
        <w:tc>
          <w:tcPr>
            <w:tcW w:w="4889" w:type="dxa"/>
          </w:tcPr>
          <w:p w:rsidR="00497CF6" w:rsidRDefault="00985F1B" w:rsidP="00985F1B">
            <w:pPr>
              <w:autoSpaceDE w:val="0"/>
              <w:autoSpaceDN w:val="0"/>
              <w:adjustRightInd w:val="0"/>
              <w:jc w:val="center"/>
            </w:pPr>
            <w:r>
              <w:t xml:space="preserve">10 </w:t>
            </w:r>
            <w:r w:rsidR="0001535A">
              <w:t>%</w:t>
            </w:r>
          </w:p>
        </w:tc>
      </w:tr>
      <w:tr w:rsidR="00497CF6" w:rsidTr="00243DD1">
        <w:tc>
          <w:tcPr>
            <w:tcW w:w="4889" w:type="dxa"/>
          </w:tcPr>
          <w:p w:rsidR="00497CF6" w:rsidRDefault="00B22FD8" w:rsidP="00243DD1">
            <w:pPr>
              <w:autoSpaceDE w:val="0"/>
              <w:autoSpaceDN w:val="0"/>
              <w:adjustRightInd w:val="0"/>
              <w:jc w:val="both"/>
            </w:pPr>
            <w:r>
              <w:t>V</w:t>
            </w:r>
            <w:r w:rsidRPr="00B22FD8">
              <w:t>erifica preventiva dei progetti di predisposizione e di controllo delle procedure di bando e di esecuzione dei contratti pubblici</w:t>
            </w:r>
          </w:p>
        </w:tc>
        <w:tc>
          <w:tcPr>
            <w:tcW w:w="4889" w:type="dxa"/>
          </w:tcPr>
          <w:p w:rsidR="00497CF6" w:rsidRDefault="00985F1B" w:rsidP="00243DD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01535A">
              <w:t>%</w:t>
            </w:r>
          </w:p>
        </w:tc>
      </w:tr>
      <w:tr w:rsidR="00497CF6" w:rsidTr="00243DD1">
        <w:tc>
          <w:tcPr>
            <w:tcW w:w="4889" w:type="dxa"/>
          </w:tcPr>
          <w:p w:rsidR="00497CF6" w:rsidRDefault="00B22FD8" w:rsidP="00243DD1">
            <w:pPr>
              <w:autoSpaceDE w:val="0"/>
              <w:autoSpaceDN w:val="0"/>
              <w:adjustRightInd w:val="0"/>
              <w:jc w:val="both"/>
            </w:pPr>
            <w:r>
              <w:t>R</w:t>
            </w:r>
            <w:r w:rsidRPr="00B22FD8">
              <w:t>esponsabile unico di procedimento</w:t>
            </w:r>
            <w:r w:rsidR="000F0EF9">
              <w:t xml:space="preserve"> e </w:t>
            </w:r>
            <w:proofErr w:type="spellStart"/>
            <w:r w:rsidR="000F0EF9">
              <w:t>assitenti</w:t>
            </w:r>
            <w:proofErr w:type="spellEnd"/>
          </w:p>
        </w:tc>
        <w:tc>
          <w:tcPr>
            <w:tcW w:w="4889" w:type="dxa"/>
          </w:tcPr>
          <w:p w:rsidR="00497CF6" w:rsidRDefault="000F0EF9" w:rsidP="00243DD1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  <w:r w:rsidR="00B22FD8">
              <w:t>%</w:t>
            </w:r>
          </w:p>
        </w:tc>
      </w:tr>
      <w:tr w:rsidR="00497CF6" w:rsidTr="00243DD1">
        <w:tc>
          <w:tcPr>
            <w:tcW w:w="4889" w:type="dxa"/>
          </w:tcPr>
          <w:p w:rsidR="00497CF6" w:rsidRDefault="00B22FD8" w:rsidP="00243DD1">
            <w:pPr>
              <w:autoSpaceDE w:val="0"/>
              <w:autoSpaceDN w:val="0"/>
              <w:adjustRightInd w:val="0"/>
              <w:jc w:val="both"/>
            </w:pPr>
            <w:r>
              <w:t>D</w:t>
            </w:r>
            <w:r w:rsidRPr="00B22FD8">
              <w:t xml:space="preserve">irezione dei lavori </w:t>
            </w:r>
          </w:p>
        </w:tc>
        <w:tc>
          <w:tcPr>
            <w:tcW w:w="4889" w:type="dxa"/>
          </w:tcPr>
          <w:p w:rsidR="00497CF6" w:rsidRDefault="000F0EF9" w:rsidP="00243DD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  <w:r w:rsidR="00B22FD8">
              <w:t>%</w:t>
            </w:r>
          </w:p>
        </w:tc>
      </w:tr>
      <w:tr w:rsidR="00497CF6" w:rsidTr="00243DD1">
        <w:tc>
          <w:tcPr>
            <w:tcW w:w="4889" w:type="dxa"/>
          </w:tcPr>
          <w:p w:rsidR="00497CF6" w:rsidRDefault="00B22FD8" w:rsidP="00243DD1">
            <w:pPr>
              <w:autoSpaceDE w:val="0"/>
              <w:autoSpaceDN w:val="0"/>
              <w:adjustRightInd w:val="0"/>
              <w:jc w:val="both"/>
            </w:pPr>
            <w:r>
              <w:t>C</w:t>
            </w:r>
            <w:r w:rsidRPr="00B22FD8">
              <w:t xml:space="preserve">ollaudo tecnico-amministrativo </w:t>
            </w:r>
          </w:p>
        </w:tc>
        <w:tc>
          <w:tcPr>
            <w:tcW w:w="4889" w:type="dxa"/>
          </w:tcPr>
          <w:p w:rsidR="00497CF6" w:rsidRDefault="00985F1B" w:rsidP="00243DD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B22FD8">
              <w:t>%</w:t>
            </w:r>
          </w:p>
        </w:tc>
      </w:tr>
      <w:tr w:rsidR="00497CF6" w:rsidTr="00243DD1">
        <w:tc>
          <w:tcPr>
            <w:tcW w:w="4889" w:type="dxa"/>
          </w:tcPr>
          <w:p w:rsidR="00497CF6" w:rsidRDefault="00B22FD8" w:rsidP="00326E2C">
            <w:pPr>
              <w:autoSpaceDE w:val="0"/>
              <w:autoSpaceDN w:val="0"/>
              <w:adjustRightInd w:val="0"/>
              <w:jc w:val="both"/>
            </w:pPr>
            <w:r>
              <w:t>C</w:t>
            </w:r>
            <w:r w:rsidRPr="00B22FD8">
              <w:t>ollaud</w:t>
            </w:r>
            <w:r w:rsidR="00326E2C">
              <w:t>o</w:t>
            </w:r>
            <w:r w:rsidRPr="00B22FD8">
              <w:t xml:space="preserve"> statico</w:t>
            </w:r>
          </w:p>
        </w:tc>
        <w:tc>
          <w:tcPr>
            <w:tcW w:w="4889" w:type="dxa"/>
          </w:tcPr>
          <w:p w:rsidR="00497CF6" w:rsidRDefault="00985F1B" w:rsidP="00243DD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B22FD8">
              <w:t>%</w:t>
            </w:r>
          </w:p>
        </w:tc>
      </w:tr>
      <w:tr w:rsidR="00B22FD8" w:rsidRPr="00243DD1" w:rsidTr="00243DD1">
        <w:tc>
          <w:tcPr>
            <w:tcW w:w="4889" w:type="dxa"/>
          </w:tcPr>
          <w:p w:rsidR="00B22FD8" w:rsidRPr="00243DD1" w:rsidRDefault="00B22FD8" w:rsidP="00243D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3DD1">
              <w:rPr>
                <w:b/>
              </w:rPr>
              <w:t>Totale</w:t>
            </w:r>
          </w:p>
        </w:tc>
        <w:tc>
          <w:tcPr>
            <w:tcW w:w="4889" w:type="dxa"/>
          </w:tcPr>
          <w:p w:rsidR="00B22FD8" w:rsidRPr="00243DD1" w:rsidRDefault="00B22FD8" w:rsidP="00243D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3DD1">
              <w:rPr>
                <w:b/>
              </w:rPr>
              <w:t>100%</w:t>
            </w:r>
          </w:p>
        </w:tc>
      </w:tr>
    </w:tbl>
    <w:p w:rsidR="00497CF6" w:rsidRDefault="00497CF6" w:rsidP="00107287">
      <w:pPr>
        <w:autoSpaceDE w:val="0"/>
        <w:autoSpaceDN w:val="0"/>
        <w:adjustRightInd w:val="0"/>
        <w:jc w:val="both"/>
      </w:pPr>
    </w:p>
    <w:p w:rsidR="00B22FD8" w:rsidRDefault="00B22FD8" w:rsidP="00B22FD8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per i servizi o forniture:</w:t>
      </w:r>
    </w:p>
    <w:p w:rsidR="00B22FD8" w:rsidRDefault="00B22FD8" w:rsidP="00B22FD8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8"/>
        <w:gridCol w:w="4810"/>
      </w:tblGrid>
      <w:tr w:rsidR="00B22FD8" w:rsidRPr="00243DD1" w:rsidTr="00243DD1">
        <w:tc>
          <w:tcPr>
            <w:tcW w:w="4889" w:type="dxa"/>
          </w:tcPr>
          <w:p w:rsidR="00B22FD8" w:rsidRPr="00243DD1" w:rsidRDefault="00B22FD8" w:rsidP="00243D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3DD1">
              <w:rPr>
                <w:b/>
              </w:rPr>
              <w:t>Attività (art. 113, comma 2)</w:t>
            </w:r>
          </w:p>
        </w:tc>
        <w:tc>
          <w:tcPr>
            <w:tcW w:w="4889" w:type="dxa"/>
          </w:tcPr>
          <w:p w:rsidR="00B22FD8" w:rsidRPr="00243DD1" w:rsidRDefault="00B22FD8" w:rsidP="00243D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3DD1">
              <w:rPr>
                <w:b/>
              </w:rPr>
              <w:t>Peso dell’attività nell’ambito della quota destinata al fondo</w:t>
            </w:r>
          </w:p>
        </w:tc>
      </w:tr>
      <w:tr w:rsidR="00B22FD8" w:rsidTr="00243DD1">
        <w:tc>
          <w:tcPr>
            <w:tcW w:w="4889" w:type="dxa"/>
          </w:tcPr>
          <w:p w:rsidR="00B22FD8" w:rsidRDefault="00B22FD8" w:rsidP="00243DD1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V</w:t>
            </w:r>
            <w:r w:rsidRPr="00B22FD8">
              <w:t>erifica preventiva dei progetti di predisposizione e di controllo delle procedure di bando e di esecuzione dei contratti pubblici</w:t>
            </w:r>
          </w:p>
        </w:tc>
        <w:tc>
          <w:tcPr>
            <w:tcW w:w="4889" w:type="dxa"/>
          </w:tcPr>
          <w:p w:rsidR="00B22FD8" w:rsidRDefault="00985F1B" w:rsidP="00985F1B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B22FD8">
              <w:t>%</w:t>
            </w:r>
          </w:p>
        </w:tc>
      </w:tr>
      <w:tr w:rsidR="00B22FD8" w:rsidTr="00243DD1">
        <w:tc>
          <w:tcPr>
            <w:tcW w:w="4889" w:type="dxa"/>
          </w:tcPr>
          <w:p w:rsidR="00B22FD8" w:rsidRDefault="00B22FD8" w:rsidP="00243DD1">
            <w:pPr>
              <w:autoSpaceDE w:val="0"/>
              <w:autoSpaceDN w:val="0"/>
              <w:adjustRightInd w:val="0"/>
              <w:jc w:val="both"/>
            </w:pPr>
            <w:r>
              <w:t>R</w:t>
            </w:r>
            <w:r w:rsidRPr="00B22FD8">
              <w:t>esponsabile unico di procedimento</w:t>
            </w:r>
            <w:r w:rsidR="000F0EF9">
              <w:t xml:space="preserve"> e assistenti</w:t>
            </w:r>
          </w:p>
        </w:tc>
        <w:tc>
          <w:tcPr>
            <w:tcW w:w="4889" w:type="dxa"/>
          </w:tcPr>
          <w:p w:rsidR="00B22FD8" w:rsidRDefault="00985F1B" w:rsidP="00985F1B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  <w:r w:rsidR="00B22FD8">
              <w:t>%</w:t>
            </w:r>
          </w:p>
        </w:tc>
      </w:tr>
      <w:tr w:rsidR="00B22FD8" w:rsidTr="00243DD1">
        <w:tc>
          <w:tcPr>
            <w:tcW w:w="4889" w:type="dxa"/>
          </w:tcPr>
          <w:p w:rsidR="00B22FD8" w:rsidRDefault="00B22FD8" w:rsidP="00243DD1">
            <w:pPr>
              <w:autoSpaceDE w:val="0"/>
              <w:autoSpaceDN w:val="0"/>
              <w:adjustRightInd w:val="0"/>
              <w:jc w:val="both"/>
            </w:pPr>
            <w:r>
              <w:t>D</w:t>
            </w:r>
            <w:r w:rsidRPr="00B22FD8">
              <w:t>irezione dell’esecuzione</w:t>
            </w:r>
          </w:p>
        </w:tc>
        <w:tc>
          <w:tcPr>
            <w:tcW w:w="4889" w:type="dxa"/>
          </w:tcPr>
          <w:p w:rsidR="00B22FD8" w:rsidRDefault="00985F1B" w:rsidP="00243DD1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B22FD8">
              <w:t>%</w:t>
            </w:r>
          </w:p>
        </w:tc>
      </w:tr>
      <w:tr w:rsidR="00B22FD8" w:rsidTr="00243DD1">
        <w:tc>
          <w:tcPr>
            <w:tcW w:w="4889" w:type="dxa"/>
          </w:tcPr>
          <w:p w:rsidR="00B22FD8" w:rsidRDefault="00B22FD8" w:rsidP="00243DD1">
            <w:pPr>
              <w:autoSpaceDE w:val="0"/>
              <w:autoSpaceDN w:val="0"/>
              <w:adjustRightInd w:val="0"/>
              <w:jc w:val="both"/>
            </w:pPr>
            <w:r>
              <w:t>V</w:t>
            </w:r>
            <w:r w:rsidRPr="00B22FD8">
              <w:t>erifica di conformità</w:t>
            </w:r>
          </w:p>
        </w:tc>
        <w:tc>
          <w:tcPr>
            <w:tcW w:w="4889" w:type="dxa"/>
          </w:tcPr>
          <w:p w:rsidR="00B22FD8" w:rsidRDefault="00985F1B" w:rsidP="00243DD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B22FD8">
              <w:t>%</w:t>
            </w:r>
          </w:p>
        </w:tc>
      </w:tr>
      <w:tr w:rsidR="00B22FD8" w:rsidRPr="00243DD1" w:rsidTr="00243DD1">
        <w:tc>
          <w:tcPr>
            <w:tcW w:w="4889" w:type="dxa"/>
          </w:tcPr>
          <w:p w:rsidR="00B22FD8" w:rsidRPr="00243DD1" w:rsidRDefault="00B22FD8" w:rsidP="00243D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3DD1">
              <w:rPr>
                <w:b/>
              </w:rPr>
              <w:t>Totale</w:t>
            </w:r>
          </w:p>
        </w:tc>
        <w:tc>
          <w:tcPr>
            <w:tcW w:w="4889" w:type="dxa"/>
          </w:tcPr>
          <w:p w:rsidR="00B22FD8" w:rsidRPr="00243DD1" w:rsidRDefault="00B22FD8" w:rsidP="00243D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3DD1">
              <w:rPr>
                <w:b/>
              </w:rPr>
              <w:t>100%</w:t>
            </w:r>
          </w:p>
        </w:tc>
      </w:tr>
    </w:tbl>
    <w:p w:rsidR="00497CF6" w:rsidRDefault="00497CF6" w:rsidP="00107287">
      <w:pPr>
        <w:autoSpaceDE w:val="0"/>
        <w:autoSpaceDN w:val="0"/>
        <w:adjustRightInd w:val="0"/>
        <w:jc w:val="both"/>
      </w:pPr>
    </w:p>
    <w:p w:rsidR="00080DE9" w:rsidRDefault="00862F54" w:rsidP="00862F54">
      <w:pPr>
        <w:autoSpaceDE w:val="0"/>
        <w:autoSpaceDN w:val="0"/>
        <w:adjustRightInd w:val="0"/>
        <w:jc w:val="both"/>
      </w:pPr>
      <w:r>
        <w:t xml:space="preserve">2. </w:t>
      </w:r>
      <w:r w:rsidR="00080DE9">
        <w:t xml:space="preserve">Nell’ambito della quota destinata a ciascuna </w:t>
      </w:r>
      <w:r w:rsidR="0082366B">
        <w:t xml:space="preserve">delle attività, come determinata secondo i criteri di cui al precedente comma 1, </w:t>
      </w:r>
      <w:r w:rsidR="00080DE9" w:rsidRPr="00862F54">
        <w:t>l’incentivo viene ripartito tra i dipendenti interessati, nonché tra i loro collaboratori, sulla base dei seguenti criteri</w:t>
      </w:r>
      <w:r w:rsidR="0082366B">
        <w:t>:</w:t>
      </w:r>
    </w:p>
    <w:p w:rsidR="00862F54" w:rsidRPr="0082366B" w:rsidRDefault="00862F54" w:rsidP="0082366B">
      <w:pPr>
        <w:autoSpaceDE w:val="0"/>
        <w:autoSpaceDN w:val="0"/>
        <w:adjustRightInd w:val="0"/>
        <w:jc w:val="both"/>
      </w:pPr>
      <w:r w:rsidRPr="0082366B">
        <w:t>Per le funzioni tecniche svolte per l’attività di responsabile unico di procedimento (R.U.P.), al dipendente interessato viene erogata per intero la quota corrispondente al</w:t>
      </w:r>
      <w:r w:rsidR="0082366B">
        <w:t xml:space="preserve">la </w:t>
      </w:r>
      <w:r w:rsidRPr="0082366B">
        <w:t>relativ</w:t>
      </w:r>
      <w:r w:rsidR="0082366B">
        <w:t>a attività</w:t>
      </w:r>
      <w:r w:rsidRPr="0082366B">
        <w:t>. In presenza di collaboratori, la relativa</w:t>
      </w:r>
      <w:r w:rsidR="000F0EF9">
        <w:t xml:space="preserve"> percentuale viene ridotta al 50%, il restante 50</w:t>
      </w:r>
      <w:r w:rsidRPr="0082366B">
        <w:t>% viene distribuito tra i collaboratori in base al grado di coinvolgimento dei medesimi nell’attivit</w:t>
      </w:r>
      <w:r w:rsidR="000F0EF9">
        <w:t xml:space="preserve">à svolta, come stabilito dal </w:t>
      </w:r>
      <w:r w:rsidRPr="0082366B">
        <w:t xml:space="preserve">responsabile di riferimento a conclusione del relativo procedimento.   </w:t>
      </w:r>
    </w:p>
    <w:p w:rsidR="00497CF6" w:rsidRPr="004B77AF" w:rsidRDefault="00497CF6" w:rsidP="00107287">
      <w:pPr>
        <w:autoSpaceDE w:val="0"/>
        <w:autoSpaceDN w:val="0"/>
        <w:adjustRightInd w:val="0"/>
        <w:jc w:val="both"/>
      </w:pPr>
    </w:p>
    <w:p w:rsidR="005A1AA4" w:rsidRPr="005E7D67" w:rsidRDefault="00BF3D3B" w:rsidP="00BF3D3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Art. </w:t>
      </w:r>
      <w:r w:rsidR="00017915">
        <w:rPr>
          <w:b/>
        </w:rPr>
        <w:t>6</w:t>
      </w:r>
      <w:r>
        <w:rPr>
          <w:b/>
        </w:rPr>
        <w:t xml:space="preserve"> - </w:t>
      </w:r>
      <w:r w:rsidR="005A1AA4" w:rsidRPr="005E7D67">
        <w:rPr>
          <w:b/>
        </w:rPr>
        <w:t>Modalità d</w:t>
      </w:r>
      <w:r>
        <w:rPr>
          <w:b/>
        </w:rPr>
        <w:t>i corresponsione dell’incentivo</w:t>
      </w:r>
    </w:p>
    <w:p w:rsidR="00BF3D3B" w:rsidRDefault="00BF3D3B" w:rsidP="005A1AA4">
      <w:pPr>
        <w:autoSpaceDE w:val="0"/>
        <w:autoSpaceDN w:val="0"/>
        <w:adjustRightInd w:val="0"/>
        <w:jc w:val="both"/>
      </w:pPr>
    </w:p>
    <w:p w:rsidR="004937DE" w:rsidRPr="004937DE" w:rsidRDefault="004937DE" w:rsidP="004937DE">
      <w:pPr>
        <w:autoSpaceDE w:val="0"/>
        <w:autoSpaceDN w:val="0"/>
        <w:adjustRightInd w:val="0"/>
        <w:jc w:val="both"/>
      </w:pPr>
      <w:r w:rsidRPr="004937DE">
        <w:t xml:space="preserve">1. La corresponsione dell’incentivo è disposta </w:t>
      </w:r>
      <w:r w:rsidRPr="004C09EB">
        <w:t>dal responsabile, previo</w:t>
      </w:r>
      <w:r w:rsidRPr="004937DE">
        <w:t xml:space="preserve"> accertamento delle specifiche attività svolte dai dipendenti interessati, una volta concluso il relativo procedimento.</w:t>
      </w:r>
    </w:p>
    <w:p w:rsidR="004937DE" w:rsidRPr="004937DE" w:rsidRDefault="00B86BC0" w:rsidP="004937DE">
      <w:pPr>
        <w:jc w:val="both"/>
      </w:pPr>
      <w:r>
        <w:t>2</w:t>
      </w:r>
      <w:r w:rsidR="004937DE" w:rsidRPr="004937DE">
        <w:t>. Le quote parti dell’incentivo corrispondenti a funzioni non svolte, in tutto o in parte, dai medesimi dipendenti, in quanto affidate a personale esterno all’organico dell’amministrazione, ovvero prive del predetto accertamento, non vengono ripartite e determinano un incremento del fondo di cui al</w:t>
      </w:r>
      <w:r w:rsidR="004937DE">
        <w:t>l’</w:t>
      </w:r>
      <w:r>
        <w:t>art. 2 del presente regolamento.</w:t>
      </w:r>
    </w:p>
    <w:p w:rsidR="004937DE" w:rsidRPr="004937DE" w:rsidRDefault="004937DE" w:rsidP="004937DE">
      <w:pPr>
        <w:autoSpaceDE w:val="0"/>
        <w:autoSpaceDN w:val="0"/>
        <w:adjustRightInd w:val="0"/>
        <w:jc w:val="both"/>
      </w:pPr>
      <w:r>
        <w:t>4</w:t>
      </w:r>
      <w:r w:rsidRPr="004937DE">
        <w:t>. Gli incentivi corrisposti nell’anno al singolo dipendente, anche da diverse amministrazioni, non possono in ogni caso superare il 50% del trattamento economico complessivo annuo lordo.</w:t>
      </w:r>
    </w:p>
    <w:p w:rsidR="00494054" w:rsidRDefault="00494054" w:rsidP="00142BB4">
      <w:pPr>
        <w:autoSpaceDE w:val="0"/>
        <w:autoSpaceDN w:val="0"/>
        <w:adjustRightInd w:val="0"/>
        <w:jc w:val="both"/>
      </w:pPr>
    </w:p>
    <w:p w:rsidR="004B77AF" w:rsidRPr="00BF3D3B" w:rsidRDefault="00BF3D3B" w:rsidP="00BF3D3B">
      <w:pPr>
        <w:autoSpaceDE w:val="0"/>
        <w:autoSpaceDN w:val="0"/>
        <w:adjustRightInd w:val="0"/>
        <w:jc w:val="center"/>
        <w:rPr>
          <w:b/>
        </w:rPr>
      </w:pPr>
      <w:r w:rsidRPr="00BF3D3B">
        <w:rPr>
          <w:b/>
        </w:rPr>
        <w:t xml:space="preserve">Art. </w:t>
      </w:r>
      <w:r w:rsidR="00017915">
        <w:rPr>
          <w:b/>
        </w:rPr>
        <w:t>7</w:t>
      </w:r>
      <w:r w:rsidRPr="00BF3D3B">
        <w:rPr>
          <w:b/>
        </w:rPr>
        <w:t xml:space="preserve"> - </w:t>
      </w:r>
      <w:r w:rsidR="004B77AF" w:rsidRPr="00BF3D3B">
        <w:rPr>
          <w:b/>
        </w:rPr>
        <w:t>Termini temporali e penalità</w:t>
      </w:r>
    </w:p>
    <w:p w:rsidR="00BF3D3B" w:rsidRDefault="00BF3D3B" w:rsidP="004B77AF">
      <w:pPr>
        <w:autoSpaceDE w:val="0"/>
        <w:autoSpaceDN w:val="0"/>
        <w:adjustRightInd w:val="0"/>
        <w:jc w:val="both"/>
      </w:pPr>
    </w:p>
    <w:p w:rsidR="004B77AF" w:rsidRPr="004B77AF" w:rsidRDefault="004B77AF" w:rsidP="004B77AF">
      <w:pPr>
        <w:autoSpaceDE w:val="0"/>
        <w:autoSpaceDN w:val="0"/>
        <w:adjustRightInd w:val="0"/>
        <w:jc w:val="both"/>
      </w:pPr>
      <w:r w:rsidRPr="004B77AF">
        <w:t xml:space="preserve">1. Nel provvedimento di </w:t>
      </w:r>
      <w:r w:rsidR="004937DE">
        <w:t>affidamento delle funzioni tecniche</w:t>
      </w:r>
      <w:r w:rsidR="0075634D">
        <w:t xml:space="preserve"> di cui al precedente art. 4</w:t>
      </w:r>
      <w:r w:rsidRPr="004B77AF">
        <w:t xml:space="preserve"> devono essere indicati, su</w:t>
      </w:r>
      <w:r w:rsidR="006B3576">
        <w:t xml:space="preserve"> </w:t>
      </w:r>
      <w:r w:rsidRPr="004B77AF">
        <w:t xml:space="preserve">proposta del responsabile </w:t>
      </w:r>
      <w:r w:rsidR="0012533F">
        <w:t xml:space="preserve">unico </w:t>
      </w:r>
      <w:r w:rsidRPr="004B77AF">
        <w:t>del procedimento, i termini entro i quali devono essere eseguite le</w:t>
      </w:r>
      <w:r w:rsidR="006B3576">
        <w:t xml:space="preserve"> </w:t>
      </w:r>
      <w:r w:rsidRPr="004B77AF">
        <w:t xml:space="preserve">prestazioni. </w:t>
      </w:r>
    </w:p>
    <w:p w:rsidR="004B77AF" w:rsidRPr="004B77AF" w:rsidRDefault="004937DE" w:rsidP="004B77AF">
      <w:pPr>
        <w:autoSpaceDE w:val="0"/>
        <w:autoSpaceDN w:val="0"/>
        <w:adjustRightInd w:val="0"/>
        <w:jc w:val="both"/>
      </w:pPr>
      <w:r>
        <w:t>2</w:t>
      </w:r>
      <w:r w:rsidR="004B77AF" w:rsidRPr="004B77AF">
        <w:t xml:space="preserve">. Il responsabile </w:t>
      </w:r>
      <w:r w:rsidR="0012533F">
        <w:t xml:space="preserve">unico </w:t>
      </w:r>
      <w:r w:rsidR="004B77AF" w:rsidRPr="004B77AF">
        <w:t>del procedimento cura la tempestiva attivazione delle strutture e dei soggetti</w:t>
      </w:r>
      <w:r w:rsidR="006B3576">
        <w:t xml:space="preserve"> </w:t>
      </w:r>
      <w:r w:rsidR="004B77AF" w:rsidRPr="004B77AF">
        <w:t>interessati all'esecuzione delle prestazioni.</w:t>
      </w:r>
    </w:p>
    <w:p w:rsidR="004B77AF" w:rsidRDefault="004937DE" w:rsidP="004B77AF">
      <w:pPr>
        <w:autoSpaceDE w:val="0"/>
        <w:autoSpaceDN w:val="0"/>
        <w:adjustRightInd w:val="0"/>
        <w:jc w:val="both"/>
      </w:pPr>
      <w:r>
        <w:t>3</w:t>
      </w:r>
      <w:r w:rsidR="004B77AF" w:rsidRPr="004B77AF">
        <w:t>. Qualora, durante l'esecuzione d</w:t>
      </w:r>
      <w:r>
        <w:t>ell</w:t>
      </w:r>
      <w:r w:rsidR="00243DD1">
        <w:t xml:space="preserve">a singola </w:t>
      </w:r>
      <w:r>
        <w:t>opera o lavoro</w:t>
      </w:r>
      <w:r w:rsidR="00243DD1">
        <w:t>,</w:t>
      </w:r>
      <w:r w:rsidR="000F0EF9">
        <w:t xml:space="preserve"> nonché servizi e forniture,</w:t>
      </w:r>
      <w:r>
        <w:t xml:space="preserve"> </w:t>
      </w:r>
      <w:r w:rsidR="00243DD1">
        <w:t xml:space="preserve">dovessero verificarsi incrementi </w:t>
      </w:r>
      <w:r w:rsidR="0012533F">
        <w:t>dei tempi o dei costi non conformi alle norme del codice</w:t>
      </w:r>
      <w:r w:rsidR="000F0EF9">
        <w:t>, e comunque superiore al 10% del tempi previsti</w:t>
      </w:r>
      <w:r w:rsidR="00243DD1">
        <w:t xml:space="preserve">, le risorse del fondo destinate </w:t>
      </w:r>
      <w:r w:rsidR="0012533F">
        <w:t>alle</w:t>
      </w:r>
      <w:r w:rsidR="00243DD1">
        <w:t xml:space="preserve"> funzioni tecniche </w:t>
      </w:r>
      <w:r w:rsidR="0012533F">
        <w:t>svolte dai dipendenti per le</w:t>
      </w:r>
      <w:r w:rsidR="00243DD1">
        <w:t xml:space="preserve"> relative attività non saranno ripartite tra i soggetti interessati</w:t>
      </w:r>
      <w:r w:rsidR="0012533F">
        <w:t xml:space="preserve"> determinando economie di spesa</w:t>
      </w:r>
      <w:r w:rsidR="0012533F" w:rsidRPr="00047F1E">
        <w:t>.</w:t>
      </w:r>
    </w:p>
    <w:p w:rsidR="00C01835" w:rsidRDefault="00C01835" w:rsidP="004B77AF">
      <w:pPr>
        <w:autoSpaceDE w:val="0"/>
        <w:autoSpaceDN w:val="0"/>
        <w:adjustRightInd w:val="0"/>
        <w:jc w:val="both"/>
      </w:pPr>
    </w:p>
    <w:p w:rsidR="00C01835" w:rsidRPr="00C01835" w:rsidRDefault="00C01835" w:rsidP="00C01835">
      <w:pPr>
        <w:autoSpaceDE w:val="0"/>
        <w:autoSpaceDN w:val="0"/>
        <w:adjustRightInd w:val="0"/>
        <w:jc w:val="center"/>
        <w:rPr>
          <w:b/>
        </w:rPr>
      </w:pPr>
      <w:r w:rsidRPr="00C01835">
        <w:rPr>
          <w:b/>
        </w:rPr>
        <w:t>Art. 8 – Centrale di Committenza</w:t>
      </w:r>
    </w:p>
    <w:p w:rsidR="00C01835" w:rsidRDefault="00C01835" w:rsidP="00C01835">
      <w:pPr>
        <w:autoSpaceDE w:val="0"/>
        <w:autoSpaceDN w:val="0"/>
        <w:adjustRightInd w:val="0"/>
        <w:jc w:val="center"/>
      </w:pPr>
    </w:p>
    <w:p w:rsidR="00C01835" w:rsidRDefault="00C01835" w:rsidP="00C01835">
      <w:pPr>
        <w:autoSpaceDE w:val="0"/>
        <w:autoSpaceDN w:val="0"/>
        <w:adjustRightInd w:val="0"/>
        <w:jc w:val="both"/>
      </w:pPr>
      <w:r w:rsidRPr="00C01835">
        <w:rPr>
          <w:color w:val="000000"/>
          <w:shd w:val="clear" w:color="auto" w:fill="F5FDFE"/>
        </w:rPr>
        <w:t> Per i compiti svolti dal personale di una centrale unica di committenza nell'espletamento di procedure di acquisizione di lavori, servizi e forniture per conto di altri enti, può essere riconosciuta, su richiesta della centrale unica di committenza, una quota parte, non superiore ad un quarto, dell'incentivo previsto da</w:t>
      </w:r>
      <w:r>
        <w:rPr>
          <w:color w:val="000000"/>
          <w:shd w:val="clear" w:color="auto" w:fill="F5FDFE"/>
        </w:rPr>
        <w:t>l presente regolamento.</w:t>
      </w:r>
    </w:p>
    <w:p w:rsidR="00BF3D3B" w:rsidRDefault="00BF3D3B" w:rsidP="004B77AF">
      <w:pPr>
        <w:autoSpaceDE w:val="0"/>
        <w:autoSpaceDN w:val="0"/>
        <w:adjustRightInd w:val="0"/>
        <w:jc w:val="both"/>
      </w:pPr>
    </w:p>
    <w:p w:rsidR="004B77AF" w:rsidRDefault="004B77AF" w:rsidP="00EB59C8">
      <w:pPr>
        <w:autoSpaceDE w:val="0"/>
        <w:autoSpaceDN w:val="0"/>
        <w:adjustRightInd w:val="0"/>
        <w:jc w:val="center"/>
        <w:rPr>
          <w:b/>
        </w:rPr>
      </w:pPr>
      <w:r w:rsidRPr="00EB59C8">
        <w:rPr>
          <w:b/>
        </w:rPr>
        <w:t xml:space="preserve">Articolo </w:t>
      </w:r>
      <w:r w:rsidR="00C01835">
        <w:rPr>
          <w:b/>
        </w:rPr>
        <w:t>9</w:t>
      </w:r>
      <w:r w:rsidR="00EB59C8" w:rsidRPr="00EB59C8">
        <w:rPr>
          <w:b/>
        </w:rPr>
        <w:t xml:space="preserve"> – </w:t>
      </w:r>
      <w:r w:rsidRPr="00EB59C8">
        <w:rPr>
          <w:b/>
        </w:rPr>
        <w:t>Dis</w:t>
      </w:r>
      <w:r w:rsidR="00EB59C8" w:rsidRPr="00EB59C8">
        <w:rPr>
          <w:b/>
        </w:rPr>
        <w:t>ciplina transitoria</w:t>
      </w:r>
      <w:r w:rsidR="00EB59C8">
        <w:rPr>
          <w:b/>
        </w:rPr>
        <w:t xml:space="preserve"> ed entrata in vigore</w:t>
      </w:r>
    </w:p>
    <w:p w:rsidR="00EB59C8" w:rsidRPr="00EB59C8" w:rsidRDefault="00EB59C8" w:rsidP="00EB59C8">
      <w:pPr>
        <w:autoSpaceDE w:val="0"/>
        <w:autoSpaceDN w:val="0"/>
        <w:adjustRightInd w:val="0"/>
        <w:jc w:val="center"/>
        <w:rPr>
          <w:b/>
        </w:rPr>
      </w:pPr>
    </w:p>
    <w:p w:rsidR="004B77AF" w:rsidRPr="000618F2" w:rsidRDefault="00EB59C8" w:rsidP="004B77AF">
      <w:pPr>
        <w:autoSpaceDE w:val="0"/>
        <w:autoSpaceDN w:val="0"/>
        <w:adjustRightInd w:val="0"/>
        <w:jc w:val="both"/>
      </w:pPr>
      <w:r w:rsidRPr="000618F2">
        <w:t xml:space="preserve">1. </w:t>
      </w:r>
      <w:r w:rsidR="004B77AF" w:rsidRPr="000618F2">
        <w:t xml:space="preserve">Le norme di cui al presente regolamento non si applicano </w:t>
      </w:r>
      <w:r w:rsidR="005271EA" w:rsidRPr="000618F2">
        <w:t>agli incentivi legati all’attività di progettazione interna, spettanti ai dipendenti incaricati ed ai loro collaborat</w:t>
      </w:r>
      <w:r w:rsidR="00A75584">
        <w:t xml:space="preserve">ori, per le attività inerenti </w:t>
      </w:r>
      <w:r w:rsidR="005271EA" w:rsidRPr="000618F2">
        <w:lastRenderedPageBreak/>
        <w:t xml:space="preserve">le opere affidate o disposte fino </w:t>
      </w:r>
      <w:r w:rsidR="00361EB8" w:rsidRPr="000618F2">
        <w:t>alla data di entrata in vigore della legge di conversione del D.L. 90/2014,</w:t>
      </w:r>
      <w:r w:rsidR="005271EA" w:rsidRPr="000618F2">
        <w:t xml:space="preserve"> </w:t>
      </w:r>
      <w:r w:rsidR="006523FE" w:rsidRPr="000618F2">
        <w:t xml:space="preserve">ovvero fino al 18 agosto 2014, </w:t>
      </w:r>
      <w:r w:rsidR="00361EB8" w:rsidRPr="000618F2">
        <w:t xml:space="preserve">che saranno erogati secondo la disciplina </w:t>
      </w:r>
      <w:r w:rsidR="006523FE" w:rsidRPr="000618F2">
        <w:t>di cui all’</w:t>
      </w:r>
      <w:r w:rsidR="00361EB8" w:rsidRPr="000618F2">
        <w:t xml:space="preserve">ex. art. 92, commi 5 e 6, del D. Lgs. n. 163/2006 e </w:t>
      </w:r>
      <w:r w:rsidR="005271EA" w:rsidRPr="000618F2">
        <w:t>sulla base dei criteri previsti nel</w:t>
      </w:r>
      <w:r w:rsidR="005E04C3">
        <w:t>l’apposito Regolamento Comunale.</w:t>
      </w:r>
      <w:r w:rsidR="004B77AF" w:rsidRPr="000618F2">
        <w:t xml:space="preserve"> </w:t>
      </w:r>
    </w:p>
    <w:p w:rsidR="006523FE" w:rsidRPr="000618F2" w:rsidRDefault="006523FE" w:rsidP="004B77AF">
      <w:pPr>
        <w:autoSpaceDE w:val="0"/>
        <w:autoSpaceDN w:val="0"/>
        <w:adjustRightInd w:val="0"/>
        <w:jc w:val="both"/>
      </w:pPr>
      <w:r w:rsidRPr="000618F2">
        <w:t>2. Le norme di cui al presente regolame</w:t>
      </w:r>
      <w:r w:rsidR="00A75584">
        <w:t>nto non si</w:t>
      </w:r>
      <w:r w:rsidRPr="000618F2">
        <w:t xml:space="preserve"> applica</w:t>
      </w:r>
      <w:r w:rsidR="00A75584">
        <w:t>no</w:t>
      </w:r>
      <w:r w:rsidRPr="000618F2">
        <w:t xml:space="preserve"> altresì agli incentivi per incarichi di progettazione di opere affidati o disposti successivamente alla data di entrata in vigore della legge di conversione del D.L. 90/2014, ovvero dal 19 agosto 2014 e fino al 18 aprile 2016, data di pubblicazione del D. </w:t>
      </w:r>
      <w:proofErr w:type="spellStart"/>
      <w:r w:rsidRPr="000618F2">
        <w:t>Lgs</w:t>
      </w:r>
      <w:proofErr w:type="spellEnd"/>
      <w:r w:rsidRPr="000618F2">
        <w:t xml:space="preserve">. n. 50/2016, che saranno erogati secondo la disciplina di cui all’ex. art. 13-bis del D.L. n. 90/2014, convertito, con modificazioni, nella L.  n. 114/2014, e sulla base dei criteri previsti nell’apposito </w:t>
      </w:r>
      <w:r w:rsidR="005E04C3">
        <w:t>Regolamento Comunale.</w:t>
      </w:r>
      <w:r w:rsidRPr="000618F2">
        <w:t xml:space="preserve"> </w:t>
      </w:r>
    </w:p>
    <w:p w:rsidR="004B77AF" w:rsidRDefault="00EB59C8" w:rsidP="006B3576">
      <w:pPr>
        <w:autoSpaceDE w:val="0"/>
        <w:autoSpaceDN w:val="0"/>
        <w:adjustRightInd w:val="0"/>
        <w:jc w:val="both"/>
      </w:pPr>
      <w:r w:rsidRPr="000618F2">
        <w:t>2</w:t>
      </w:r>
      <w:r w:rsidR="004B77AF" w:rsidRPr="000618F2">
        <w:t xml:space="preserve">. Il presente regolamento </w:t>
      </w:r>
      <w:r w:rsidR="00361EB8" w:rsidRPr="000618F2">
        <w:t>si applica</w:t>
      </w:r>
      <w:r w:rsidR="009E24AF" w:rsidRPr="000618F2">
        <w:t>, invece,</w:t>
      </w:r>
      <w:r w:rsidR="00361EB8" w:rsidRPr="000618F2">
        <w:t xml:space="preserve"> a</w:t>
      </w:r>
      <w:r w:rsidR="006523FE" w:rsidRPr="000618F2">
        <w:t>lle funzioni tecniche di cui all’art. 1, comma 2, del presente regolamento,</w:t>
      </w:r>
      <w:r w:rsidR="00361EB8" w:rsidRPr="000618F2">
        <w:t xml:space="preserve"> affidat</w:t>
      </w:r>
      <w:r w:rsidR="00047F1E">
        <w:t>e</w:t>
      </w:r>
      <w:r w:rsidR="00361EB8" w:rsidRPr="000618F2">
        <w:t xml:space="preserve"> successivamente alla data di entrata in vigore della </w:t>
      </w:r>
      <w:r w:rsidR="000618F2" w:rsidRPr="000618F2">
        <w:t xml:space="preserve">D. </w:t>
      </w:r>
      <w:proofErr w:type="spellStart"/>
      <w:r w:rsidR="000618F2" w:rsidRPr="000618F2">
        <w:t>Lgs</w:t>
      </w:r>
      <w:proofErr w:type="spellEnd"/>
      <w:r w:rsidR="000618F2" w:rsidRPr="000618F2">
        <w:t>. n. 50/2016, ovvero dal 19/04/2016,</w:t>
      </w:r>
      <w:r w:rsidR="00361EB8" w:rsidRPr="000618F2">
        <w:t xml:space="preserve"> ed </w:t>
      </w:r>
      <w:r w:rsidR="004B77AF" w:rsidRPr="000618F2">
        <w:t>entra in vigore il quindicesimo giorno successivo alla sua</w:t>
      </w:r>
      <w:r w:rsidR="006B3576" w:rsidRPr="000618F2">
        <w:t xml:space="preserve"> </w:t>
      </w:r>
      <w:r w:rsidR="004B77AF" w:rsidRPr="000618F2">
        <w:t>pubblicazione all’Albo Pretorio, pubblicazione che segue all</w:t>
      </w:r>
      <w:r w:rsidRPr="000618F2">
        <w:t>’</w:t>
      </w:r>
      <w:r w:rsidR="004B77AF" w:rsidRPr="000618F2">
        <w:t>avvenuta esecutività ai sensi di</w:t>
      </w:r>
      <w:r w:rsidR="006B3576" w:rsidRPr="000618F2">
        <w:t xml:space="preserve"> </w:t>
      </w:r>
      <w:r w:rsidR="004B77AF" w:rsidRPr="000618F2">
        <w:t>legge della deliberazione di adozione.</w:t>
      </w:r>
    </w:p>
    <w:sectPr w:rsidR="004B77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7B01"/>
    <w:multiLevelType w:val="hybridMultilevel"/>
    <w:tmpl w:val="F7B0B798"/>
    <w:lvl w:ilvl="0" w:tplc="C29EC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C09"/>
    <w:multiLevelType w:val="hybridMultilevel"/>
    <w:tmpl w:val="43BAB1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F457F"/>
    <w:multiLevelType w:val="hybridMultilevel"/>
    <w:tmpl w:val="AE9C2D6A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D6396"/>
    <w:multiLevelType w:val="hybridMultilevel"/>
    <w:tmpl w:val="57A267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87383"/>
    <w:multiLevelType w:val="hybridMultilevel"/>
    <w:tmpl w:val="A44206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04521"/>
    <w:multiLevelType w:val="hybridMultilevel"/>
    <w:tmpl w:val="82F2DD8C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64644"/>
    <w:multiLevelType w:val="hybridMultilevel"/>
    <w:tmpl w:val="7D6E4762"/>
    <w:lvl w:ilvl="0" w:tplc="DFCC20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A4450"/>
    <w:multiLevelType w:val="hybridMultilevel"/>
    <w:tmpl w:val="02F0F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E0441"/>
    <w:multiLevelType w:val="hybridMultilevel"/>
    <w:tmpl w:val="D8024758"/>
    <w:lvl w:ilvl="0" w:tplc="C51C6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E6374"/>
    <w:multiLevelType w:val="hybridMultilevel"/>
    <w:tmpl w:val="3468F5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06A74"/>
    <w:multiLevelType w:val="hybridMultilevel"/>
    <w:tmpl w:val="2598A0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75590"/>
    <w:multiLevelType w:val="hybridMultilevel"/>
    <w:tmpl w:val="D5F0E942"/>
    <w:lvl w:ilvl="0" w:tplc="F81AAB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11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AF"/>
    <w:rsid w:val="0001535A"/>
    <w:rsid w:val="00017915"/>
    <w:rsid w:val="00047F1E"/>
    <w:rsid w:val="00050C89"/>
    <w:rsid w:val="000618F2"/>
    <w:rsid w:val="00080DE9"/>
    <w:rsid w:val="000A774D"/>
    <w:rsid w:val="000B41AE"/>
    <w:rsid w:val="000F0EF9"/>
    <w:rsid w:val="00107287"/>
    <w:rsid w:val="0011297C"/>
    <w:rsid w:val="0012533F"/>
    <w:rsid w:val="00142BB4"/>
    <w:rsid w:val="001D3C34"/>
    <w:rsid w:val="00207AF3"/>
    <w:rsid w:val="00216269"/>
    <w:rsid w:val="00243DD1"/>
    <w:rsid w:val="00303165"/>
    <w:rsid w:val="00317E5B"/>
    <w:rsid w:val="00326E2C"/>
    <w:rsid w:val="00356EE7"/>
    <w:rsid w:val="00361EB8"/>
    <w:rsid w:val="00363925"/>
    <w:rsid w:val="0037615C"/>
    <w:rsid w:val="003D3029"/>
    <w:rsid w:val="003F17DB"/>
    <w:rsid w:val="004065BD"/>
    <w:rsid w:val="00466650"/>
    <w:rsid w:val="004937DE"/>
    <w:rsid w:val="00494054"/>
    <w:rsid w:val="00497CF6"/>
    <w:rsid w:val="004A62E5"/>
    <w:rsid w:val="004B77AF"/>
    <w:rsid w:val="004C09EB"/>
    <w:rsid w:val="00511DFF"/>
    <w:rsid w:val="005271EA"/>
    <w:rsid w:val="005A1AA4"/>
    <w:rsid w:val="005D45E3"/>
    <w:rsid w:val="005E04C3"/>
    <w:rsid w:val="006523FE"/>
    <w:rsid w:val="00663A11"/>
    <w:rsid w:val="006A5534"/>
    <w:rsid w:val="006B3576"/>
    <w:rsid w:val="006C2711"/>
    <w:rsid w:val="00745A27"/>
    <w:rsid w:val="0075634D"/>
    <w:rsid w:val="007B17A6"/>
    <w:rsid w:val="007B74D7"/>
    <w:rsid w:val="007E4D12"/>
    <w:rsid w:val="008008BC"/>
    <w:rsid w:val="0082366B"/>
    <w:rsid w:val="00862F54"/>
    <w:rsid w:val="008867CA"/>
    <w:rsid w:val="008D2AF5"/>
    <w:rsid w:val="00932AA5"/>
    <w:rsid w:val="00985F1B"/>
    <w:rsid w:val="009A4454"/>
    <w:rsid w:val="009B5D65"/>
    <w:rsid w:val="009C4891"/>
    <w:rsid w:val="009E24AF"/>
    <w:rsid w:val="009E5AD8"/>
    <w:rsid w:val="00A16571"/>
    <w:rsid w:val="00A207AF"/>
    <w:rsid w:val="00A75584"/>
    <w:rsid w:val="00AA466E"/>
    <w:rsid w:val="00AD76F7"/>
    <w:rsid w:val="00B22FD8"/>
    <w:rsid w:val="00B71284"/>
    <w:rsid w:val="00B86BC0"/>
    <w:rsid w:val="00BA6DB7"/>
    <w:rsid w:val="00BF3D3B"/>
    <w:rsid w:val="00C01835"/>
    <w:rsid w:val="00C057A8"/>
    <w:rsid w:val="00C46A0C"/>
    <w:rsid w:val="00C565E8"/>
    <w:rsid w:val="00D04217"/>
    <w:rsid w:val="00D13C8F"/>
    <w:rsid w:val="00D256D7"/>
    <w:rsid w:val="00D70141"/>
    <w:rsid w:val="00D9202C"/>
    <w:rsid w:val="00DA1385"/>
    <w:rsid w:val="00DA3017"/>
    <w:rsid w:val="00DB573A"/>
    <w:rsid w:val="00E20D42"/>
    <w:rsid w:val="00E66E03"/>
    <w:rsid w:val="00EB59C8"/>
    <w:rsid w:val="00EE0CE9"/>
    <w:rsid w:val="00F20ACF"/>
    <w:rsid w:val="00F71F85"/>
    <w:rsid w:val="00F9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14642-8520-4D52-AEBE-15A6E9A2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E0C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rsid w:val="00DA301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DA3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d01.leggiditalia.it/cgi-bin/FulShow?TIPO=5&amp;NOTXT=1&amp;KEY=01LX0000109979ART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01.leggiditalia.it/cgi-bin/FulShow?TIPO=5&amp;NOTXT=1&amp;KEY=01LX0000109979ART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180A0-FB9F-450B-8357-D54902A1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SolWeb srl</Company>
  <LinksUpToDate>false</LinksUpToDate>
  <CharactersWithSpaces>10941</CharactersWithSpaces>
  <SharedDoc>false</SharedDoc>
  <HLinks>
    <vt:vector size="12" baseType="variant">
      <vt:variant>
        <vt:i4>6029398</vt:i4>
      </vt:variant>
      <vt:variant>
        <vt:i4>3</vt:i4>
      </vt:variant>
      <vt:variant>
        <vt:i4>0</vt:i4>
      </vt:variant>
      <vt:variant>
        <vt:i4>5</vt:i4>
      </vt:variant>
      <vt:variant>
        <vt:lpwstr>http://bd01.leggiditalia.it/cgi-bin/FulShow?TIPO=5&amp;NOTXT=1&amp;KEY=01LX0000109979ART0</vt:lpwstr>
      </vt:variant>
      <vt:variant>
        <vt:lpwstr/>
      </vt:variant>
      <vt:variant>
        <vt:i4>6553703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http://bd01.leggiditalia.it/cgi-bin/FulShow?TIPO=5&amp;NOTXT=1&amp;KEY=01LX0000109979ART18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Sisma1</dc:creator>
  <cp:keywords/>
  <cp:lastModifiedBy>SEG</cp:lastModifiedBy>
  <cp:revision>2</cp:revision>
  <cp:lastPrinted>2017-11-17T15:52:00Z</cp:lastPrinted>
  <dcterms:created xsi:type="dcterms:W3CDTF">2018-09-05T11:33:00Z</dcterms:created>
  <dcterms:modified xsi:type="dcterms:W3CDTF">2018-09-05T11:33:00Z</dcterms:modified>
</cp:coreProperties>
</file>