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6B" w:rsidRDefault="0031696B" w:rsidP="00D52378">
      <w:pPr>
        <w:pStyle w:val="Corpotesto"/>
        <w:ind w:left="1276"/>
        <w:rPr>
          <w:sz w:val="20"/>
        </w:rPr>
      </w:pPr>
    </w:p>
    <w:p w:rsidR="0031696B" w:rsidRDefault="0031696B" w:rsidP="00D52378">
      <w:pPr>
        <w:pStyle w:val="Corpotesto"/>
        <w:spacing w:before="9"/>
        <w:ind w:left="1276"/>
        <w:rPr>
          <w:sz w:val="16"/>
        </w:rPr>
      </w:pPr>
    </w:p>
    <w:p w:rsidR="001F58E6" w:rsidRDefault="00BF5BD9" w:rsidP="001F58E6">
      <w:pPr>
        <w:overflowPunct w:val="0"/>
        <w:adjustRightInd w:val="0"/>
        <w:ind w:left="142" w:hanging="1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85090</wp:posOffset>
                </wp:positionV>
                <wp:extent cx="5029200" cy="798195"/>
                <wp:effectExtent l="0" t="0" r="0" b="1905"/>
                <wp:wrapSquare wrapText="bothSides"/>
                <wp:docPr id="67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73E" w:rsidRDefault="00A8073E" w:rsidP="00BF5BD9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sz w:val="48"/>
                                <w:szCs w:val="48"/>
                                <w:lang w:val="it-IT"/>
                              </w:rPr>
                            </w:pPr>
                            <w:r w:rsidRPr="00A8073E">
                              <w:rPr>
                                <w:sz w:val="48"/>
                                <w:szCs w:val="48"/>
                                <w:lang w:val="it-IT"/>
                              </w:rPr>
                              <w:t>COMUNE DI MICIGLIANO</w:t>
                            </w:r>
                          </w:p>
                          <w:p w:rsidR="00A8073E" w:rsidRPr="00A8073E" w:rsidRDefault="00A8073E" w:rsidP="00BF5BD9">
                            <w:pPr>
                              <w:overflowPunct w:val="0"/>
                              <w:adjustRightInd w:val="0"/>
                              <w:jc w:val="center"/>
                              <w:rPr>
                                <w:lang w:val="it-IT"/>
                              </w:rPr>
                            </w:pPr>
                            <w:r w:rsidRPr="00A8073E">
                              <w:rPr>
                                <w:sz w:val="44"/>
                                <w:szCs w:val="44"/>
                                <w:lang w:val="it-IT"/>
                              </w:rPr>
                              <w:t>PROV. DI RIETI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5.45pt;margin-top:6.7pt;width:396pt;height:6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" stroked="f">
                <v:textbox>
                  <w:txbxContent>
                    <w:p w:rsidR="00A8073E" w:rsidRDefault="00A8073E" w:rsidP="00BF5BD9">
                      <w:pPr>
                        <w:overflowPunct w:val="0"/>
                        <w:adjustRightInd w:val="0"/>
                        <w:jc w:val="center"/>
                        <w:rPr>
                          <w:sz w:val="48"/>
                          <w:szCs w:val="48"/>
                          <w:lang w:val="it-IT"/>
                        </w:rPr>
                      </w:pPr>
                      <w:r w:rsidRPr="00A8073E">
                        <w:rPr>
                          <w:sz w:val="48"/>
                          <w:szCs w:val="48"/>
                          <w:lang w:val="it-IT"/>
                        </w:rPr>
                        <w:t>COMUNE DI MICIGLIANO</w:t>
                      </w:r>
                    </w:p>
                    <w:p w:rsidR="00A8073E" w:rsidRPr="00A8073E" w:rsidRDefault="00A8073E" w:rsidP="00BF5BD9">
                      <w:pPr>
                        <w:overflowPunct w:val="0"/>
                        <w:adjustRightInd w:val="0"/>
                        <w:jc w:val="center"/>
                        <w:rPr>
                          <w:lang w:val="it-IT"/>
                        </w:rPr>
                      </w:pPr>
                      <w:r w:rsidRPr="00A8073E">
                        <w:rPr>
                          <w:sz w:val="44"/>
                          <w:szCs w:val="44"/>
                          <w:lang w:val="it-IT"/>
                        </w:rPr>
                        <w:t>PROV. DI RIETI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73E" w:rsidRPr="00A8073E">
        <w:rPr>
          <w:rFonts w:ascii="Arial" w:hAnsi="Arial" w:cs="Arial"/>
          <w:sz w:val="20"/>
          <w:szCs w:val="20"/>
          <w:lang w:val="it-IT"/>
        </w:rPr>
        <w:t xml:space="preserve"> </w:t>
      </w:r>
      <w:r w:rsidR="00A8073E">
        <w:rPr>
          <w:rFonts w:ascii="Arial" w:hAnsi="Arial" w:cs="Arial"/>
          <w:sz w:val="20"/>
          <w:szCs w:val="20"/>
          <w:lang w:val="it-IT"/>
        </w:rPr>
        <w:t xml:space="preserve">       </w:t>
      </w:r>
      <w:r w:rsidR="00A8073E" w:rsidRPr="00A8073E">
        <w:rPr>
          <w:rFonts w:ascii="Arial" w:hAnsi="Arial" w:cs="Arial"/>
          <w:sz w:val="20"/>
          <w:szCs w:val="20"/>
          <w:lang w:val="it-IT"/>
        </w:rPr>
        <w:t xml:space="preserve"> </w:t>
      </w:r>
      <w:r w:rsidR="00A8073E">
        <w:rPr>
          <w:rFonts w:ascii="Arial" w:hAnsi="Arial" w:cs="Arial"/>
          <w:sz w:val="20"/>
          <w:szCs w:val="20"/>
          <w:lang w:val="it-IT"/>
        </w:rPr>
        <w:t xml:space="preserve">   </w:t>
      </w:r>
      <w:r w:rsidR="00A8073E">
        <w:rPr>
          <w:rFonts w:ascii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1FE71904" wp14:editId="7FB773E8">
            <wp:extent cx="790575" cy="962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73E">
        <w:rPr>
          <w:rFonts w:ascii="Arial" w:hAnsi="Arial" w:cs="Arial"/>
          <w:sz w:val="20"/>
          <w:szCs w:val="20"/>
          <w:lang w:val="it-IT"/>
        </w:rPr>
        <w:t xml:space="preserve">     </w:t>
      </w:r>
      <w:r w:rsidR="001F58E6">
        <w:rPr>
          <w:rFonts w:ascii="Arial" w:hAnsi="Arial" w:cs="Arial"/>
          <w:sz w:val="20"/>
          <w:szCs w:val="20"/>
          <w:lang w:val="it-IT"/>
        </w:rPr>
        <w:t xml:space="preserve">   </w:t>
      </w:r>
    </w:p>
    <w:p w:rsidR="00A8073E" w:rsidRPr="00A8073E" w:rsidRDefault="001F58E6" w:rsidP="001F58E6">
      <w:pPr>
        <w:overflowPunct w:val="0"/>
        <w:adjustRightInd w:val="0"/>
        <w:ind w:left="142" w:hanging="1"/>
        <w:rPr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</w:t>
      </w:r>
      <w:r w:rsidR="00A8073E" w:rsidRPr="00A8073E">
        <w:rPr>
          <w:rFonts w:ascii="Arial" w:hAnsi="Arial" w:cs="Arial"/>
          <w:sz w:val="20"/>
          <w:szCs w:val="20"/>
          <w:lang w:val="it-IT"/>
        </w:rPr>
        <w:t>______________________________________________________________</w:t>
      </w:r>
      <w:r w:rsidR="00A8073E">
        <w:rPr>
          <w:rFonts w:ascii="Arial" w:hAnsi="Arial" w:cs="Arial"/>
          <w:sz w:val="20"/>
          <w:szCs w:val="20"/>
          <w:lang w:val="it-IT"/>
        </w:rPr>
        <w:t>___________________</w:t>
      </w:r>
      <w:r w:rsidR="00A8073E" w:rsidRPr="00A8073E">
        <w:rPr>
          <w:rFonts w:ascii="Arial" w:hAnsi="Arial" w:cs="Arial"/>
          <w:sz w:val="20"/>
          <w:szCs w:val="20"/>
          <w:lang w:val="it-IT"/>
        </w:rPr>
        <w:t xml:space="preserve">_____________         </w:t>
      </w:r>
      <w:r w:rsidR="00A8073E" w:rsidRPr="00A53435">
        <w:rPr>
          <w:sz w:val="40"/>
        </w:rPr>
        <w:fldChar w:fldCharType="begin"/>
      </w:r>
      <w:r w:rsidR="00A8073E" w:rsidRPr="00A8073E">
        <w:rPr>
          <w:sz w:val="40"/>
          <w:lang w:val="it-IT"/>
        </w:rPr>
        <w:instrText xml:space="preserve"> SUBJECT  \* HEBREW1 </w:instrText>
      </w:r>
      <w:r w:rsidR="00A8073E" w:rsidRPr="00A53435">
        <w:rPr>
          <w:sz w:val="40"/>
        </w:rPr>
        <w:fldChar w:fldCharType="end"/>
      </w:r>
    </w:p>
    <w:p w:rsidR="00A8073E" w:rsidRPr="00A8073E" w:rsidRDefault="00A8073E" w:rsidP="00D52378">
      <w:pPr>
        <w:overflowPunct w:val="0"/>
        <w:adjustRightInd w:val="0"/>
        <w:ind w:left="1276"/>
        <w:jc w:val="center"/>
        <w:rPr>
          <w:sz w:val="20"/>
          <w:lang w:val="it-IT"/>
        </w:rPr>
      </w:pPr>
      <w:r w:rsidRPr="00A8073E">
        <w:rPr>
          <w:sz w:val="20"/>
          <w:lang w:val="it-IT"/>
        </w:rPr>
        <w:t>Indirizzo: Via San Biagio n.1 - 02010 MICIGLIANO (</w:t>
      </w:r>
      <w:proofErr w:type="gramStart"/>
      <w:r w:rsidRPr="00A8073E">
        <w:rPr>
          <w:sz w:val="20"/>
          <w:lang w:val="it-IT"/>
        </w:rPr>
        <w:t xml:space="preserve">RI)   </w:t>
      </w:r>
      <w:proofErr w:type="gramEnd"/>
      <w:r w:rsidRPr="00A8073E">
        <w:rPr>
          <w:sz w:val="20"/>
          <w:lang w:val="it-IT"/>
        </w:rPr>
        <w:t xml:space="preserve"> </w:t>
      </w:r>
      <w:proofErr w:type="spellStart"/>
      <w:r w:rsidRPr="00A8073E">
        <w:rPr>
          <w:sz w:val="20"/>
          <w:lang w:val="it-IT"/>
        </w:rPr>
        <w:t>Tel</w:t>
      </w:r>
      <w:proofErr w:type="spellEnd"/>
      <w:r w:rsidRPr="00A8073E">
        <w:rPr>
          <w:sz w:val="20"/>
          <w:lang w:val="it-IT"/>
        </w:rPr>
        <w:t xml:space="preserve"> e Fax n.0746/577893         P.I. e C.F. 00113670574</w:t>
      </w:r>
    </w:p>
    <w:p w:rsidR="0031696B" w:rsidRPr="00A8073E" w:rsidRDefault="00A8073E" w:rsidP="00D52378">
      <w:pPr>
        <w:overflowPunct w:val="0"/>
        <w:adjustRightInd w:val="0"/>
        <w:ind w:left="1276"/>
        <w:jc w:val="center"/>
        <w:rPr>
          <w:i/>
          <w:lang w:val="it-IT"/>
        </w:rPr>
      </w:pPr>
      <w:r w:rsidRPr="00A8073E">
        <w:rPr>
          <w:sz w:val="20"/>
          <w:lang w:val="it-IT"/>
        </w:rPr>
        <w:t xml:space="preserve">E-Mail: </w:t>
      </w:r>
      <w:hyperlink r:id="rId6" w:history="1">
        <w:r w:rsidRPr="00A8073E">
          <w:rPr>
            <w:rStyle w:val="Collegamentoipertestuale"/>
            <w:sz w:val="20"/>
            <w:lang w:val="it-IT"/>
          </w:rPr>
          <w:t>tecnico.micigliano@libero.it</w:t>
        </w:r>
      </w:hyperlink>
      <w:r w:rsidRPr="00A8073E">
        <w:rPr>
          <w:sz w:val="20"/>
          <w:lang w:val="it-IT"/>
        </w:rPr>
        <w:t xml:space="preserve">     PEC: </w:t>
      </w:r>
      <w:hyperlink r:id="rId7" w:history="1">
        <w:r w:rsidRPr="00A8073E">
          <w:rPr>
            <w:rStyle w:val="Collegamentoipertestuale"/>
            <w:sz w:val="20"/>
            <w:lang w:val="it-IT"/>
          </w:rPr>
          <w:t>comune.micigliano.ri@legalmail.it</w:t>
        </w:r>
      </w:hyperlink>
    </w:p>
    <w:p w:rsidR="0031696B" w:rsidRPr="00A8073E" w:rsidRDefault="0031696B" w:rsidP="00D52378">
      <w:pPr>
        <w:pStyle w:val="Corpotesto"/>
        <w:ind w:left="1276"/>
        <w:rPr>
          <w:i/>
          <w:sz w:val="22"/>
          <w:lang w:val="it-IT"/>
        </w:rPr>
      </w:pPr>
    </w:p>
    <w:p w:rsidR="00D52378" w:rsidRPr="001F58E6" w:rsidRDefault="00D52378" w:rsidP="00D52378">
      <w:pPr>
        <w:tabs>
          <w:tab w:val="left" w:pos="1934"/>
        </w:tabs>
        <w:ind w:left="1276"/>
        <w:jc w:val="center"/>
        <w:rPr>
          <w:b/>
          <w:sz w:val="24"/>
          <w:szCs w:val="24"/>
          <w:lang w:val="it-IT"/>
        </w:rPr>
      </w:pPr>
      <w:r w:rsidRPr="001F58E6">
        <w:rPr>
          <w:b/>
          <w:sz w:val="24"/>
          <w:szCs w:val="24"/>
          <w:lang w:val="it-IT"/>
        </w:rPr>
        <w:t>BANDO DI GARA</w:t>
      </w:r>
    </w:p>
    <w:p w:rsid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</w:p>
    <w:p w:rsidR="00D52378" w:rsidRPr="00BD3AC7" w:rsidRDefault="00D52378" w:rsidP="00D52378">
      <w:pPr>
        <w:tabs>
          <w:tab w:val="left" w:pos="1934"/>
        </w:tabs>
        <w:ind w:left="1276"/>
        <w:rPr>
          <w:b/>
          <w:sz w:val="19"/>
          <w:lang w:val="it-IT"/>
        </w:rPr>
      </w:pPr>
      <w:r w:rsidRPr="00BD3AC7">
        <w:rPr>
          <w:b/>
          <w:sz w:val="19"/>
          <w:lang w:val="it-IT"/>
        </w:rPr>
        <w:t xml:space="preserve">SEZIONE I: AMMINISTRAZIONE AGGIUDICATRICE </w:t>
      </w:r>
    </w:p>
    <w:p w:rsidR="00D52378" w:rsidRPr="008716B9" w:rsidRDefault="003E1E74" w:rsidP="00D52378">
      <w:pPr>
        <w:tabs>
          <w:tab w:val="left" w:pos="1934"/>
        </w:tabs>
        <w:ind w:left="1276"/>
        <w:rPr>
          <w:b/>
          <w:sz w:val="19"/>
          <w:lang w:val="it-IT"/>
        </w:rPr>
      </w:pPr>
      <w:r>
        <w:rPr>
          <w:b/>
          <w:sz w:val="19"/>
          <w:lang w:val="it-IT"/>
        </w:rPr>
        <w:t>1</w:t>
      </w:r>
      <w:r w:rsidR="00D52378" w:rsidRPr="008716B9">
        <w:rPr>
          <w:b/>
          <w:sz w:val="19"/>
          <w:lang w:val="it-IT"/>
        </w:rPr>
        <w:t>.1) Denominazione e indirizzi</w:t>
      </w:r>
    </w:p>
    <w:p w:rsidR="00D52378" w:rsidRP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  <w:r w:rsidRPr="00D52378">
        <w:rPr>
          <w:sz w:val="19"/>
          <w:lang w:val="it-IT"/>
        </w:rPr>
        <w:t xml:space="preserve">Denominazione </w:t>
      </w:r>
      <w:r w:rsidR="00BD3AC7">
        <w:rPr>
          <w:sz w:val="19"/>
          <w:lang w:val="it-IT"/>
        </w:rPr>
        <w:t>COMUNE DI MICIGLIANO</w:t>
      </w:r>
    </w:p>
    <w:p w:rsidR="00D52378" w:rsidRP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  <w:r w:rsidRPr="00D52378">
        <w:rPr>
          <w:sz w:val="19"/>
          <w:lang w:val="it-IT"/>
        </w:rPr>
        <w:t xml:space="preserve">Indirizzo postale: Via </w:t>
      </w:r>
      <w:proofErr w:type="spellStart"/>
      <w:proofErr w:type="gramStart"/>
      <w:r w:rsidR="00BD3AC7">
        <w:rPr>
          <w:sz w:val="19"/>
          <w:lang w:val="it-IT"/>
        </w:rPr>
        <w:t>S.Biagio</w:t>
      </w:r>
      <w:proofErr w:type="spellEnd"/>
      <w:proofErr w:type="gramEnd"/>
      <w:r w:rsidRPr="00D52378">
        <w:rPr>
          <w:sz w:val="19"/>
          <w:lang w:val="it-IT"/>
        </w:rPr>
        <w:t xml:space="preserve">, </w:t>
      </w:r>
      <w:r w:rsidR="00BD3AC7">
        <w:rPr>
          <w:sz w:val="19"/>
          <w:lang w:val="it-IT"/>
        </w:rPr>
        <w:t xml:space="preserve">1 </w:t>
      </w:r>
    </w:p>
    <w:p w:rsidR="00D52378" w:rsidRP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  <w:r w:rsidRPr="00D52378">
        <w:rPr>
          <w:sz w:val="19"/>
          <w:lang w:val="it-IT"/>
        </w:rPr>
        <w:t xml:space="preserve">Città: </w:t>
      </w:r>
      <w:r w:rsidR="00BD3AC7">
        <w:rPr>
          <w:sz w:val="19"/>
          <w:lang w:val="it-IT"/>
        </w:rPr>
        <w:t>Micigliano (RI)</w:t>
      </w:r>
    </w:p>
    <w:p w:rsidR="00D52378" w:rsidRPr="00D52378" w:rsidRDefault="00BD3AC7" w:rsidP="00D52378">
      <w:pPr>
        <w:tabs>
          <w:tab w:val="left" w:pos="1934"/>
        </w:tabs>
        <w:ind w:left="1276"/>
        <w:rPr>
          <w:sz w:val="19"/>
          <w:lang w:val="it-IT"/>
        </w:rPr>
      </w:pPr>
      <w:r>
        <w:rPr>
          <w:sz w:val="19"/>
          <w:lang w:val="it-IT"/>
        </w:rPr>
        <w:t>CODICE NUTS: UF1RH7</w:t>
      </w:r>
      <w:r w:rsidR="00D52378" w:rsidRPr="00D52378">
        <w:rPr>
          <w:sz w:val="19"/>
          <w:lang w:val="it-IT"/>
        </w:rPr>
        <w:t xml:space="preserve"> </w:t>
      </w:r>
    </w:p>
    <w:p w:rsidR="00D52378" w:rsidRP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  <w:r w:rsidRPr="00D52378">
        <w:rPr>
          <w:sz w:val="19"/>
          <w:lang w:val="it-IT"/>
        </w:rPr>
        <w:t xml:space="preserve">Codice postale: </w:t>
      </w:r>
      <w:r w:rsidR="00BD3AC7">
        <w:rPr>
          <w:sz w:val="19"/>
          <w:lang w:val="it-IT"/>
        </w:rPr>
        <w:t>02010</w:t>
      </w:r>
    </w:p>
    <w:p w:rsidR="00D52378" w:rsidRDefault="00D52378" w:rsidP="00D52378">
      <w:pPr>
        <w:tabs>
          <w:tab w:val="left" w:pos="1934"/>
        </w:tabs>
        <w:ind w:left="1276"/>
        <w:rPr>
          <w:sz w:val="19"/>
          <w:lang w:val="it-IT"/>
        </w:rPr>
      </w:pPr>
      <w:r w:rsidRPr="00D52378">
        <w:rPr>
          <w:sz w:val="19"/>
          <w:lang w:val="it-IT"/>
        </w:rPr>
        <w:t xml:space="preserve">Paese: Italia </w:t>
      </w:r>
    </w:p>
    <w:p w:rsidR="00714E9D" w:rsidRDefault="00714E9D" w:rsidP="00D52378">
      <w:pPr>
        <w:tabs>
          <w:tab w:val="left" w:pos="1934"/>
        </w:tabs>
        <w:ind w:left="1276"/>
        <w:rPr>
          <w:sz w:val="19"/>
          <w:lang w:val="it-IT"/>
        </w:rPr>
      </w:pPr>
    </w:p>
    <w:p w:rsidR="00714E9D" w:rsidRDefault="00714E9D" w:rsidP="00714E9D">
      <w:pPr>
        <w:tabs>
          <w:tab w:val="left" w:pos="1934"/>
        </w:tabs>
        <w:ind w:left="1276"/>
        <w:rPr>
          <w:b/>
          <w:sz w:val="19"/>
          <w:lang w:val="it-IT"/>
        </w:rPr>
      </w:pPr>
      <w:r w:rsidRPr="00BD3AC7">
        <w:rPr>
          <w:b/>
          <w:sz w:val="19"/>
          <w:lang w:val="it-IT"/>
        </w:rPr>
        <w:t xml:space="preserve">SEZIONE </w:t>
      </w:r>
      <w:r>
        <w:rPr>
          <w:b/>
          <w:sz w:val="19"/>
          <w:lang w:val="it-IT"/>
        </w:rPr>
        <w:t>I</w:t>
      </w:r>
      <w:r w:rsidRPr="00BD3AC7">
        <w:rPr>
          <w:b/>
          <w:sz w:val="19"/>
          <w:lang w:val="it-IT"/>
        </w:rPr>
        <w:t xml:space="preserve">I: </w:t>
      </w:r>
      <w:r>
        <w:rPr>
          <w:b/>
          <w:sz w:val="19"/>
          <w:lang w:val="it-IT"/>
        </w:rPr>
        <w:t>OGGETTO DELL’APPALTO</w:t>
      </w:r>
    </w:p>
    <w:p w:rsidR="00714E9D" w:rsidRPr="00714E9D" w:rsidRDefault="006B42DE" w:rsidP="00714E9D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sz w:val="19"/>
          <w:lang w:val="it-IT"/>
        </w:rPr>
        <w:t>Affidamento</w:t>
      </w:r>
      <w:r w:rsidR="00714E9D" w:rsidRPr="00714E9D">
        <w:rPr>
          <w:sz w:val="19"/>
          <w:lang w:val="it-IT"/>
        </w:rPr>
        <w:t xml:space="preserve"> dei servizi tecnici di ingegneria e architettura relativi alle indagini preliminari (comprese la relazione geologica), progettazione definitiva, con riserva di affidamento anche dei servizi di direzione lavori e coordinamento della sicurezza in fase di esecuzione, per l'intervento di demolizione </w:t>
      </w:r>
      <w:r w:rsidR="004B797E">
        <w:rPr>
          <w:sz w:val="19"/>
          <w:lang w:val="it-IT"/>
        </w:rPr>
        <w:t xml:space="preserve">e ricostruzione museo civico delle arti e tradizioni popolari </w:t>
      </w:r>
      <w:r w:rsidR="00714E9D" w:rsidRPr="00714E9D">
        <w:rPr>
          <w:sz w:val="19"/>
          <w:lang w:val="it-IT"/>
        </w:rPr>
        <w:t xml:space="preserve">CIG: </w:t>
      </w:r>
      <w:r w:rsidR="00606F2F">
        <w:rPr>
          <w:sz w:val="19"/>
          <w:lang w:val="it-IT"/>
        </w:rPr>
        <w:t>_____________</w:t>
      </w:r>
      <w:r w:rsidR="00714E9D" w:rsidRPr="00714E9D">
        <w:rPr>
          <w:sz w:val="19"/>
          <w:lang w:val="it-IT"/>
        </w:rPr>
        <w:t xml:space="preserve"> - CUP: </w:t>
      </w:r>
      <w:r w:rsidR="00585C36" w:rsidRPr="00AD0B7F">
        <w:t>B61J18000150005</w:t>
      </w:r>
      <w:r w:rsidR="00714E9D" w:rsidRPr="00714E9D">
        <w:rPr>
          <w:sz w:val="19"/>
          <w:lang w:val="it-IT"/>
        </w:rPr>
        <w:t xml:space="preserve">. </w:t>
      </w:r>
    </w:p>
    <w:p w:rsidR="003E1E74" w:rsidRDefault="00714E9D" w:rsidP="00714E9D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1</w:t>
      </w:r>
      <w:r w:rsidRPr="008716B9">
        <w:rPr>
          <w:b/>
          <w:sz w:val="19"/>
          <w:lang w:val="it-IT"/>
        </w:rPr>
        <w:t>) Tipo di appalto e luogo di consegna esecuzione dei lavori:</w:t>
      </w:r>
      <w:r w:rsidRPr="00714E9D">
        <w:rPr>
          <w:sz w:val="19"/>
          <w:lang w:val="it-IT"/>
        </w:rPr>
        <w:t xml:space="preserve"> servizi attinenti all'architettura e all'ingegneria.</w:t>
      </w:r>
    </w:p>
    <w:p w:rsidR="00714E9D" w:rsidRPr="00714E9D" w:rsidRDefault="003E1E74" w:rsidP="00714E9D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3E1E74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2.2</w:t>
      </w:r>
      <w:r w:rsidRPr="003E1E74">
        <w:rPr>
          <w:b/>
          <w:sz w:val="19"/>
          <w:lang w:val="it-IT"/>
        </w:rPr>
        <w:t>)</w:t>
      </w:r>
      <w:r w:rsidR="00714E9D" w:rsidRPr="00714E9D">
        <w:rPr>
          <w:sz w:val="19"/>
          <w:lang w:val="it-IT"/>
        </w:rPr>
        <w:t xml:space="preserve"> Luoghi e informazioni dettagliate contenute nel disciplinare di gara. </w:t>
      </w:r>
    </w:p>
    <w:p w:rsidR="00714E9D" w:rsidRPr="00714E9D" w:rsidRDefault="00714E9D" w:rsidP="00714E9D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3</w:t>
      </w:r>
      <w:r w:rsidRPr="008716B9">
        <w:rPr>
          <w:b/>
          <w:sz w:val="19"/>
          <w:lang w:val="it-IT"/>
        </w:rPr>
        <w:t>) CPV:</w:t>
      </w:r>
      <w:r w:rsidRPr="00714E9D">
        <w:rPr>
          <w:sz w:val="19"/>
          <w:lang w:val="it-IT"/>
        </w:rPr>
        <w:t xml:space="preserve"> 71250000-5. </w:t>
      </w:r>
    </w:p>
    <w:p w:rsidR="00511665" w:rsidRDefault="00714E9D" w:rsidP="00511665">
      <w:pPr>
        <w:ind w:left="1276"/>
        <w:jc w:val="both"/>
        <w:rPr>
          <w:rFonts w:ascii="Garamond" w:hAnsi="Garamond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4</w:t>
      </w:r>
      <w:r w:rsidRPr="008716B9">
        <w:rPr>
          <w:b/>
          <w:sz w:val="19"/>
          <w:lang w:val="it-IT"/>
        </w:rPr>
        <w:t>) Criterio di aggiudicazione</w:t>
      </w:r>
      <w:r w:rsidRPr="00714E9D">
        <w:rPr>
          <w:sz w:val="19"/>
          <w:lang w:val="it-IT"/>
        </w:rPr>
        <w:t xml:space="preserve">: l'appalto sarà aggiudicato con il criterio dell'offerta economicamente più vantaggiosa di cui all'art. 95 co. 3 </w:t>
      </w:r>
      <w:proofErr w:type="spellStart"/>
      <w:r w:rsidRPr="00714E9D">
        <w:rPr>
          <w:sz w:val="19"/>
          <w:lang w:val="it-IT"/>
        </w:rPr>
        <w:t>lett</w:t>
      </w:r>
      <w:proofErr w:type="spellEnd"/>
      <w:r w:rsidRPr="00714E9D">
        <w:rPr>
          <w:sz w:val="19"/>
          <w:lang w:val="it-IT"/>
        </w:rPr>
        <w:t xml:space="preserve">. b) del </w:t>
      </w:r>
      <w:proofErr w:type="spellStart"/>
      <w:r w:rsidRPr="00714E9D">
        <w:rPr>
          <w:sz w:val="19"/>
          <w:lang w:val="it-IT"/>
        </w:rPr>
        <w:t>D.lgs</w:t>
      </w:r>
      <w:proofErr w:type="spellEnd"/>
      <w:r w:rsidRPr="00714E9D">
        <w:rPr>
          <w:sz w:val="19"/>
          <w:lang w:val="it-IT"/>
        </w:rPr>
        <w:t xml:space="preserve"> 50/2016 e </w:t>
      </w:r>
      <w:proofErr w:type="spellStart"/>
      <w:r w:rsidRPr="00714E9D">
        <w:rPr>
          <w:sz w:val="19"/>
          <w:lang w:val="it-IT"/>
        </w:rPr>
        <w:t>ss.</w:t>
      </w:r>
      <w:proofErr w:type="gramStart"/>
      <w:r w:rsidRPr="00714E9D">
        <w:rPr>
          <w:sz w:val="19"/>
          <w:lang w:val="it-IT"/>
        </w:rPr>
        <w:t>mm.ii</w:t>
      </w:r>
      <w:proofErr w:type="spellEnd"/>
      <w:proofErr w:type="gramEnd"/>
      <w:r w:rsidR="00511665" w:rsidRPr="00C0470B">
        <w:rPr>
          <w:rFonts w:ascii="Garamond" w:hAnsi="Garamond"/>
        </w:rPr>
        <w:t xml:space="preserve">; </w:t>
      </w:r>
    </w:p>
    <w:p w:rsidR="00714E9D" w:rsidRPr="00714E9D" w:rsidRDefault="00714E9D" w:rsidP="00714E9D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5</w:t>
      </w:r>
      <w:r w:rsidRPr="008716B9">
        <w:rPr>
          <w:b/>
          <w:sz w:val="19"/>
          <w:lang w:val="it-IT"/>
        </w:rPr>
        <w:t>) Quantità o entità dell'appalto:</w:t>
      </w:r>
      <w:r w:rsidRPr="00714E9D">
        <w:rPr>
          <w:sz w:val="19"/>
          <w:lang w:val="it-IT"/>
        </w:rPr>
        <w:t xml:space="preserve"> </w:t>
      </w:r>
      <w:r w:rsidRPr="002E6200">
        <w:rPr>
          <w:b/>
          <w:i/>
          <w:sz w:val="19"/>
          <w:lang w:val="it-IT"/>
        </w:rPr>
        <w:t xml:space="preserve">Euro </w:t>
      </w:r>
      <w:r w:rsidR="00511665" w:rsidRPr="002E6200">
        <w:rPr>
          <w:b/>
          <w:i/>
          <w:sz w:val="19"/>
          <w:lang w:val="it-IT"/>
        </w:rPr>
        <w:t>32</w:t>
      </w:r>
      <w:r w:rsidRPr="002E6200">
        <w:rPr>
          <w:b/>
          <w:i/>
          <w:sz w:val="19"/>
          <w:lang w:val="it-IT"/>
        </w:rPr>
        <w:t>9.</w:t>
      </w:r>
      <w:r w:rsidR="00511665" w:rsidRPr="002E6200">
        <w:rPr>
          <w:b/>
          <w:i/>
          <w:sz w:val="19"/>
          <w:lang w:val="it-IT"/>
        </w:rPr>
        <w:t>887</w:t>
      </w:r>
      <w:r w:rsidRPr="002E6200">
        <w:rPr>
          <w:b/>
          <w:i/>
          <w:sz w:val="19"/>
          <w:lang w:val="it-IT"/>
        </w:rPr>
        <w:t>,</w:t>
      </w:r>
      <w:r w:rsidR="00921710">
        <w:rPr>
          <w:b/>
          <w:i/>
          <w:sz w:val="19"/>
          <w:lang w:val="it-IT"/>
        </w:rPr>
        <w:t>5</w:t>
      </w:r>
      <w:r w:rsidR="00511665" w:rsidRPr="002E6200">
        <w:rPr>
          <w:b/>
          <w:i/>
          <w:sz w:val="19"/>
          <w:lang w:val="it-IT"/>
        </w:rPr>
        <w:t>1</w:t>
      </w:r>
      <w:r w:rsidRPr="00714E9D">
        <w:rPr>
          <w:sz w:val="19"/>
          <w:lang w:val="it-IT"/>
        </w:rPr>
        <w:t xml:space="preserve">, compresi i servizi opzionali, al netto di IVA e oneri previdenziali, di cui </w:t>
      </w:r>
      <w:r w:rsidR="00511665">
        <w:rPr>
          <w:sz w:val="19"/>
          <w:lang w:val="it-IT"/>
        </w:rPr>
        <w:t>€. 800</w:t>
      </w:r>
      <w:r w:rsidRPr="00714E9D">
        <w:rPr>
          <w:sz w:val="19"/>
          <w:lang w:val="it-IT"/>
        </w:rPr>
        <w:t>,</w:t>
      </w:r>
      <w:r w:rsidR="00511665">
        <w:rPr>
          <w:sz w:val="19"/>
          <w:lang w:val="it-IT"/>
        </w:rPr>
        <w:t xml:space="preserve">83 </w:t>
      </w:r>
      <w:r w:rsidR="00511665" w:rsidRPr="00714E9D">
        <w:rPr>
          <w:sz w:val="19"/>
          <w:lang w:val="it-IT"/>
        </w:rPr>
        <w:t>per costi della sicurezza non soggetti a ribasso</w:t>
      </w:r>
      <w:r w:rsidR="00511665">
        <w:rPr>
          <w:sz w:val="19"/>
          <w:lang w:val="it-IT"/>
        </w:rPr>
        <w:t xml:space="preserve"> ed €.1.301,66 quali costi della manodopera</w:t>
      </w:r>
      <w:r w:rsidRPr="00714E9D">
        <w:rPr>
          <w:sz w:val="19"/>
          <w:lang w:val="it-IT"/>
        </w:rPr>
        <w:t xml:space="preserve">, come dettagliato nei documenti di gara. </w:t>
      </w:r>
    </w:p>
    <w:p w:rsidR="00714E9D" w:rsidRP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6</w:t>
      </w:r>
      <w:r w:rsidRPr="008716B9">
        <w:rPr>
          <w:b/>
          <w:sz w:val="19"/>
          <w:lang w:val="it-IT"/>
        </w:rPr>
        <w:t xml:space="preserve">) Durata dell'appalto o termine di esecuzione: </w:t>
      </w:r>
      <w:r w:rsidR="00511665" w:rsidRPr="002E6200">
        <w:rPr>
          <w:b/>
          <w:i/>
          <w:sz w:val="19"/>
          <w:lang w:val="it-IT"/>
        </w:rPr>
        <w:t>12</w:t>
      </w:r>
      <w:r w:rsidRPr="002E6200">
        <w:rPr>
          <w:b/>
          <w:i/>
          <w:sz w:val="19"/>
          <w:lang w:val="it-IT"/>
        </w:rPr>
        <w:t>0 giorni</w:t>
      </w:r>
      <w:r w:rsidRPr="00714E9D">
        <w:rPr>
          <w:sz w:val="19"/>
          <w:lang w:val="it-IT"/>
        </w:rPr>
        <w:t xml:space="preserve"> complessivi al netto della Direzione Lavori, coordinamento per la sicurezza in fase di esecuzione ed altre attività. Specifiche in merito ai tempi di esecuzione sono riportate nei documenti di gara. 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7</w:t>
      </w:r>
      <w:r w:rsidR="00714E9D" w:rsidRPr="008716B9">
        <w:rPr>
          <w:b/>
          <w:sz w:val="19"/>
          <w:lang w:val="it-IT"/>
        </w:rPr>
        <w:t>) Ammissibilità di varianti:</w:t>
      </w:r>
      <w:r w:rsidR="00714E9D" w:rsidRPr="00714E9D">
        <w:rPr>
          <w:sz w:val="19"/>
          <w:lang w:val="it-IT"/>
        </w:rPr>
        <w:t xml:space="preserve"> potranno essere autorizzate nel rispetto della normativa vigente. </w:t>
      </w:r>
    </w:p>
    <w:p w:rsid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2</w:t>
      </w:r>
      <w:r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8</w:t>
      </w:r>
      <w:r w:rsidR="00714E9D" w:rsidRPr="008716B9">
        <w:rPr>
          <w:b/>
          <w:sz w:val="19"/>
          <w:lang w:val="it-IT"/>
        </w:rPr>
        <w:t>) Informazioni relative alle opzioni:</w:t>
      </w:r>
      <w:r w:rsidR="00714E9D" w:rsidRPr="00714E9D">
        <w:rPr>
          <w:sz w:val="19"/>
          <w:lang w:val="it-IT"/>
        </w:rPr>
        <w:t xml:space="preserve"> ai sensi art.111 co. 1 del </w:t>
      </w:r>
      <w:proofErr w:type="spellStart"/>
      <w:proofErr w:type="gramStart"/>
      <w:r w:rsidR="00714E9D" w:rsidRPr="00714E9D">
        <w:rPr>
          <w:sz w:val="19"/>
          <w:lang w:val="it-IT"/>
        </w:rPr>
        <w:t>D.Lgs</w:t>
      </w:r>
      <w:proofErr w:type="spellEnd"/>
      <w:proofErr w:type="gramEnd"/>
      <w:r w:rsidR="00714E9D" w:rsidRPr="00714E9D">
        <w:rPr>
          <w:sz w:val="19"/>
          <w:lang w:val="it-IT"/>
        </w:rPr>
        <w:t xml:space="preserve"> 50/2016 e dell'art. 4 co. 4 dell'O.C.S.R. n. 56/2018, vengono previsti, in opzione, l'affidamento dei servizi di direzione lavori, del coordinamento per la sicurezza in fase di esecuzione e ulteriori attività. Specifiche in ordine all'affidamento all'aggiudicatario sono riportate nei documenti di gara.</w:t>
      </w:r>
    </w:p>
    <w:p w:rsid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</w:p>
    <w:p w:rsid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6B42DE">
        <w:rPr>
          <w:b/>
          <w:sz w:val="19"/>
          <w:lang w:val="it-IT"/>
        </w:rPr>
        <w:t>SEZIONE III:</w:t>
      </w:r>
      <w:r w:rsidRPr="00714E9D">
        <w:rPr>
          <w:sz w:val="19"/>
          <w:lang w:val="it-IT"/>
        </w:rPr>
        <w:t xml:space="preserve"> Informazioni di carattere giuridico, economico, finanziario e tecnico </w:t>
      </w:r>
    </w:p>
    <w:p w:rsid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3</w:t>
      </w:r>
      <w:r w:rsidRPr="008716B9">
        <w:rPr>
          <w:b/>
          <w:sz w:val="19"/>
          <w:lang w:val="it-IT"/>
        </w:rPr>
        <w:t>.1) Cauzioni e garanzie richieste:</w:t>
      </w:r>
      <w:r w:rsidRPr="00714E9D">
        <w:rPr>
          <w:sz w:val="19"/>
          <w:lang w:val="it-IT"/>
        </w:rPr>
        <w:t xml:space="preserve"> informazioni contenute nel disciplinare di gara e nel capitolato tecnico prestazionale.</w:t>
      </w:r>
    </w:p>
    <w:p w:rsid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3</w:t>
      </w:r>
      <w:r w:rsidRPr="008716B9">
        <w:rPr>
          <w:b/>
          <w:sz w:val="19"/>
          <w:lang w:val="it-IT"/>
        </w:rPr>
        <w:t>.</w:t>
      </w:r>
      <w:r w:rsidR="003E1E74">
        <w:rPr>
          <w:b/>
          <w:sz w:val="19"/>
          <w:lang w:val="it-IT"/>
        </w:rPr>
        <w:t>2</w:t>
      </w:r>
      <w:r w:rsidRPr="008716B9">
        <w:rPr>
          <w:b/>
          <w:sz w:val="19"/>
          <w:lang w:val="it-IT"/>
        </w:rPr>
        <w:t>)</w:t>
      </w:r>
      <w:r w:rsidRPr="00714E9D">
        <w:rPr>
          <w:sz w:val="19"/>
          <w:lang w:val="it-IT"/>
        </w:rPr>
        <w:t xml:space="preserve"> </w:t>
      </w:r>
      <w:r w:rsidRPr="001F58E6">
        <w:rPr>
          <w:b/>
          <w:sz w:val="19"/>
          <w:lang w:val="it-IT"/>
        </w:rPr>
        <w:t>Situazione personale degli operatori economici, inclusi i requisiti relativi all'iscrizione nell'albo professionale o in elenchi speciali</w:t>
      </w:r>
      <w:r w:rsidRPr="00714E9D">
        <w:rPr>
          <w:sz w:val="19"/>
          <w:lang w:val="it-IT"/>
        </w:rPr>
        <w:t xml:space="preserve">: indicate e dettagliate nel disciplinare di gara. Sono richieste a pena di esclusione le professionalità come dettagliate nel Disciplinare di gara. </w:t>
      </w:r>
    </w:p>
    <w:p w:rsidR="006B42DE" w:rsidRPr="00714E9D" w:rsidRDefault="006B42DE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bookmarkStart w:id="0" w:name="_GoBack"/>
      <w:bookmarkEnd w:id="0"/>
    </w:p>
    <w:p w:rsidR="00714E9D" w:rsidRDefault="00714E9D" w:rsidP="00585C36">
      <w:pPr>
        <w:tabs>
          <w:tab w:val="left" w:pos="1934"/>
        </w:tabs>
        <w:ind w:left="1276"/>
        <w:jc w:val="both"/>
        <w:rPr>
          <w:b/>
          <w:sz w:val="19"/>
          <w:lang w:val="it-IT"/>
        </w:rPr>
      </w:pPr>
      <w:r w:rsidRPr="006B42DE">
        <w:rPr>
          <w:b/>
          <w:sz w:val="19"/>
          <w:lang w:val="it-IT"/>
        </w:rPr>
        <w:t xml:space="preserve">SEZIONE IV: Procedura </w:t>
      </w:r>
    </w:p>
    <w:p w:rsidR="00714E9D" w:rsidRPr="00714E9D" w:rsidRDefault="00714E9D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 w:rsidRPr="008716B9"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 w:rsidR="003E1E74">
        <w:rPr>
          <w:b/>
          <w:sz w:val="19"/>
          <w:lang w:val="it-IT"/>
        </w:rPr>
        <w:t>.1</w:t>
      </w:r>
      <w:r w:rsidRPr="008716B9">
        <w:rPr>
          <w:b/>
          <w:sz w:val="19"/>
          <w:lang w:val="it-IT"/>
        </w:rPr>
        <w:t>) Tipo di procedura:</w:t>
      </w:r>
      <w:r w:rsidRPr="00714E9D">
        <w:rPr>
          <w:sz w:val="19"/>
          <w:lang w:val="it-IT"/>
        </w:rPr>
        <w:t xml:space="preserve"> Gara europea, a procedura aperta, ai sensi dell'art. 60 del D. </w:t>
      </w:r>
      <w:proofErr w:type="spellStart"/>
      <w:r w:rsidRPr="00714E9D">
        <w:rPr>
          <w:sz w:val="19"/>
          <w:lang w:val="it-IT"/>
        </w:rPr>
        <w:t>Lgs</w:t>
      </w:r>
      <w:proofErr w:type="spellEnd"/>
      <w:r w:rsidRPr="00714E9D">
        <w:rPr>
          <w:sz w:val="19"/>
          <w:lang w:val="it-IT"/>
        </w:rPr>
        <w:t>. 50/2016. Lotto unico.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 w:rsidR="00714E9D" w:rsidRPr="008716B9">
        <w:rPr>
          <w:b/>
          <w:sz w:val="19"/>
          <w:lang w:val="it-IT"/>
        </w:rPr>
        <w:t>.2) Presentazione delle offerte:</w:t>
      </w:r>
      <w:r w:rsidR="00714E9D" w:rsidRPr="00714E9D">
        <w:rPr>
          <w:sz w:val="19"/>
          <w:lang w:val="it-IT"/>
        </w:rPr>
        <w:t xml:space="preserve"> le offerte dovranno essere trasmesse esclusivamente in modalità telematica mediante </w:t>
      </w:r>
      <w:r w:rsidR="003C1257">
        <w:rPr>
          <w:sz w:val="19"/>
          <w:lang w:val="it-IT"/>
        </w:rPr>
        <w:t>la piattaforma TRASPARE</w:t>
      </w:r>
      <w:r w:rsidR="00714E9D" w:rsidRPr="00714E9D">
        <w:rPr>
          <w:sz w:val="19"/>
          <w:lang w:val="it-IT"/>
        </w:rPr>
        <w:t xml:space="preserve"> e pervenire entro le ore 18:00 del giorno </w:t>
      </w:r>
      <w:r w:rsidR="003C1257">
        <w:rPr>
          <w:sz w:val="19"/>
          <w:lang w:val="it-IT"/>
        </w:rPr>
        <w:t>______________</w:t>
      </w:r>
      <w:r w:rsidR="00714E9D" w:rsidRPr="00714E9D">
        <w:rPr>
          <w:sz w:val="19"/>
          <w:lang w:val="it-IT"/>
        </w:rPr>
        <w:t>.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 w:rsidR="00714E9D"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3</w:t>
      </w:r>
      <w:r w:rsidR="00714E9D" w:rsidRPr="008716B9">
        <w:rPr>
          <w:b/>
          <w:sz w:val="19"/>
          <w:lang w:val="it-IT"/>
        </w:rPr>
        <w:t>) Lingue utilizzabili per la presentazione delle offerte o delle domande di partecipazione:</w:t>
      </w:r>
      <w:r w:rsidR="00714E9D" w:rsidRPr="00714E9D">
        <w:rPr>
          <w:sz w:val="19"/>
          <w:lang w:val="it-IT"/>
        </w:rPr>
        <w:t xml:space="preserve"> Italiano.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4</w:t>
      </w:r>
      <w:r w:rsidR="00714E9D" w:rsidRPr="008716B9">
        <w:rPr>
          <w:b/>
          <w:sz w:val="19"/>
          <w:lang w:val="it-IT"/>
        </w:rPr>
        <w:t>) Periodo minimo durante il quale l'offerente è vincolato alla propria offerta:</w:t>
      </w:r>
      <w:r w:rsidR="00714E9D" w:rsidRPr="00714E9D">
        <w:rPr>
          <w:sz w:val="19"/>
          <w:lang w:val="it-IT"/>
        </w:rPr>
        <w:t xml:space="preserve"> 180 giorni dal termine ultimo per il ricevimento delle offerte.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5</w:t>
      </w:r>
      <w:r w:rsidR="00714E9D" w:rsidRPr="008716B9">
        <w:rPr>
          <w:b/>
          <w:sz w:val="19"/>
          <w:lang w:val="it-IT"/>
        </w:rPr>
        <w:t>)Modalità di apertura delle offerte:</w:t>
      </w:r>
      <w:r w:rsidR="00714E9D" w:rsidRPr="00714E9D">
        <w:rPr>
          <w:sz w:val="19"/>
          <w:lang w:val="it-IT"/>
        </w:rPr>
        <w:t xml:space="preserve"> La prima seduta pubblica si terrà il giorno </w:t>
      </w:r>
      <w:r w:rsidR="008716B9">
        <w:rPr>
          <w:sz w:val="19"/>
          <w:lang w:val="it-IT"/>
        </w:rPr>
        <w:br/>
        <w:t>_________________</w:t>
      </w:r>
      <w:r w:rsidR="00714E9D" w:rsidRPr="00714E9D">
        <w:rPr>
          <w:sz w:val="19"/>
          <w:lang w:val="it-IT"/>
        </w:rPr>
        <w:t xml:space="preserve">, alle ore </w:t>
      </w:r>
      <w:r w:rsidR="008716B9">
        <w:rPr>
          <w:sz w:val="19"/>
          <w:lang w:val="it-IT"/>
        </w:rPr>
        <w:t>9</w:t>
      </w:r>
      <w:r w:rsidR="00714E9D" w:rsidRPr="00714E9D">
        <w:rPr>
          <w:sz w:val="19"/>
          <w:lang w:val="it-IT"/>
        </w:rPr>
        <w:t>:00. I concorrenti potranno assistere collegandosi da remoto al Sistema tramite la propria infrastruttura informatica.</w:t>
      </w:r>
    </w:p>
    <w:p w:rsid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4</w:t>
      </w:r>
      <w:r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6</w:t>
      </w:r>
      <w:r w:rsidR="00714E9D" w:rsidRPr="008716B9">
        <w:rPr>
          <w:b/>
          <w:sz w:val="19"/>
          <w:lang w:val="it-IT"/>
        </w:rPr>
        <w:t xml:space="preserve">) Informazioni di carattere amministrativo: </w:t>
      </w:r>
      <w:r w:rsidR="00714E9D" w:rsidRPr="00714E9D">
        <w:rPr>
          <w:sz w:val="19"/>
          <w:lang w:val="it-IT"/>
        </w:rPr>
        <w:t xml:space="preserve">per la valutazione delle offerte, la Stazione Appaltante si avvarrà dell'inversione procedimentale, facoltà di cui al combinato disposto dell'art.1 co. 3 della L. n. 55 del 2019 e dell'art. 133 co. 8 del </w:t>
      </w:r>
      <w:proofErr w:type="spellStart"/>
      <w:proofErr w:type="gramStart"/>
      <w:r w:rsidR="00714E9D" w:rsidRPr="00714E9D">
        <w:rPr>
          <w:sz w:val="19"/>
          <w:lang w:val="it-IT"/>
        </w:rPr>
        <w:t>D.Lgs</w:t>
      </w:r>
      <w:proofErr w:type="gramEnd"/>
      <w:r w:rsidR="00714E9D" w:rsidRPr="00714E9D">
        <w:rPr>
          <w:sz w:val="19"/>
          <w:lang w:val="it-IT"/>
        </w:rPr>
        <w:t>.</w:t>
      </w:r>
      <w:proofErr w:type="spellEnd"/>
      <w:r w:rsidR="00714E9D" w:rsidRPr="00714E9D">
        <w:rPr>
          <w:sz w:val="19"/>
          <w:lang w:val="it-IT"/>
        </w:rPr>
        <w:t xml:space="preserve"> n. 50 del 2016, al ricorrere delle condizioni previste nel disciplinare di gara.</w:t>
      </w:r>
    </w:p>
    <w:p w:rsidR="001F58E6" w:rsidRDefault="001F58E6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</w:p>
    <w:p w:rsidR="00714E9D" w:rsidRPr="006B42DE" w:rsidRDefault="00714E9D" w:rsidP="00585C36">
      <w:pPr>
        <w:tabs>
          <w:tab w:val="left" w:pos="1934"/>
        </w:tabs>
        <w:ind w:left="1276"/>
        <w:jc w:val="both"/>
        <w:rPr>
          <w:b/>
          <w:sz w:val="19"/>
          <w:lang w:val="it-IT"/>
        </w:rPr>
      </w:pPr>
      <w:r w:rsidRPr="006B42DE">
        <w:rPr>
          <w:b/>
          <w:sz w:val="19"/>
          <w:lang w:val="it-IT"/>
        </w:rPr>
        <w:t xml:space="preserve">SEZIONE V: Altre informazioni. 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</w:t>
      </w:r>
      <w:r w:rsidR="00F94558">
        <w:rPr>
          <w:b/>
          <w:sz w:val="19"/>
          <w:lang w:val="it-IT"/>
        </w:rPr>
        <w:t>5</w:t>
      </w:r>
      <w:r w:rsidR="00714E9D" w:rsidRPr="008716B9">
        <w:rPr>
          <w:b/>
          <w:sz w:val="19"/>
          <w:lang w:val="it-IT"/>
        </w:rPr>
        <w:t>.</w:t>
      </w:r>
      <w:r>
        <w:rPr>
          <w:b/>
          <w:sz w:val="19"/>
          <w:lang w:val="it-IT"/>
        </w:rPr>
        <w:t>1</w:t>
      </w:r>
      <w:r w:rsidR="00714E9D" w:rsidRPr="008716B9">
        <w:rPr>
          <w:b/>
          <w:sz w:val="19"/>
          <w:lang w:val="it-IT"/>
        </w:rPr>
        <w:t>) Informazioni complementari:</w:t>
      </w:r>
      <w:r w:rsidR="00714E9D" w:rsidRPr="00714E9D">
        <w:rPr>
          <w:sz w:val="19"/>
          <w:lang w:val="it-IT"/>
        </w:rPr>
        <w:t xml:space="preserve"> È ammesso il subappalto nei limiti di legge. </w:t>
      </w:r>
    </w:p>
    <w:p w:rsidR="008716B9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</w:t>
      </w:r>
      <w:r w:rsidR="00714E9D"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5</w:t>
      </w:r>
      <w:r w:rsidR="00714E9D" w:rsidRPr="008716B9">
        <w:rPr>
          <w:b/>
          <w:sz w:val="19"/>
          <w:lang w:val="it-IT"/>
        </w:rPr>
        <w:t>.</w:t>
      </w:r>
      <w:r>
        <w:rPr>
          <w:b/>
          <w:sz w:val="19"/>
          <w:lang w:val="it-IT"/>
        </w:rPr>
        <w:t>2</w:t>
      </w:r>
      <w:r w:rsidR="00714E9D" w:rsidRPr="008716B9">
        <w:rPr>
          <w:b/>
          <w:sz w:val="19"/>
          <w:lang w:val="it-IT"/>
        </w:rPr>
        <w:t>) Organismo responsabile delle procedure di ricorso:</w:t>
      </w:r>
      <w:r w:rsidR="00714E9D" w:rsidRPr="00714E9D">
        <w:rPr>
          <w:sz w:val="19"/>
          <w:lang w:val="it-IT"/>
        </w:rPr>
        <w:t xml:space="preserve"> Tribuna</w:t>
      </w:r>
      <w:r w:rsidR="008716B9">
        <w:rPr>
          <w:sz w:val="19"/>
          <w:lang w:val="it-IT"/>
        </w:rPr>
        <w:t>le Amministrativo Regionale del</w:t>
      </w:r>
      <w:r w:rsidR="00714E9D" w:rsidRPr="00714E9D">
        <w:rPr>
          <w:sz w:val="19"/>
          <w:lang w:val="it-IT"/>
        </w:rPr>
        <w:t xml:space="preserve"> </w:t>
      </w:r>
      <w:r w:rsidR="008716B9">
        <w:rPr>
          <w:sz w:val="19"/>
          <w:lang w:val="it-IT"/>
        </w:rPr>
        <w:t xml:space="preserve">Lazio 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</w:t>
      </w:r>
      <w:r w:rsidR="00714E9D" w:rsidRPr="008716B9">
        <w:rPr>
          <w:b/>
          <w:sz w:val="19"/>
          <w:lang w:val="it-IT"/>
        </w:rPr>
        <w:t>.</w:t>
      </w:r>
      <w:r w:rsidR="00F94558">
        <w:rPr>
          <w:b/>
          <w:sz w:val="19"/>
          <w:lang w:val="it-IT"/>
        </w:rPr>
        <w:t>5</w:t>
      </w:r>
      <w:r w:rsidR="00714E9D" w:rsidRPr="008716B9">
        <w:rPr>
          <w:b/>
          <w:sz w:val="19"/>
          <w:lang w:val="it-IT"/>
        </w:rPr>
        <w:t>.3) Procedure di ricorso termini di presentazione:</w:t>
      </w:r>
      <w:r w:rsidR="00714E9D" w:rsidRPr="00714E9D">
        <w:rPr>
          <w:sz w:val="19"/>
          <w:lang w:val="it-IT"/>
        </w:rPr>
        <w:t xml:space="preserve"> 30 giorni dalla data di pubblicazione del bando sulla GURI per le clausole autonomamente lesive ovvero ai sensi dell'art. 120, comma 5, </w:t>
      </w:r>
      <w:proofErr w:type="spellStart"/>
      <w:r w:rsidR="00714E9D" w:rsidRPr="00714E9D">
        <w:rPr>
          <w:sz w:val="19"/>
          <w:lang w:val="it-IT"/>
        </w:rPr>
        <w:t>c.p.a</w:t>
      </w:r>
      <w:proofErr w:type="spellEnd"/>
      <w:r w:rsidR="00714E9D" w:rsidRPr="00714E9D">
        <w:rPr>
          <w:sz w:val="19"/>
          <w:lang w:val="it-IT"/>
        </w:rPr>
        <w:t xml:space="preserve">. entro 30 giorni decorrenti dalla ricezione della comunicazione di cui all'art. 76, comma 5, del </w:t>
      </w:r>
      <w:proofErr w:type="spellStart"/>
      <w:proofErr w:type="gramStart"/>
      <w:r w:rsidR="00714E9D" w:rsidRPr="00714E9D">
        <w:rPr>
          <w:sz w:val="19"/>
          <w:lang w:val="it-IT"/>
        </w:rPr>
        <w:t>D.Lgs</w:t>
      </w:r>
      <w:proofErr w:type="spellEnd"/>
      <w:proofErr w:type="gramEnd"/>
      <w:r w:rsidR="00714E9D" w:rsidRPr="00714E9D">
        <w:rPr>
          <w:sz w:val="19"/>
          <w:lang w:val="it-IT"/>
        </w:rPr>
        <w:t xml:space="preserve"> 50/2016. </w:t>
      </w:r>
    </w:p>
    <w:p w:rsidR="00714E9D" w:rsidRPr="00714E9D" w:rsidRDefault="003E1E74" w:rsidP="00585C36">
      <w:pPr>
        <w:tabs>
          <w:tab w:val="left" w:pos="1934"/>
        </w:tabs>
        <w:ind w:left="1276"/>
        <w:jc w:val="both"/>
        <w:rPr>
          <w:sz w:val="19"/>
          <w:lang w:val="it-IT"/>
        </w:rPr>
      </w:pPr>
      <w:r>
        <w:rPr>
          <w:b/>
          <w:sz w:val="19"/>
          <w:lang w:val="it-IT"/>
        </w:rPr>
        <w:t>1.</w:t>
      </w:r>
      <w:r w:rsidR="00F94558">
        <w:rPr>
          <w:b/>
          <w:sz w:val="19"/>
          <w:lang w:val="it-IT"/>
        </w:rPr>
        <w:t>5</w:t>
      </w:r>
      <w:r w:rsidR="00714E9D" w:rsidRPr="008716B9">
        <w:rPr>
          <w:b/>
          <w:sz w:val="19"/>
          <w:lang w:val="it-IT"/>
        </w:rPr>
        <w:t>.</w:t>
      </w:r>
      <w:r>
        <w:rPr>
          <w:b/>
          <w:sz w:val="19"/>
          <w:lang w:val="it-IT"/>
        </w:rPr>
        <w:t>4</w:t>
      </w:r>
      <w:r w:rsidR="00714E9D" w:rsidRPr="008716B9">
        <w:rPr>
          <w:b/>
          <w:sz w:val="19"/>
          <w:lang w:val="it-IT"/>
        </w:rPr>
        <w:t>) Data di trasmissione del presente avviso alla GUUE:</w:t>
      </w:r>
      <w:r w:rsidR="00714E9D" w:rsidRPr="00714E9D">
        <w:rPr>
          <w:sz w:val="19"/>
          <w:lang w:val="it-IT"/>
        </w:rPr>
        <w:t xml:space="preserve"> --</w:t>
      </w:r>
      <w:r w:rsidR="008716B9">
        <w:rPr>
          <w:sz w:val="19"/>
          <w:lang w:val="it-IT"/>
        </w:rPr>
        <w:t>______________</w:t>
      </w:r>
    </w:p>
    <w:sectPr w:rsidR="00714E9D" w:rsidRPr="00714E9D" w:rsidSect="001F6060">
      <w:type w:val="continuous"/>
      <w:pgSz w:w="11920" w:h="16820"/>
      <w:pgMar w:top="0" w:right="7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5D"/>
    <w:multiLevelType w:val="multilevel"/>
    <w:tmpl w:val="E51AA632"/>
    <w:lvl w:ilvl="0">
      <w:start w:val="2"/>
      <w:numFmt w:val="upperLetter"/>
      <w:lvlText w:val="%1"/>
      <w:lvlJc w:val="left"/>
      <w:pPr>
        <w:ind w:left="649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9" w:hanging="425"/>
        <w:jc w:val="left"/>
      </w:pPr>
      <w:rPr>
        <w:rFonts w:ascii="Times New Roman" w:eastAsia="Times New Roman" w:hAnsi="Times New Roman" w:cs="Times New Roman" w:hint="default"/>
        <w:color w:val="0C0C0C"/>
        <w:spacing w:val="-1"/>
        <w:w w:val="108"/>
        <w:sz w:val="19"/>
        <w:szCs w:val="19"/>
      </w:rPr>
    </w:lvl>
    <w:lvl w:ilvl="2">
      <w:numFmt w:val="bullet"/>
      <w:lvlText w:val="•"/>
      <w:lvlJc w:val="left"/>
      <w:pPr>
        <w:ind w:left="2012" w:hanging="425"/>
      </w:pPr>
      <w:rPr>
        <w:rFonts w:hint="default"/>
      </w:rPr>
    </w:lvl>
    <w:lvl w:ilvl="3">
      <w:numFmt w:val="bullet"/>
      <w:lvlText w:val="•"/>
      <w:lvlJc w:val="left"/>
      <w:pPr>
        <w:ind w:left="2698" w:hanging="425"/>
      </w:pPr>
      <w:rPr>
        <w:rFonts w:hint="default"/>
      </w:rPr>
    </w:lvl>
    <w:lvl w:ilvl="4">
      <w:numFmt w:val="bullet"/>
      <w:lvlText w:val="•"/>
      <w:lvlJc w:val="left"/>
      <w:pPr>
        <w:ind w:left="3384" w:hanging="425"/>
      </w:pPr>
      <w:rPr>
        <w:rFonts w:hint="default"/>
      </w:rPr>
    </w:lvl>
    <w:lvl w:ilvl="5">
      <w:numFmt w:val="bullet"/>
      <w:lvlText w:val="•"/>
      <w:lvlJc w:val="left"/>
      <w:pPr>
        <w:ind w:left="4070" w:hanging="425"/>
      </w:pPr>
      <w:rPr>
        <w:rFonts w:hint="default"/>
      </w:rPr>
    </w:lvl>
    <w:lvl w:ilvl="6">
      <w:numFmt w:val="bullet"/>
      <w:lvlText w:val="•"/>
      <w:lvlJc w:val="left"/>
      <w:pPr>
        <w:ind w:left="4756" w:hanging="425"/>
      </w:pPr>
      <w:rPr>
        <w:rFonts w:hint="default"/>
      </w:rPr>
    </w:lvl>
    <w:lvl w:ilvl="7">
      <w:numFmt w:val="bullet"/>
      <w:lvlText w:val="•"/>
      <w:lvlJc w:val="left"/>
      <w:pPr>
        <w:ind w:left="5442" w:hanging="425"/>
      </w:pPr>
      <w:rPr>
        <w:rFonts w:hint="default"/>
      </w:rPr>
    </w:lvl>
    <w:lvl w:ilvl="8">
      <w:numFmt w:val="bullet"/>
      <w:lvlText w:val="•"/>
      <w:lvlJc w:val="left"/>
      <w:pPr>
        <w:ind w:left="6128" w:hanging="425"/>
      </w:pPr>
      <w:rPr>
        <w:rFonts w:hint="default"/>
      </w:rPr>
    </w:lvl>
  </w:abstractNum>
  <w:abstractNum w:abstractNumId="1" w15:restartNumberingAfterBreak="0">
    <w:nsid w:val="18E136BC"/>
    <w:multiLevelType w:val="multilevel"/>
    <w:tmpl w:val="03A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80AD9"/>
    <w:multiLevelType w:val="multilevel"/>
    <w:tmpl w:val="6A6E7524"/>
    <w:lvl w:ilvl="0">
      <w:start w:val="2"/>
      <w:numFmt w:val="upperLetter"/>
      <w:lvlText w:val="%1"/>
      <w:lvlJc w:val="left"/>
      <w:pPr>
        <w:ind w:left="651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5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1" w:hanging="581"/>
        <w:jc w:val="left"/>
      </w:pPr>
      <w:rPr>
        <w:rFonts w:ascii="Times New Roman" w:eastAsia="Times New Roman" w:hAnsi="Times New Roman" w:cs="Times New Roman" w:hint="default"/>
        <w:color w:val="0C0C0C"/>
        <w:spacing w:val="-1"/>
        <w:w w:val="108"/>
        <w:sz w:val="19"/>
        <w:szCs w:val="19"/>
      </w:rPr>
    </w:lvl>
    <w:lvl w:ilvl="3">
      <w:numFmt w:val="bullet"/>
      <w:lvlText w:val="•"/>
      <w:lvlJc w:val="left"/>
      <w:pPr>
        <w:ind w:left="2712" w:hanging="581"/>
      </w:pPr>
      <w:rPr>
        <w:rFonts w:hint="default"/>
      </w:rPr>
    </w:lvl>
    <w:lvl w:ilvl="4">
      <w:numFmt w:val="bullet"/>
      <w:lvlText w:val="•"/>
      <w:lvlJc w:val="left"/>
      <w:pPr>
        <w:ind w:left="3396" w:hanging="581"/>
      </w:pPr>
      <w:rPr>
        <w:rFonts w:hint="default"/>
      </w:rPr>
    </w:lvl>
    <w:lvl w:ilvl="5">
      <w:numFmt w:val="bullet"/>
      <w:lvlText w:val="•"/>
      <w:lvlJc w:val="left"/>
      <w:pPr>
        <w:ind w:left="4080" w:hanging="581"/>
      </w:pPr>
      <w:rPr>
        <w:rFonts w:hint="default"/>
      </w:rPr>
    </w:lvl>
    <w:lvl w:ilvl="6">
      <w:numFmt w:val="bullet"/>
      <w:lvlText w:val="•"/>
      <w:lvlJc w:val="left"/>
      <w:pPr>
        <w:ind w:left="4764" w:hanging="581"/>
      </w:pPr>
      <w:rPr>
        <w:rFonts w:hint="default"/>
      </w:rPr>
    </w:lvl>
    <w:lvl w:ilvl="7">
      <w:numFmt w:val="bullet"/>
      <w:lvlText w:val="•"/>
      <w:lvlJc w:val="left"/>
      <w:pPr>
        <w:ind w:left="5448" w:hanging="581"/>
      </w:pPr>
      <w:rPr>
        <w:rFonts w:hint="default"/>
      </w:rPr>
    </w:lvl>
    <w:lvl w:ilvl="8">
      <w:numFmt w:val="bullet"/>
      <w:lvlText w:val="•"/>
      <w:lvlJc w:val="left"/>
      <w:pPr>
        <w:ind w:left="6132" w:hanging="581"/>
      </w:pPr>
      <w:rPr>
        <w:rFonts w:hint="default"/>
      </w:rPr>
    </w:lvl>
  </w:abstractNum>
  <w:abstractNum w:abstractNumId="3" w15:restartNumberingAfterBreak="0">
    <w:nsid w:val="31D5775F"/>
    <w:multiLevelType w:val="hybridMultilevel"/>
    <w:tmpl w:val="87E24FCA"/>
    <w:lvl w:ilvl="0" w:tplc="520860E8">
      <w:start w:val="1"/>
      <w:numFmt w:val="decimal"/>
      <w:lvlText w:val="%1."/>
      <w:lvlJc w:val="left"/>
      <w:pPr>
        <w:ind w:left="1393" w:hanging="358"/>
        <w:jc w:val="left"/>
      </w:pPr>
      <w:rPr>
        <w:rFonts w:hint="default"/>
        <w:w w:val="109"/>
      </w:rPr>
    </w:lvl>
    <w:lvl w:ilvl="1" w:tplc="0E4A9A6C">
      <w:numFmt w:val="bullet"/>
      <w:lvlText w:val="•"/>
      <w:lvlJc w:val="left"/>
      <w:pPr>
        <w:ind w:left="1400" w:hanging="358"/>
      </w:pPr>
      <w:rPr>
        <w:rFonts w:hint="default"/>
      </w:rPr>
    </w:lvl>
    <w:lvl w:ilvl="2" w:tplc="A258B41C">
      <w:numFmt w:val="bullet"/>
      <w:lvlText w:val="•"/>
      <w:lvlJc w:val="left"/>
      <w:pPr>
        <w:ind w:left="983" w:hanging="358"/>
      </w:pPr>
      <w:rPr>
        <w:rFonts w:hint="default"/>
      </w:rPr>
    </w:lvl>
    <w:lvl w:ilvl="3" w:tplc="46BE4EF2">
      <w:numFmt w:val="bullet"/>
      <w:lvlText w:val="•"/>
      <w:lvlJc w:val="left"/>
      <w:pPr>
        <w:ind w:left="567" w:hanging="358"/>
      </w:pPr>
      <w:rPr>
        <w:rFonts w:hint="default"/>
      </w:rPr>
    </w:lvl>
    <w:lvl w:ilvl="4" w:tplc="EFD07F7E">
      <w:numFmt w:val="bullet"/>
      <w:lvlText w:val="•"/>
      <w:lvlJc w:val="left"/>
      <w:pPr>
        <w:ind w:left="151" w:hanging="358"/>
      </w:pPr>
      <w:rPr>
        <w:rFonts w:hint="default"/>
      </w:rPr>
    </w:lvl>
    <w:lvl w:ilvl="5" w:tplc="61822108">
      <w:numFmt w:val="bullet"/>
      <w:lvlText w:val="•"/>
      <w:lvlJc w:val="left"/>
      <w:pPr>
        <w:ind w:left="-265" w:hanging="358"/>
      </w:pPr>
      <w:rPr>
        <w:rFonts w:hint="default"/>
      </w:rPr>
    </w:lvl>
    <w:lvl w:ilvl="6" w:tplc="86A4B498">
      <w:numFmt w:val="bullet"/>
      <w:lvlText w:val="•"/>
      <w:lvlJc w:val="left"/>
      <w:pPr>
        <w:ind w:left="-681" w:hanging="358"/>
      </w:pPr>
      <w:rPr>
        <w:rFonts w:hint="default"/>
      </w:rPr>
    </w:lvl>
    <w:lvl w:ilvl="7" w:tplc="D5281F74">
      <w:numFmt w:val="bullet"/>
      <w:lvlText w:val="•"/>
      <w:lvlJc w:val="left"/>
      <w:pPr>
        <w:ind w:left="-1097" w:hanging="358"/>
      </w:pPr>
      <w:rPr>
        <w:rFonts w:hint="default"/>
      </w:rPr>
    </w:lvl>
    <w:lvl w:ilvl="8" w:tplc="0F685470">
      <w:numFmt w:val="bullet"/>
      <w:lvlText w:val="•"/>
      <w:lvlJc w:val="left"/>
      <w:pPr>
        <w:ind w:left="-1514" w:hanging="358"/>
      </w:pPr>
      <w:rPr>
        <w:rFonts w:hint="default"/>
      </w:rPr>
    </w:lvl>
  </w:abstractNum>
  <w:abstractNum w:abstractNumId="4" w15:restartNumberingAfterBreak="0">
    <w:nsid w:val="51464306"/>
    <w:multiLevelType w:val="hybridMultilevel"/>
    <w:tmpl w:val="DF241B58"/>
    <w:lvl w:ilvl="0" w:tplc="46581B48">
      <w:numFmt w:val="bullet"/>
      <w:lvlText w:val="o"/>
      <w:lvlJc w:val="left"/>
      <w:pPr>
        <w:ind w:left="295" w:hanging="185"/>
      </w:pPr>
      <w:rPr>
        <w:rFonts w:ascii="Times New Roman" w:eastAsia="Times New Roman" w:hAnsi="Times New Roman" w:cs="Times New Roman" w:hint="default"/>
        <w:color w:val="0A0A0A"/>
        <w:w w:val="99"/>
        <w:sz w:val="20"/>
        <w:szCs w:val="20"/>
      </w:rPr>
    </w:lvl>
    <w:lvl w:ilvl="1" w:tplc="0F56A71E">
      <w:numFmt w:val="bullet"/>
      <w:lvlText w:val="•"/>
      <w:lvlJc w:val="left"/>
      <w:pPr>
        <w:ind w:left="1254" w:hanging="185"/>
      </w:pPr>
      <w:rPr>
        <w:rFonts w:hint="default"/>
      </w:rPr>
    </w:lvl>
    <w:lvl w:ilvl="2" w:tplc="B7FCC318">
      <w:numFmt w:val="bullet"/>
      <w:lvlText w:val="•"/>
      <w:lvlJc w:val="left"/>
      <w:pPr>
        <w:ind w:left="2208" w:hanging="185"/>
      </w:pPr>
      <w:rPr>
        <w:rFonts w:hint="default"/>
      </w:rPr>
    </w:lvl>
    <w:lvl w:ilvl="3" w:tplc="0106C37A">
      <w:numFmt w:val="bullet"/>
      <w:lvlText w:val="•"/>
      <w:lvlJc w:val="left"/>
      <w:pPr>
        <w:ind w:left="3162" w:hanging="185"/>
      </w:pPr>
      <w:rPr>
        <w:rFonts w:hint="default"/>
      </w:rPr>
    </w:lvl>
    <w:lvl w:ilvl="4" w:tplc="9C561AE2">
      <w:numFmt w:val="bullet"/>
      <w:lvlText w:val="•"/>
      <w:lvlJc w:val="left"/>
      <w:pPr>
        <w:ind w:left="4116" w:hanging="185"/>
      </w:pPr>
      <w:rPr>
        <w:rFonts w:hint="default"/>
      </w:rPr>
    </w:lvl>
    <w:lvl w:ilvl="5" w:tplc="C93CB9F2">
      <w:numFmt w:val="bullet"/>
      <w:lvlText w:val="•"/>
      <w:lvlJc w:val="left"/>
      <w:pPr>
        <w:ind w:left="5070" w:hanging="185"/>
      </w:pPr>
      <w:rPr>
        <w:rFonts w:hint="default"/>
      </w:rPr>
    </w:lvl>
    <w:lvl w:ilvl="6" w:tplc="EC006532">
      <w:numFmt w:val="bullet"/>
      <w:lvlText w:val="•"/>
      <w:lvlJc w:val="left"/>
      <w:pPr>
        <w:ind w:left="6024" w:hanging="185"/>
      </w:pPr>
      <w:rPr>
        <w:rFonts w:hint="default"/>
      </w:rPr>
    </w:lvl>
    <w:lvl w:ilvl="7" w:tplc="A10CC4E8">
      <w:numFmt w:val="bullet"/>
      <w:lvlText w:val="•"/>
      <w:lvlJc w:val="left"/>
      <w:pPr>
        <w:ind w:left="6978" w:hanging="185"/>
      </w:pPr>
      <w:rPr>
        <w:rFonts w:hint="default"/>
      </w:rPr>
    </w:lvl>
    <w:lvl w:ilvl="8" w:tplc="8D14CD20">
      <w:numFmt w:val="bullet"/>
      <w:lvlText w:val="•"/>
      <w:lvlJc w:val="left"/>
      <w:pPr>
        <w:ind w:left="7932" w:hanging="185"/>
      </w:pPr>
      <w:rPr>
        <w:rFonts w:hint="default"/>
      </w:rPr>
    </w:lvl>
  </w:abstractNum>
  <w:abstractNum w:abstractNumId="5" w15:restartNumberingAfterBreak="0">
    <w:nsid w:val="617E6A59"/>
    <w:multiLevelType w:val="hybridMultilevel"/>
    <w:tmpl w:val="691A8CA6"/>
    <w:lvl w:ilvl="0" w:tplc="353A5376">
      <w:numFmt w:val="bullet"/>
      <w:lvlText w:val="□"/>
      <w:lvlJc w:val="left"/>
      <w:pPr>
        <w:ind w:left="296" w:hanging="199"/>
      </w:pPr>
      <w:rPr>
        <w:rFonts w:hint="default"/>
        <w:w w:val="102"/>
      </w:rPr>
    </w:lvl>
    <w:lvl w:ilvl="1" w:tplc="41C0D54A">
      <w:numFmt w:val="bullet"/>
      <w:lvlText w:val="•"/>
      <w:lvlJc w:val="left"/>
      <w:pPr>
        <w:ind w:left="1253" w:hanging="199"/>
      </w:pPr>
      <w:rPr>
        <w:rFonts w:hint="default"/>
      </w:rPr>
    </w:lvl>
    <w:lvl w:ilvl="2" w:tplc="3458A37C">
      <w:numFmt w:val="bullet"/>
      <w:lvlText w:val="•"/>
      <w:lvlJc w:val="left"/>
      <w:pPr>
        <w:ind w:left="2207" w:hanging="199"/>
      </w:pPr>
      <w:rPr>
        <w:rFonts w:hint="default"/>
      </w:rPr>
    </w:lvl>
    <w:lvl w:ilvl="3" w:tplc="49CC7BFA">
      <w:numFmt w:val="bullet"/>
      <w:lvlText w:val="•"/>
      <w:lvlJc w:val="left"/>
      <w:pPr>
        <w:ind w:left="3160" w:hanging="199"/>
      </w:pPr>
      <w:rPr>
        <w:rFonts w:hint="default"/>
      </w:rPr>
    </w:lvl>
    <w:lvl w:ilvl="4" w:tplc="B8924332">
      <w:numFmt w:val="bullet"/>
      <w:lvlText w:val="•"/>
      <w:lvlJc w:val="left"/>
      <w:pPr>
        <w:ind w:left="4114" w:hanging="199"/>
      </w:pPr>
      <w:rPr>
        <w:rFonts w:hint="default"/>
      </w:rPr>
    </w:lvl>
    <w:lvl w:ilvl="5" w:tplc="3CA27A54">
      <w:numFmt w:val="bullet"/>
      <w:lvlText w:val="•"/>
      <w:lvlJc w:val="left"/>
      <w:pPr>
        <w:ind w:left="5067" w:hanging="199"/>
      </w:pPr>
      <w:rPr>
        <w:rFonts w:hint="default"/>
      </w:rPr>
    </w:lvl>
    <w:lvl w:ilvl="6" w:tplc="79BA62BA">
      <w:numFmt w:val="bullet"/>
      <w:lvlText w:val="•"/>
      <w:lvlJc w:val="left"/>
      <w:pPr>
        <w:ind w:left="6021" w:hanging="199"/>
      </w:pPr>
      <w:rPr>
        <w:rFonts w:hint="default"/>
      </w:rPr>
    </w:lvl>
    <w:lvl w:ilvl="7" w:tplc="021C5738">
      <w:numFmt w:val="bullet"/>
      <w:lvlText w:val="•"/>
      <w:lvlJc w:val="left"/>
      <w:pPr>
        <w:ind w:left="6974" w:hanging="199"/>
      </w:pPr>
      <w:rPr>
        <w:rFonts w:hint="default"/>
      </w:rPr>
    </w:lvl>
    <w:lvl w:ilvl="8" w:tplc="5970A8C6">
      <w:numFmt w:val="bullet"/>
      <w:lvlText w:val="•"/>
      <w:lvlJc w:val="left"/>
      <w:pPr>
        <w:ind w:left="7928" w:hanging="199"/>
      </w:pPr>
      <w:rPr>
        <w:rFonts w:hint="default"/>
      </w:rPr>
    </w:lvl>
  </w:abstractNum>
  <w:abstractNum w:abstractNumId="6" w15:restartNumberingAfterBreak="0">
    <w:nsid w:val="7573156C"/>
    <w:multiLevelType w:val="multilevel"/>
    <w:tmpl w:val="22F8F6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6B"/>
    <w:rsid w:val="00053D10"/>
    <w:rsid w:val="000A00DB"/>
    <w:rsid w:val="000D2477"/>
    <w:rsid w:val="001F58E6"/>
    <w:rsid w:val="001F6060"/>
    <w:rsid w:val="00215E1C"/>
    <w:rsid w:val="00261A48"/>
    <w:rsid w:val="002E6200"/>
    <w:rsid w:val="0031696B"/>
    <w:rsid w:val="003A1DBF"/>
    <w:rsid w:val="003C1257"/>
    <w:rsid w:val="003D278E"/>
    <w:rsid w:val="003E1E74"/>
    <w:rsid w:val="004B797E"/>
    <w:rsid w:val="00511665"/>
    <w:rsid w:val="00585C36"/>
    <w:rsid w:val="005F75F8"/>
    <w:rsid w:val="00606F2F"/>
    <w:rsid w:val="00650C40"/>
    <w:rsid w:val="006A1FE1"/>
    <w:rsid w:val="006B42DE"/>
    <w:rsid w:val="00714E9D"/>
    <w:rsid w:val="008517B4"/>
    <w:rsid w:val="008716B9"/>
    <w:rsid w:val="008C01C8"/>
    <w:rsid w:val="008D06A9"/>
    <w:rsid w:val="00907FD4"/>
    <w:rsid w:val="00921710"/>
    <w:rsid w:val="00964DED"/>
    <w:rsid w:val="00A138C9"/>
    <w:rsid w:val="00A62111"/>
    <w:rsid w:val="00A8073E"/>
    <w:rsid w:val="00AF5D68"/>
    <w:rsid w:val="00BD3AC7"/>
    <w:rsid w:val="00BE3D35"/>
    <w:rsid w:val="00BF5BD9"/>
    <w:rsid w:val="00C5792C"/>
    <w:rsid w:val="00D52378"/>
    <w:rsid w:val="00E02998"/>
    <w:rsid w:val="00E618B2"/>
    <w:rsid w:val="00ED0EAD"/>
    <w:rsid w:val="00EF7D54"/>
    <w:rsid w:val="00F05960"/>
    <w:rsid w:val="00F0628F"/>
    <w:rsid w:val="00F10B3E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954"/>
  <w15:docId w15:val="{A13BBCCB-EA5A-4A9E-802C-BE5D433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1"/>
      <w:ind w:left="1393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807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7B4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D2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D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icigliano.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nico.micigliano@libero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Dell2</dc:creator>
  <cp:lastModifiedBy>PC</cp:lastModifiedBy>
  <cp:revision>8</cp:revision>
  <cp:lastPrinted>2021-08-26T10:03:00Z</cp:lastPrinted>
  <dcterms:created xsi:type="dcterms:W3CDTF">2021-08-26T10:03:00Z</dcterms:created>
  <dcterms:modified xsi:type="dcterms:W3CDTF">2021-08-27T08:49:00Z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2020-04-29T00:00:00Z</vt:filetime>
  </property>
</Properties>
</file>