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ECD" w:rsidRPr="008B4BBA" w:rsidRDefault="00060410" w:rsidP="00B32997">
      <w:pPr>
        <w:spacing w:after="0" w:line="240" w:lineRule="auto"/>
        <w:jc w:val="center"/>
        <w:rPr>
          <w:rFonts w:ascii="Times New Roman" w:hAnsi="Times New Roman" w:cs="Times New Roman"/>
          <w:b/>
        </w:rPr>
      </w:pPr>
      <w:r w:rsidRPr="008B4BBA">
        <w:rPr>
          <w:rFonts w:ascii="Times New Roman" w:hAnsi="Times New Roman" w:cs="Times New Roman"/>
          <w:b/>
        </w:rPr>
        <w:t xml:space="preserve">RELAZIONE DESCRITTIVA </w:t>
      </w:r>
      <w:r w:rsidR="0003499A" w:rsidRPr="008B4BBA">
        <w:rPr>
          <w:rFonts w:ascii="Times New Roman" w:hAnsi="Times New Roman" w:cs="Times New Roman"/>
          <w:b/>
        </w:rPr>
        <w:t>DEL LO</w:t>
      </w:r>
      <w:r w:rsidRPr="008B4BBA">
        <w:rPr>
          <w:rFonts w:ascii="Times New Roman" w:hAnsi="Times New Roman" w:cs="Times New Roman"/>
          <w:b/>
        </w:rPr>
        <w:t>C</w:t>
      </w:r>
      <w:r w:rsidR="0003499A" w:rsidRPr="008B4BBA">
        <w:rPr>
          <w:rFonts w:ascii="Times New Roman" w:hAnsi="Times New Roman" w:cs="Times New Roman"/>
          <w:b/>
        </w:rPr>
        <w:t>ALE COMMERCIALE PER LA VENDITA DI GENERI ALIMENTARI FESCHI E CONSERVATI ED ALTRI ARTICOLI NON ALIMENTARI (EMPORIO).</w:t>
      </w:r>
      <w:r w:rsidR="00EA1ECD" w:rsidRPr="008B4BBA">
        <w:rPr>
          <w:rFonts w:ascii="Times New Roman" w:hAnsi="Times New Roman" w:cs="Times New Roman"/>
          <w:b/>
        </w:rPr>
        <w:t xml:space="preserve"> </w:t>
      </w:r>
    </w:p>
    <w:p w:rsidR="000F5F37" w:rsidRPr="008B4BBA" w:rsidRDefault="000F5F37" w:rsidP="00FC1E05">
      <w:pPr>
        <w:spacing w:after="0" w:line="240" w:lineRule="auto"/>
        <w:ind w:left="284"/>
        <w:rPr>
          <w:rFonts w:ascii="Times New Roman" w:hAnsi="Times New Roman" w:cs="Times New Roman"/>
          <w:b/>
          <w:i/>
        </w:rPr>
      </w:pPr>
    </w:p>
    <w:p w:rsidR="0003499A" w:rsidRPr="008B4BBA" w:rsidRDefault="0003499A" w:rsidP="00E2480E">
      <w:pPr>
        <w:spacing w:after="0" w:line="360" w:lineRule="auto"/>
        <w:jc w:val="both"/>
        <w:rPr>
          <w:rFonts w:ascii="Times New Roman" w:hAnsi="Times New Roman" w:cs="Times New Roman"/>
          <w:szCs w:val="24"/>
        </w:rPr>
      </w:pPr>
      <w:r w:rsidRPr="008B4BBA">
        <w:rPr>
          <w:rFonts w:ascii="Times New Roman" w:hAnsi="Times New Roman" w:cs="Times New Roman"/>
          <w:szCs w:val="24"/>
        </w:rPr>
        <w:t>L’oggetto della presente asta pubblica è la locazione del locale di proprietà comunale sito in via S. Biagio a Micigliano, censito al Catasto urbano del Comune di Micigliano al mappale n. 1480, sub. 2, foglio n. 12, cat. catastale C</w:t>
      </w:r>
      <w:proofErr w:type="gramStart"/>
      <w:r w:rsidRPr="008B4BBA">
        <w:rPr>
          <w:rFonts w:ascii="Times New Roman" w:hAnsi="Times New Roman" w:cs="Times New Roman"/>
          <w:szCs w:val="24"/>
        </w:rPr>
        <w:t>2 .</w:t>
      </w:r>
      <w:proofErr w:type="gramEnd"/>
    </w:p>
    <w:p w:rsidR="0003499A" w:rsidRPr="008B4BBA" w:rsidRDefault="0003499A" w:rsidP="00E2480E">
      <w:pPr>
        <w:spacing w:after="0" w:line="360" w:lineRule="auto"/>
        <w:jc w:val="both"/>
        <w:rPr>
          <w:rFonts w:ascii="Times New Roman" w:hAnsi="Times New Roman" w:cs="Times New Roman"/>
          <w:szCs w:val="24"/>
        </w:rPr>
      </w:pPr>
      <w:r w:rsidRPr="008B4BBA">
        <w:rPr>
          <w:rFonts w:ascii="Times New Roman" w:hAnsi="Times New Roman" w:cs="Times New Roman"/>
          <w:szCs w:val="24"/>
        </w:rPr>
        <w:t>Il locale in questione è stato oggetto in epoca recente di lavori di recupero e riqualificazione finalizzati a renderlo idoneo allo svolgimento di una attività commerciale per la vendita di generi alimentari freschi e conservati e altri articoli non alimentari (emporio).</w:t>
      </w:r>
    </w:p>
    <w:p w:rsidR="00455BFF" w:rsidRPr="008B4BBA" w:rsidRDefault="0003499A" w:rsidP="00E2480E">
      <w:pPr>
        <w:suppressAutoHyphens/>
        <w:spacing w:after="0" w:line="360" w:lineRule="auto"/>
        <w:jc w:val="both"/>
        <w:rPr>
          <w:rFonts w:ascii="Times New Roman" w:hAnsi="Times New Roman" w:cs="Times New Roman"/>
          <w:szCs w:val="24"/>
        </w:rPr>
      </w:pPr>
      <w:r w:rsidRPr="008B4BBA">
        <w:rPr>
          <w:rFonts w:ascii="Times New Roman" w:hAnsi="Times New Roman" w:cs="Times New Roman"/>
          <w:szCs w:val="24"/>
        </w:rPr>
        <w:t>I predetti lavori di riqualificazione sono stati effettuati in applicazione della delibera del Consiglio Comunale n. 6, del 1 giugno 2020, alla quale si fa espresso richiamo per tutto quello non esplicitato nella presente asta pubblica, che ha disposto oltre alla variazione d’uso del locale stesso (da magazzino a locale commerciale), anche l’effettuazione dei lavori necessari per la ristrutturazione del locale al  fine di renderlo fruibile al commercio cui sarà destinato,</w:t>
      </w:r>
      <w:r w:rsidR="00334ACA">
        <w:rPr>
          <w:rFonts w:ascii="Times New Roman" w:hAnsi="Times New Roman" w:cs="Times New Roman"/>
          <w:szCs w:val="24"/>
        </w:rPr>
        <w:t xml:space="preserve"> che si sono conclusi in </w:t>
      </w:r>
      <w:r w:rsidR="00334ACA" w:rsidRPr="002B620B">
        <w:rPr>
          <w:rFonts w:ascii="Times New Roman" w:hAnsi="Times New Roman" w:cs="Times New Roman"/>
          <w:color w:val="FF0000"/>
          <w:szCs w:val="24"/>
        </w:rPr>
        <w:t>data</w:t>
      </w:r>
      <w:r w:rsidR="002B620B" w:rsidRPr="002B620B">
        <w:rPr>
          <w:rFonts w:ascii="Times New Roman" w:hAnsi="Times New Roman" w:cs="Times New Roman"/>
          <w:color w:val="FF0000"/>
          <w:szCs w:val="24"/>
        </w:rPr>
        <w:t>…………….</w:t>
      </w:r>
      <w:r w:rsidR="00334ACA">
        <w:rPr>
          <w:rFonts w:ascii="Times New Roman" w:hAnsi="Times New Roman" w:cs="Times New Roman"/>
          <w:szCs w:val="24"/>
        </w:rPr>
        <w:t xml:space="preserve"> </w:t>
      </w:r>
    </w:p>
    <w:p w:rsidR="002B620B" w:rsidRDefault="002B620B" w:rsidP="00E2480E">
      <w:pPr>
        <w:spacing w:after="0" w:line="360" w:lineRule="auto"/>
        <w:jc w:val="both"/>
        <w:rPr>
          <w:rFonts w:ascii="Times New Roman" w:hAnsi="Times New Roman" w:cs="Times New Roman"/>
        </w:rPr>
      </w:pPr>
    </w:p>
    <w:p w:rsidR="002B620B" w:rsidRPr="002B620B" w:rsidRDefault="002B620B" w:rsidP="00E2480E">
      <w:pPr>
        <w:spacing w:after="0" w:line="360" w:lineRule="auto"/>
        <w:jc w:val="both"/>
        <w:rPr>
          <w:rFonts w:ascii="Times New Roman" w:hAnsi="Times New Roman" w:cs="Times New Roman"/>
        </w:rPr>
      </w:pPr>
      <w:r w:rsidRPr="002B620B">
        <w:rPr>
          <w:rFonts w:ascii="Times New Roman" w:hAnsi="Times New Roman" w:cs="Times New Roman"/>
        </w:rPr>
        <w:t xml:space="preserve">L’unità immobiliare presenta un unico accesso da via San Biagio ed è suddivisa in tre ambienti rispettivamente della superficie di 23,00 mq (futura zona vendita), 6,67 mq (futuro bagno con spogliatoio) e 12,78 mq (futuro magazzino), aventi un’altezza utile di 2,78 m. </w:t>
      </w:r>
    </w:p>
    <w:p w:rsidR="002B620B" w:rsidRPr="002B620B" w:rsidRDefault="002B620B" w:rsidP="00E2480E">
      <w:pPr>
        <w:spacing w:after="0" w:line="360" w:lineRule="auto"/>
        <w:jc w:val="both"/>
        <w:rPr>
          <w:rFonts w:ascii="Times New Roman" w:hAnsi="Times New Roman" w:cs="Times New Roman"/>
        </w:rPr>
      </w:pPr>
      <w:r w:rsidRPr="002B620B">
        <w:rPr>
          <w:rFonts w:ascii="Times New Roman" w:hAnsi="Times New Roman" w:cs="Times New Roman"/>
        </w:rPr>
        <w:t xml:space="preserve">Gli interventi </w:t>
      </w:r>
      <w:r>
        <w:rPr>
          <w:rFonts w:ascii="Times New Roman" w:hAnsi="Times New Roman" w:cs="Times New Roman"/>
        </w:rPr>
        <w:t xml:space="preserve">realizzati </w:t>
      </w:r>
      <w:proofErr w:type="gramStart"/>
      <w:r>
        <w:rPr>
          <w:rFonts w:ascii="Times New Roman" w:hAnsi="Times New Roman" w:cs="Times New Roman"/>
        </w:rPr>
        <w:t xml:space="preserve">sono </w:t>
      </w:r>
      <w:r w:rsidRPr="002B620B">
        <w:rPr>
          <w:rFonts w:ascii="Times New Roman" w:hAnsi="Times New Roman" w:cs="Times New Roman"/>
        </w:rPr>
        <w:t xml:space="preserve"> </w:t>
      </w:r>
      <w:r>
        <w:rPr>
          <w:rFonts w:ascii="Times New Roman" w:hAnsi="Times New Roman" w:cs="Times New Roman"/>
        </w:rPr>
        <w:t>stati</w:t>
      </w:r>
      <w:proofErr w:type="gramEnd"/>
      <w:r>
        <w:rPr>
          <w:rFonts w:ascii="Times New Roman" w:hAnsi="Times New Roman" w:cs="Times New Roman"/>
        </w:rPr>
        <w:t xml:space="preserve"> </w:t>
      </w:r>
      <w:r w:rsidRPr="002B620B">
        <w:rPr>
          <w:rFonts w:ascii="Times New Roman" w:hAnsi="Times New Roman" w:cs="Times New Roman"/>
        </w:rPr>
        <w:t xml:space="preserve">finalizzati alla realizzazione di un primo ambiente con accesso diretto da via San Biagio, per la vendita diretta dei generi alimentari, </w:t>
      </w:r>
      <w:r>
        <w:rPr>
          <w:rFonts w:ascii="Times New Roman" w:hAnsi="Times New Roman" w:cs="Times New Roman"/>
        </w:rPr>
        <w:t xml:space="preserve">che potrà essere arredato </w:t>
      </w:r>
      <w:r w:rsidRPr="002B620B">
        <w:rPr>
          <w:rFonts w:ascii="Times New Roman" w:hAnsi="Times New Roman" w:cs="Times New Roman"/>
        </w:rPr>
        <w:t xml:space="preserve">con scaffali, vetrine refrigerate e cassa per l’addetto. Alle spalle della cassa </w:t>
      </w:r>
      <w:r>
        <w:rPr>
          <w:rFonts w:ascii="Times New Roman" w:hAnsi="Times New Roman" w:cs="Times New Roman"/>
        </w:rPr>
        <w:t>è</w:t>
      </w:r>
      <w:r w:rsidRPr="002B620B">
        <w:rPr>
          <w:rFonts w:ascii="Times New Roman" w:hAnsi="Times New Roman" w:cs="Times New Roman"/>
        </w:rPr>
        <w:t xml:space="preserve"> la porta di accesso alla zona antibagno/spogliatoio che distribuisce il wc con ventilazione forzata ed il magazzino per deposito e stoccaggio merci.</w:t>
      </w:r>
    </w:p>
    <w:p w:rsidR="002B620B" w:rsidRPr="002B620B" w:rsidRDefault="00FA00F1" w:rsidP="00E2480E">
      <w:pPr>
        <w:spacing w:after="0" w:line="360" w:lineRule="auto"/>
        <w:jc w:val="both"/>
        <w:rPr>
          <w:rFonts w:ascii="Times New Roman" w:hAnsi="Times New Roman" w:cs="Times New Roman"/>
        </w:rPr>
      </w:pPr>
      <w:r>
        <w:rPr>
          <w:rFonts w:ascii="Times New Roman" w:hAnsi="Times New Roman" w:cs="Times New Roman"/>
        </w:rPr>
        <w:t xml:space="preserve">Gli ambienti spogliatoio e bagno sono </w:t>
      </w:r>
      <w:proofErr w:type="gramStart"/>
      <w:r>
        <w:rPr>
          <w:rFonts w:ascii="Times New Roman" w:hAnsi="Times New Roman" w:cs="Times New Roman"/>
        </w:rPr>
        <w:t xml:space="preserve">stati </w:t>
      </w:r>
      <w:r w:rsidR="002B620B" w:rsidRPr="002B620B">
        <w:rPr>
          <w:rFonts w:ascii="Times New Roman" w:hAnsi="Times New Roman" w:cs="Times New Roman"/>
        </w:rPr>
        <w:t xml:space="preserve"> dotati</w:t>
      </w:r>
      <w:proofErr w:type="gramEnd"/>
      <w:r w:rsidR="002B620B" w:rsidRPr="002B620B">
        <w:rPr>
          <w:rFonts w:ascii="Times New Roman" w:hAnsi="Times New Roman" w:cs="Times New Roman"/>
        </w:rPr>
        <w:t xml:space="preserve"> di una ventilazione forzata, al fine di garantire un adeguato ricambio d’aria.</w:t>
      </w:r>
    </w:p>
    <w:p w:rsidR="002B620B" w:rsidRPr="002B620B" w:rsidRDefault="002B620B" w:rsidP="00E2480E">
      <w:pPr>
        <w:spacing w:after="0" w:line="360" w:lineRule="auto"/>
        <w:contextualSpacing/>
        <w:jc w:val="both"/>
        <w:rPr>
          <w:rFonts w:ascii="Times New Roman" w:hAnsi="Times New Roman" w:cs="Times New Roman"/>
        </w:rPr>
      </w:pPr>
      <w:r w:rsidRPr="002B620B">
        <w:rPr>
          <w:rFonts w:ascii="Times New Roman" w:hAnsi="Times New Roman" w:cs="Times New Roman"/>
        </w:rPr>
        <w:t xml:space="preserve">L’approvvigionamento idrico avverrà da acquedotto pubblico. L’attività commerciale riceverà acqua già potabile controllata in produzione dal gestore del servizio idrico e dalle Aziende sanitarie locali con campionamenti lungo la rete, come previsto dal d.lgs. 31/01 (controlli esterni). La potabilità dell’acqua è garantita al punto di fornitura (art. 5, comma 1, </w:t>
      </w:r>
      <w:proofErr w:type="spellStart"/>
      <w:r w:rsidRPr="002B620B">
        <w:rPr>
          <w:rFonts w:ascii="Times New Roman" w:hAnsi="Times New Roman" w:cs="Times New Roman"/>
        </w:rPr>
        <w:t>lett</w:t>
      </w:r>
      <w:proofErr w:type="spellEnd"/>
      <w:r w:rsidRPr="002B620B">
        <w:rPr>
          <w:rFonts w:ascii="Times New Roman" w:hAnsi="Times New Roman" w:cs="Times New Roman"/>
        </w:rPr>
        <w:t>. d, del d.lgs. 31/01) cioè al contatore. A valle del contatore sarà cura del gestore vigilare per il mantenimento della potabilità.</w:t>
      </w:r>
    </w:p>
    <w:p w:rsidR="002B620B" w:rsidRPr="002B620B" w:rsidRDefault="002B620B" w:rsidP="00E2480E">
      <w:pPr>
        <w:numPr>
          <w:ilvl w:val="0"/>
          <w:numId w:val="6"/>
        </w:numPr>
        <w:spacing w:after="0" w:line="360" w:lineRule="auto"/>
        <w:contextualSpacing/>
        <w:jc w:val="both"/>
        <w:rPr>
          <w:rFonts w:ascii="Times New Roman" w:hAnsi="Times New Roman" w:cs="Times New Roman"/>
        </w:rPr>
      </w:pPr>
      <w:r w:rsidRPr="002B620B">
        <w:rPr>
          <w:rFonts w:ascii="Times New Roman" w:hAnsi="Times New Roman" w:cs="Times New Roman"/>
        </w:rPr>
        <w:t xml:space="preserve">Essendo la fognatura comunale di tipo separato, tutte le acque reflue saranno convogliate con apposite tubazioni esclusivamente al collettore della rete nera, realizzando un pozzetto di ispezione prima dell’immissione in fogna. </w:t>
      </w:r>
    </w:p>
    <w:p w:rsidR="002B620B" w:rsidRPr="002B620B" w:rsidRDefault="002B620B" w:rsidP="00E2480E">
      <w:pPr>
        <w:numPr>
          <w:ilvl w:val="0"/>
          <w:numId w:val="6"/>
        </w:numPr>
        <w:spacing w:after="0" w:line="360" w:lineRule="auto"/>
        <w:contextualSpacing/>
        <w:jc w:val="both"/>
        <w:rPr>
          <w:rFonts w:ascii="Times New Roman" w:hAnsi="Times New Roman" w:cs="Times New Roman"/>
        </w:rPr>
      </w:pPr>
      <w:r w:rsidRPr="002B620B">
        <w:rPr>
          <w:rFonts w:ascii="Times New Roman" w:hAnsi="Times New Roman" w:cs="Times New Roman"/>
        </w:rPr>
        <w:t>I rifiuti solidi derivanti dall’attività in oggetto, non essendo rifiuti speciali, saranno trattati come nella normale attività di smaltimento dei rifiuti solidi urbani.</w:t>
      </w:r>
    </w:p>
    <w:p w:rsidR="002B620B" w:rsidRPr="002B620B" w:rsidRDefault="002B620B" w:rsidP="00E2480E">
      <w:pPr>
        <w:numPr>
          <w:ilvl w:val="0"/>
          <w:numId w:val="6"/>
        </w:numPr>
        <w:spacing w:after="0" w:line="360" w:lineRule="auto"/>
        <w:contextualSpacing/>
        <w:jc w:val="both"/>
        <w:rPr>
          <w:rFonts w:ascii="Times New Roman" w:hAnsi="Times New Roman" w:cs="Times New Roman"/>
        </w:rPr>
      </w:pPr>
      <w:r w:rsidRPr="002B620B">
        <w:rPr>
          <w:rFonts w:ascii="Times New Roman" w:hAnsi="Times New Roman" w:cs="Times New Roman"/>
        </w:rPr>
        <w:t>per quanto riguarda le modalità di allontanamento di vapori o fumi, si precisa che l’attività in oggetto non prevede la cottura di alimenti.</w:t>
      </w:r>
    </w:p>
    <w:p w:rsidR="002B620B" w:rsidRPr="002B620B" w:rsidRDefault="002B620B" w:rsidP="00E2480E">
      <w:pPr>
        <w:spacing w:after="0" w:line="360" w:lineRule="auto"/>
        <w:jc w:val="center"/>
        <w:rPr>
          <w:rFonts w:ascii="Times New Roman" w:hAnsi="Times New Roman" w:cs="Times New Roman"/>
        </w:rPr>
      </w:pPr>
    </w:p>
    <w:p w:rsidR="002B620B" w:rsidRPr="002B620B" w:rsidRDefault="006E2807" w:rsidP="00E2480E">
      <w:pPr>
        <w:spacing w:after="0" w:line="360" w:lineRule="auto"/>
        <w:jc w:val="both"/>
        <w:rPr>
          <w:rFonts w:ascii="Times New Roman" w:hAnsi="Times New Roman" w:cs="Times New Roman"/>
        </w:rPr>
      </w:pPr>
      <w:r>
        <w:rPr>
          <w:rFonts w:ascii="Times New Roman" w:hAnsi="Times New Roman" w:cs="Times New Roman"/>
        </w:rPr>
        <w:lastRenderedPageBreak/>
        <w:t xml:space="preserve">Allo scopo di garantire </w:t>
      </w:r>
      <w:r w:rsidR="002B620B" w:rsidRPr="002B620B">
        <w:rPr>
          <w:rFonts w:ascii="Times New Roman" w:hAnsi="Times New Roman" w:cs="Times New Roman"/>
        </w:rPr>
        <w:t xml:space="preserve">la </w:t>
      </w:r>
      <w:proofErr w:type="spellStart"/>
      <w:r w:rsidR="002B620B" w:rsidRPr="002B620B">
        <w:rPr>
          <w:rFonts w:ascii="Times New Roman" w:hAnsi="Times New Roman" w:cs="Times New Roman"/>
        </w:rPr>
        <w:t>visitabilità</w:t>
      </w:r>
      <w:proofErr w:type="spellEnd"/>
      <w:r w:rsidR="002B620B" w:rsidRPr="002B620B">
        <w:rPr>
          <w:rFonts w:ascii="Times New Roman" w:hAnsi="Times New Roman" w:cs="Times New Roman"/>
        </w:rPr>
        <w:t xml:space="preserve"> </w:t>
      </w:r>
      <w:r>
        <w:rPr>
          <w:rFonts w:ascii="Times New Roman" w:hAnsi="Times New Roman" w:cs="Times New Roman"/>
        </w:rPr>
        <w:t>del locale a</w:t>
      </w:r>
      <w:r w:rsidR="002B620B" w:rsidRPr="002B620B">
        <w:rPr>
          <w:rFonts w:ascii="Times New Roman" w:hAnsi="Times New Roman" w:cs="Times New Roman"/>
        </w:rPr>
        <w:t xml:space="preserve"> persone con ridotta o impedita capacità motoria, </w:t>
      </w:r>
      <w:r>
        <w:rPr>
          <w:rFonts w:ascii="Times New Roman" w:hAnsi="Times New Roman" w:cs="Times New Roman"/>
        </w:rPr>
        <w:t>è necessario inserire un elemento per il superamento della barriera architettonica gradino di ingres</w:t>
      </w:r>
      <w:r w:rsidR="006D0195">
        <w:rPr>
          <w:rFonts w:ascii="Times New Roman" w:hAnsi="Times New Roman" w:cs="Times New Roman"/>
        </w:rPr>
        <w:t>so al locale da via San Biagio.</w:t>
      </w:r>
    </w:p>
    <w:p w:rsidR="00334ACA" w:rsidRDefault="006D0195" w:rsidP="00E2480E">
      <w:pPr>
        <w:suppressAutoHyphens/>
        <w:spacing w:after="0" w:line="360" w:lineRule="auto"/>
        <w:jc w:val="both"/>
        <w:rPr>
          <w:rFonts w:ascii="Times New Roman" w:hAnsi="Times New Roman" w:cs="Times New Roman"/>
          <w:szCs w:val="24"/>
        </w:rPr>
      </w:pPr>
      <w:r>
        <w:rPr>
          <w:rFonts w:ascii="Times New Roman" w:hAnsi="Times New Roman" w:cs="Times New Roman"/>
          <w:szCs w:val="24"/>
        </w:rPr>
        <w:t>La disposizione e acquisto degli arredi è di competenza dell’affittuario.</w:t>
      </w:r>
    </w:p>
    <w:p w:rsidR="00334ACA" w:rsidRDefault="00334ACA" w:rsidP="0003499A">
      <w:pPr>
        <w:suppressAutoHyphens/>
        <w:spacing w:after="0" w:line="240" w:lineRule="auto"/>
        <w:jc w:val="both"/>
        <w:rPr>
          <w:rFonts w:ascii="Times New Roman" w:hAnsi="Times New Roman" w:cs="Times New Roman"/>
          <w:szCs w:val="24"/>
        </w:rPr>
      </w:pPr>
    </w:p>
    <w:p w:rsidR="00334ACA" w:rsidRDefault="00334ACA" w:rsidP="0003499A">
      <w:pPr>
        <w:suppressAutoHyphens/>
        <w:spacing w:after="0" w:line="240" w:lineRule="auto"/>
        <w:jc w:val="both"/>
        <w:rPr>
          <w:rFonts w:ascii="Times New Roman" w:hAnsi="Times New Roman" w:cs="Times New Roman"/>
          <w:szCs w:val="24"/>
        </w:rPr>
      </w:pPr>
    </w:p>
    <w:p w:rsidR="0003499A" w:rsidRPr="008B4BBA" w:rsidRDefault="0003499A" w:rsidP="0003499A">
      <w:pPr>
        <w:suppressAutoHyphens/>
        <w:spacing w:after="0" w:line="240" w:lineRule="auto"/>
        <w:jc w:val="both"/>
        <w:rPr>
          <w:rFonts w:ascii="Times New Roman" w:hAnsi="Times New Roman" w:cs="Times New Roman"/>
          <w:szCs w:val="24"/>
        </w:rPr>
      </w:pPr>
    </w:p>
    <w:p w:rsidR="0003499A" w:rsidRPr="008B4BBA" w:rsidRDefault="0003499A" w:rsidP="0003499A">
      <w:pPr>
        <w:suppressAutoHyphens/>
        <w:spacing w:after="0" w:line="240" w:lineRule="auto"/>
        <w:jc w:val="both"/>
        <w:rPr>
          <w:rFonts w:ascii="Times New Roman" w:eastAsia="Times New Roman" w:hAnsi="Times New Roman" w:cs="Times New Roman"/>
          <w:lang w:eastAsia="ar-SA"/>
        </w:rPr>
      </w:pPr>
    </w:p>
    <w:p w:rsidR="00455BFF" w:rsidRPr="008B4BBA" w:rsidRDefault="00455BFF" w:rsidP="00455BFF">
      <w:pPr>
        <w:suppressAutoHyphens/>
        <w:spacing w:after="0" w:line="240" w:lineRule="auto"/>
        <w:jc w:val="both"/>
        <w:rPr>
          <w:rFonts w:ascii="Times New Roman" w:eastAsia="Times New Roman" w:hAnsi="Times New Roman" w:cs="Times New Roman"/>
          <w:lang w:eastAsia="ar-SA"/>
        </w:rPr>
      </w:pPr>
    </w:p>
    <w:p w:rsidR="00F256FE" w:rsidRPr="008B4BBA" w:rsidRDefault="00F256FE" w:rsidP="00F256FE">
      <w:pPr>
        <w:suppressAutoHyphens/>
        <w:spacing w:after="0" w:line="240" w:lineRule="auto"/>
        <w:jc w:val="center"/>
        <w:rPr>
          <w:rFonts w:ascii="Times New Roman" w:eastAsia="Times New Roman" w:hAnsi="Times New Roman" w:cs="Times New Roman"/>
          <w:lang w:eastAsia="ar-SA"/>
        </w:rPr>
      </w:pPr>
    </w:p>
    <w:p w:rsidR="00DF43F0" w:rsidRPr="008B4BBA" w:rsidRDefault="00DF43F0" w:rsidP="008B42B0">
      <w:pPr>
        <w:suppressAutoHyphens/>
        <w:spacing w:after="0" w:line="240" w:lineRule="auto"/>
        <w:jc w:val="center"/>
        <w:rPr>
          <w:rFonts w:ascii="Times New Roman" w:eastAsia="Times New Roman" w:hAnsi="Times New Roman" w:cs="Times New Roman"/>
          <w:lang w:eastAsia="ar-SA"/>
        </w:rPr>
      </w:pPr>
    </w:p>
    <w:p w:rsidR="00536A21" w:rsidRDefault="00536A21" w:rsidP="000F7E98">
      <w:pPr>
        <w:suppressAutoHyphens/>
        <w:spacing w:after="0" w:line="240" w:lineRule="auto"/>
        <w:ind w:left="60"/>
        <w:jc w:val="both"/>
        <w:rPr>
          <w:rFonts w:ascii="Times New Roman" w:eastAsia="Times New Roman" w:hAnsi="Times New Roman" w:cs="Times New Roman"/>
          <w:lang w:eastAsia="ar-SA"/>
        </w:rPr>
      </w:pPr>
    </w:p>
    <w:p w:rsidR="008B42B0" w:rsidRDefault="008B42B0" w:rsidP="000F7E98">
      <w:pPr>
        <w:suppressAutoHyphens/>
        <w:spacing w:after="0" w:line="240" w:lineRule="auto"/>
        <w:ind w:left="60"/>
        <w:jc w:val="both"/>
        <w:rPr>
          <w:rFonts w:ascii="Times New Roman" w:eastAsia="Times New Roman" w:hAnsi="Times New Roman" w:cs="Times New Roman"/>
          <w:lang w:eastAsia="ar-SA"/>
        </w:rPr>
      </w:pPr>
    </w:p>
    <w:p w:rsidR="008B42B0" w:rsidRDefault="008B42B0" w:rsidP="008B42B0">
      <w:pPr>
        <w:suppressAutoHyphens/>
        <w:spacing w:after="0" w:line="240" w:lineRule="auto"/>
        <w:ind w:left="60"/>
        <w:jc w:val="center"/>
        <w:rPr>
          <w:rFonts w:ascii="Times New Roman" w:eastAsia="Times New Roman" w:hAnsi="Times New Roman" w:cs="Times New Roman"/>
          <w:lang w:eastAsia="ar-SA"/>
        </w:rPr>
      </w:pPr>
      <w:bookmarkStart w:id="0" w:name="_GoBack"/>
      <w:bookmarkEnd w:id="0"/>
    </w:p>
    <w:p w:rsidR="003D0688" w:rsidRDefault="003D0688" w:rsidP="000F7E98">
      <w:pPr>
        <w:suppressAutoHyphens/>
        <w:spacing w:after="0" w:line="240" w:lineRule="auto"/>
        <w:ind w:left="60"/>
        <w:jc w:val="both"/>
        <w:rPr>
          <w:rFonts w:ascii="Times New Roman" w:eastAsia="Times New Roman" w:hAnsi="Times New Roman" w:cs="Times New Roman"/>
          <w:u w:val="single"/>
          <w:lang w:eastAsia="ar-SA"/>
        </w:rPr>
      </w:pPr>
    </w:p>
    <w:p w:rsidR="008B42B0" w:rsidRDefault="008B42B0" w:rsidP="000F7E98">
      <w:pPr>
        <w:suppressAutoHyphens/>
        <w:spacing w:after="0" w:line="240" w:lineRule="auto"/>
        <w:ind w:left="60"/>
        <w:jc w:val="both"/>
        <w:rPr>
          <w:rFonts w:ascii="Times New Roman" w:eastAsia="Times New Roman" w:hAnsi="Times New Roman" w:cs="Times New Roman"/>
          <w:u w:val="single"/>
          <w:lang w:eastAsia="ar-SA"/>
        </w:rPr>
      </w:pPr>
    </w:p>
    <w:p w:rsidR="008B42B0" w:rsidRDefault="008B42B0" w:rsidP="000F7E98">
      <w:pPr>
        <w:suppressAutoHyphens/>
        <w:spacing w:after="0" w:line="240" w:lineRule="auto"/>
        <w:ind w:left="60"/>
        <w:jc w:val="both"/>
        <w:rPr>
          <w:rFonts w:ascii="Times New Roman" w:eastAsia="Times New Roman" w:hAnsi="Times New Roman" w:cs="Times New Roman"/>
          <w:u w:val="single"/>
          <w:lang w:eastAsia="ar-SA"/>
        </w:rPr>
      </w:pPr>
    </w:p>
    <w:p w:rsidR="003D0688" w:rsidRDefault="003D0688" w:rsidP="000F7E98">
      <w:pPr>
        <w:suppressAutoHyphens/>
        <w:spacing w:after="0" w:line="240" w:lineRule="auto"/>
        <w:ind w:left="60"/>
        <w:jc w:val="both"/>
        <w:rPr>
          <w:rFonts w:ascii="Times New Roman" w:eastAsia="Times New Roman" w:hAnsi="Times New Roman" w:cs="Times New Roman"/>
          <w:u w:val="single"/>
          <w:lang w:eastAsia="ar-SA"/>
        </w:rPr>
      </w:pPr>
    </w:p>
    <w:p w:rsidR="008B42B0" w:rsidRDefault="008B42B0" w:rsidP="00E2480E">
      <w:pPr>
        <w:suppressAutoHyphens/>
        <w:spacing w:after="0" w:line="240" w:lineRule="auto"/>
        <w:rPr>
          <w:rFonts w:ascii="Times New Roman" w:eastAsia="Times New Roman" w:hAnsi="Times New Roman" w:cs="Times New Roman"/>
          <w:u w:val="single"/>
          <w:lang w:eastAsia="ar-SA"/>
        </w:rPr>
      </w:pPr>
    </w:p>
    <w:sectPr w:rsidR="008B42B0" w:rsidSect="0003499A">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0F53"/>
    <w:multiLevelType w:val="hybridMultilevel"/>
    <w:tmpl w:val="D51C4164"/>
    <w:lvl w:ilvl="0" w:tplc="13946E96">
      <w:start w:val="5"/>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316E7D0A"/>
    <w:multiLevelType w:val="hybridMultilevel"/>
    <w:tmpl w:val="562A2044"/>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15:restartNumberingAfterBreak="0">
    <w:nsid w:val="39E121B3"/>
    <w:multiLevelType w:val="hybridMultilevel"/>
    <w:tmpl w:val="2BB058BC"/>
    <w:lvl w:ilvl="0" w:tplc="C5E21B4A">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3AB85D85"/>
    <w:multiLevelType w:val="hybridMultilevel"/>
    <w:tmpl w:val="E8F0BF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C21CEE"/>
    <w:multiLevelType w:val="hybridMultilevel"/>
    <w:tmpl w:val="87042D9A"/>
    <w:lvl w:ilvl="0" w:tplc="B0D2F4EC">
      <w:start w:val="1"/>
      <w:numFmt w:val="bullet"/>
      <w:lvlText w:val="-"/>
      <w:lvlJc w:val="left"/>
      <w:pPr>
        <w:ind w:left="1004" w:hanging="360"/>
      </w:pPr>
      <w:rPr>
        <w:rFonts w:ascii="Times New Roman" w:eastAsia="Calibr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61BC36F9"/>
    <w:multiLevelType w:val="hybridMultilevel"/>
    <w:tmpl w:val="6E3C5CA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6E463F8A"/>
    <w:multiLevelType w:val="hybridMultilevel"/>
    <w:tmpl w:val="1758EE02"/>
    <w:lvl w:ilvl="0" w:tplc="F9CA47AC">
      <w:start w:val="1"/>
      <w:numFmt w:val="decimal"/>
      <w:lvlText w:val="%1."/>
      <w:lvlJc w:val="left"/>
      <w:pPr>
        <w:ind w:left="644" w:hanging="36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2"/>
  </w:compat>
  <w:rsids>
    <w:rsidRoot w:val="00844A45"/>
    <w:rsid w:val="0001295C"/>
    <w:rsid w:val="000220ED"/>
    <w:rsid w:val="000335E9"/>
    <w:rsid w:val="00034100"/>
    <w:rsid w:val="0003499A"/>
    <w:rsid w:val="0005707E"/>
    <w:rsid w:val="00060410"/>
    <w:rsid w:val="00061EB7"/>
    <w:rsid w:val="00067815"/>
    <w:rsid w:val="000737DB"/>
    <w:rsid w:val="0007654A"/>
    <w:rsid w:val="000851C8"/>
    <w:rsid w:val="0008751E"/>
    <w:rsid w:val="000B7D0A"/>
    <w:rsid w:val="000E4A63"/>
    <w:rsid w:val="000F280B"/>
    <w:rsid w:val="000F5F37"/>
    <w:rsid w:val="000F7E98"/>
    <w:rsid w:val="001464DF"/>
    <w:rsid w:val="0017270E"/>
    <w:rsid w:val="00172F91"/>
    <w:rsid w:val="0017345F"/>
    <w:rsid w:val="00187540"/>
    <w:rsid w:val="001A2DE2"/>
    <w:rsid w:val="001E0FCB"/>
    <w:rsid w:val="00213033"/>
    <w:rsid w:val="00227A4F"/>
    <w:rsid w:val="00252B25"/>
    <w:rsid w:val="00255720"/>
    <w:rsid w:val="00261749"/>
    <w:rsid w:val="00282974"/>
    <w:rsid w:val="002B1B73"/>
    <w:rsid w:val="002B1E9B"/>
    <w:rsid w:val="002B620B"/>
    <w:rsid w:val="002D6BE5"/>
    <w:rsid w:val="002E26CA"/>
    <w:rsid w:val="002E4CFD"/>
    <w:rsid w:val="002F4030"/>
    <w:rsid w:val="00315CCF"/>
    <w:rsid w:val="003168A0"/>
    <w:rsid w:val="003220D4"/>
    <w:rsid w:val="00334ACA"/>
    <w:rsid w:val="003679AE"/>
    <w:rsid w:val="003702E3"/>
    <w:rsid w:val="00372AC1"/>
    <w:rsid w:val="00390AE8"/>
    <w:rsid w:val="003A169D"/>
    <w:rsid w:val="003A50C4"/>
    <w:rsid w:val="003A71BC"/>
    <w:rsid w:val="003C2377"/>
    <w:rsid w:val="003C5087"/>
    <w:rsid w:val="003C5503"/>
    <w:rsid w:val="003D0688"/>
    <w:rsid w:val="003D21CC"/>
    <w:rsid w:val="00404606"/>
    <w:rsid w:val="0040549C"/>
    <w:rsid w:val="00410AA3"/>
    <w:rsid w:val="00414DEB"/>
    <w:rsid w:val="00415549"/>
    <w:rsid w:val="00455BFF"/>
    <w:rsid w:val="00465973"/>
    <w:rsid w:val="00467BC1"/>
    <w:rsid w:val="004925C5"/>
    <w:rsid w:val="004A4A33"/>
    <w:rsid w:val="004B30F6"/>
    <w:rsid w:val="004E58FE"/>
    <w:rsid w:val="004E6F7C"/>
    <w:rsid w:val="005066EA"/>
    <w:rsid w:val="00515C57"/>
    <w:rsid w:val="0051666D"/>
    <w:rsid w:val="00536A21"/>
    <w:rsid w:val="00540E42"/>
    <w:rsid w:val="00560091"/>
    <w:rsid w:val="00576AD8"/>
    <w:rsid w:val="00577715"/>
    <w:rsid w:val="00596C66"/>
    <w:rsid w:val="005A1877"/>
    <w:rsid w:val="005A3DCE"/>
    <w:rsid w:val="005A3F02"/>
    <w:rsid w:val="005C0C6E"/>
    <w:rsid w:val="005C44C6"/>
    <w:rsid w:val="005C6416"/>
    <w:rsid w:val="005D115B"/>
    <w:rsid w:val="00674671"/>
    <w:rsid w:val="006834A9"/>
    <w:rsid w:val="00684053"/>
    <w:rsid w:val="00695D58"/>
    <w:rsid w:val="006B45CA"/>
    <w:rsid w:val="006B6814"/>
    <w:rsid w:val="006D0195"/>
    <w:rsid w:val="006D4210"/>
    <w:rsid w:val="006D685C"/>
    <w:rsid w:val="006E2807"/>
    <w:rsid w:val="006F5607"/>
    <w:rsid w:val="007171E8"/>
    <w:rsid w:val="00720963"/>
    <w:rsid w:val="00720E38"/>
    <w:rsid w:val="00730E07"/>
    <w:rsid w:val="00737FC3"/>
    <w:rsid w:val="00747708"/>
    <w:rsid w:val="0075438B"/>
    <w:rsid w:val="00765558"/>
    <w:rsid w:val="00776E0B"/>
    <w:rsid w:val="007C5BB6"/>
    <w:rsid w:val="007E4CD6"/>
    <w:rsid w:val="007E6659"/>
    <w:rsid w:val="007F2033"/>
    <w:rsid w:val="0082654B"/>
    <w:rsid w:val="00834CCF"/>
    <w:rsid w:val="008376AD"/>
    <w:rsid w:val="00844479"/>
    <w:rsid w:val="00844A45"/>
    <w:rsid w:val="00850E77"/>
    <w:rsid w:val="00864CE7"/>
    <w:rsid w:val="00877CE1"/>
    <w:rsid w:val="008B2E57"/>
    <w:rsid w:val="008B42B0"/>
    <w:rsid w:val="008B4BBA"/>
    <w:rsid w:val="008E59AE"/>
    <w:rsid w:val="008E7874"/>
    <w:rsid w:val="008F0B11"/>
    <w:rsid w:val="00904CF4"/>
    <w:rsid w:val="009635D7"/>
    <w:rsid w:val="00965C51"/>
    <w:rsid w:val="009838D5"/>
    <w:rsid w:val="00995E23"/>
    <w:rsid w:val="009B17D9"/>
    <w:rsid w:val="009B315F"/>
    <w:rsid w:val="009C1E45"/>
    <w:rsid w:val="009E524B"/>
    <w:rsid w:val="00A02D67"/>
    <w:rsid w:val="00A24560"/>
    <w:rsid w:val="00A268C4"/>
    <w:rsid w:val="00A3711B"/>
    <w:rsid w:val="00A75E4C"/>
    <w:rsid w:val="00A82CB3"/>
    <w:rsid w:val="00A856AF"/>
    <w:rsid w:val="00AA027C"/>
    <w:rsid w:val="00AB588E"/>
    <w:rsid w:val="00B01C73"/>
    <w:rsid w:val="00B14725"/>
    <w:rsid w:val="00B15D35"/>
    <w:rsid w:val="00B32997"/>
    <w:rsid w:val="00B32C0E"/>
    <w:rsid w:val="00B44733"/>
    <w:rsid w:val="00B81AE9"/>
    <w:rsid w:val="00B82EE8"/>
    <w:rsid w:val="00B83199"/>
    <w:rsid w:val="00B8371A"/>
    <w:rsid w:val="00B901D1"/>
    <w:rsid w:val="00B9570E"/>
    <w:rsid w:val="00BA27CC"/>
    <w:rsid w:val="00BD0BFB"/>
    <w:rsid w:val="00BD3F56"/>
    <w:rsid w:val="00BE255E"/>
    <w:rsid w:val="00BE5059"/>
    <w:rsid w:val="00C0399A"/>
    <w:rsid w:val="00C13925"/>
    <w:rsid w:val="00C1795A"/>
    <w:rsid w:val="00C23748"/>
    <w:rsid w:val="00C27082"/>
    <w:rsid w:val="00C56C95"/>
    <w:rsid w:val="00C87EF8"/>
    <w:rsid w:val="00C903A0"/>
    <w:rsid w:val="00CC49F8"/>
    <w:rsid w:val="00CD2B83"/>
    <w:rsid w:val="00CF0323"/>
    <w:rsid w:val="00D005AB"/>
    <w:rsid w:val="00D05C60"/>
    <w:rsid w:val="00D0624C"/>
    <w:rsid w:val="00D14EB2"/>
    <w:rsid w:val="00D52B5E"/>
    <w:rsid w:val="00D60507"/>
    <w:rsid w:val="00D74B7F"/>
    <w:rsid w:val="00D82051"/>
    <w:rsid w:val="00D84E10"/>
    <w:rsid w:val="00D933E7"/>
    <w:rsid w:val="00DC3618"/>
    <w:rsid w:val="00DD39E9"/>
    <w:rsid w:val="00DD5346"/>
    <w:rsid w:val="00DE09C9"/>
    <w:rsid w:val="00DF43F0"/>
    <w:rsid w:val="00DF66E1"/>
    <w:rsid w:val="00E038F1"/>
    <w:rsid w:val="00E03AB7"/>
    <w:rsid w:val="00E053AB"/>
    <w:rsid w:val="00E2480E"/>
    <w:rsid w:val="00E40CF3"/>
    <w:rsid w:val="00E53273"/>
    <w:rsid w:val="00E72738"/>
    <w:rsid w:val="00EA1ECD"/>
    <w:rsid w:val="00F0220E"/>
    <w:rsid w:val="00F02AFE"/>
    <w:rsid w:val="00F0626B"/>
    <w:rsid w:val="00F11AC7"/>
    <w:rsid w:val="00F256FE"/>
    <w:rsid w:val="00F31249"/>
    <w:rsid w:val="00F44651"/>
    <w:rsid w:val="00F4586C"/>
    <w:rsid w:val="00F75617"/>
    <w:rsid w:val="00F75EDC"/>
    <w:rsid w:val="00FA00F1"/>
    <w:rsid w:val="00FC1E05"/>
    <w:rsid w:val="00FD1AAF"/>
    <w:rsid w:val="00FE2E3C"/>
    <w:rsid w:val="00FE4A15"/>
    <w:rsid w:val="00FF37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4B836"/>
  <w15:docId w15:val="{DA911A2C-C07D-46C1-BB5C-210C3F11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4A45"/>
    <w:pPr>
      <w:spacing w:after="160" w:line="259"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844A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90AE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0AE8"/>
    <w:rPr>
      <w:rFonts w:ascii="Segoe UI" w:hAnsi="Segoe UI" w:cs="Segoe UI"/>
      <w:sz w:val="18"/>
      <w:szCs w:val="18"/>
      <w:lang w:eastAsia="en-US"/>
    </w:rPr>
  </w:style>
  <w:style w:type="paragraph" w:styleId="Paragrafoelenco">
    <w:name w:val="List Paragraph"/>
    <w:basedOn w:val="Normale"/>
    <w:uiPriority w:val="34"/>
    <w:qFormat/>
    <w:rsid w:val="00213033"/>
    <w:pPr>
      <w:ind w:left="720"/>
      <w:contextualSpacing/>
    </w:pPr>
  </w:style>
  <w:style w:type="character" w:styleId="Collegamentoipertestuale">
    <w:name w:val="Hyperlink"/>
    <w:basedOn w:val="Carpredefinitoparagrafo"/>
    <w:uiPriority w:val="99"/>
    <w:unhideWhenUsed/>
    <w:rsid w:val="00A75E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502</Words>
  <Characters>2865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REGIONE LAZIO</vt:lpstr>
    </vt:vector>
  </TitlesOfParts>
  <Company>Microsoft</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LAZIO</dc:title>
  <dc:creator>Utente</dc:creator>
  <cp:lastModifiedBy>Dell1</cp:lastModifiedBy>
  <cp:revision>7</cp:revision>
  <cp:lastPrinted>2018-01-23T13:41:00Z</cp:lastPrinted>
  <dcterms:created xsi:type="dcterms:W3CDTF">2020-06-16T13:01:00Z</dcterms:created>
  <dcterms:modified xsi:type="dcterms:W3CDTF">2020-11-06T11:09:00Z</dcterms:modified>
</cp:coreProperties>
</file>