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28" w:rsidRDefault="00230709">
      <w:pPr>
        <w:pStyle w:val="Corpotesto"/>
        <w:spacing w:after="120" w:line="360" w:lineRule="auto"/>
        <w:ind w:left="212" w:right="212"/>
        <w:jc w:val="both"/>
        <w:rPr>
          <w:b/>
          <w:bCs/>
          <w:i w:val="0"/>
        </w:rPr>
      </w:pPr>
      <w:r>
        <w:rPr>
          <w:b/>
          <w:bCs/>
          <w:i w:val="0"/>
        </w:rPr>
        <w:t>OGGETTO:</w:t>
      </w:r>
    </w:p>
    <w:p w:rsidR="00E96D28" w:rsidRDefault="00230709">
      <w:pPr>
        <w:pStyle w:val="Corpotesto"/>
        <w:spacing w:after="120" w:line="360" w:lineRule="auto"/>
        <w:ind w:left="212" w:right="212"/>
        <w:jc w:val="both"/>
        <w:rPr>
          <w:b/>
          <w:bCs/>
          <w:i w:val="0"/>
        </w:rPr>
      </w:pPr>
      <w:r>
        <w:rPr>
          <w:b/>
          <w:bCs/>
          <w:i w:val="0"/>
        </w:rPr>
        <w:t xml:space="preserve">AREA INTERNA VALNERINA: APPROVAZIONE DEFINITIVA STRATEGIA, RELATIVA DOCUMENTAZIONE E SCHEMA DI ACCORDO DI PROGRAMMA QUADRO </w:t>
      </w:r>
    </w:p>
    <w:p w:rsidR="00E96D28" w:rsidRDefault="00E96D28">
      <w:pPr>
        <w:pStyle w:val="Corpotesto"/>
        <w:spacing w:after="120" w:line="360" w:lineRule="auto"/>
      </w:pPr>
    </w:p>
    <w:p w:rsidR="00E96D28" w:rsidRDefault="00230709">
      <w:pPr>
        <w:pStyle w:val="Corpotesto"/>
        <w:spacing w:after="120" w:line="360" w:lineRule="auto"/>
        <w:ind w:left="212"/>
        <w:jc w:val="both"/>
        <w:rPr>
          <w:i w:val="0"/>
        </w:rPr>
      </w:pPr>
      <w:r>
        <w:rPr>
          <w:i w:val="0"/>
        </w:rPr>
        <w:t xml:space="preserve"> </w:t>
      </w:r>
      <w:r>
        <w:rPr>
          <w:b/>
          <w:bCs/>
          <w:i w:val="0"/>
        </w:rPr>
        <w:t>VISTA:</w:t>
      </w:r>
    </w:p>
    <w:p w:rsidR="00E96D28" w:rsidRDefault="00230709">
      <w:pPr>
        <w:numPr>
          <w:ilvl w:val="0"/>
          <w:numId w:val="1"/>
        </w:numPr>
        <w:spacing w:after="120" w:line="360" w:lineRule="auto"/>
        <w:ind w:left="567" w:hanging="360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la DGR della Regione dell’Umbria n. 996 del 4 agosto 2014, avente ad oggetto “Programmazione comunitaria 2014-2020. Primi indirizzi per la definizione della </w:t>
      </w:r>
      <w:proofErr w:type="spellStart"/>
      <w:r>
        <w:rPr>
          <w:rFonts w:eastAsia="Calibri"/>
          <w:kern w:val="2"/>
          <w:sz w:val="24"/>
          <w:szCs w:val="24"/>
        </w:rPr>
        <w:t>governance</w:t>
      </w:r>
      <w:proofErr w:type="spellEnd"/>
      <w:r>
        <w:rPr>
          <w:rFonts w:eastAsia="Calibri"/>
          <w:kern w:val="2"/>
          <w:sz w:val="24"/>
          <w:szCs w:val="24"/>
        </w:rPr>
        <w:t xml:space="preserve">, delle procedure e delle modalità di attuazione delle strategie per Aree Interne e Agenda Urbana”, che, in attuazione di quanto previsto dal Quadro Strategico Regionale 2014-2020 e, in particolare, dal paragrafo 5 “La </w:t>
      </w:r>
      <w:proofErr w:type="spellStart"/>
      <w:r>
        <w:rPr>
          <w:rFonts w:eastAsia="Calibri"/>
          <w:kern w:val="2"/>
          <w:sz w:val="24"/>
          <w:szCs w:val="24"/>
        </w:rPr>
        <w:t>governance</w:t>
      </w:r>
      <w:proofErr w:type="spellEnd"/>
      <w:r>
        <w:rPr>
          <w:rFonts w:eastAsia="Calibri"/>
          <w:kern w:val="2"/>
          <w:sz w:val="24"/>
          <w:szCs w:val="24"/>
        </w:rPr>
        <w:t xml:space="preserve"> per la programmazione 2014-2020”, individua il Servizio Programmazione negoziata e politica di coesione della Direzione Programmazione, Innovazione e Competitività dell’Umbria per lo svolgimento delle funzioni di raccordo tra i diversi programmi, sotto gli aspetti procedurali e finanziari, nonché di coordinamento e di cura del rapporto con le Amministrazioni centrali e gli Enti locali coinvolti nella definizione e attuazione della Strategia;</w:t>
      </w:r>
    </w:p>
    <w:p w:rsidR="00E96D28" w:rsidRDefault="00230709">
      <w:pPr>
        <w:numPr>
          <w:ilvl w:val="0"/>
          <w:numId w:val="1"/>
        </w:numPr>
        <w:spacing w:after="120" w:line="360" w:lineRule="auto"/>
        <w:ind w:left="567" w:hanging="360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la DGR della Regione Umbria n. 213 del 2 marzo 2015, avente ad oggetto “Programmazione 2014-2020 “Strategia Aree Interne”. Presa d’atto del rapporto istruttorio del Comitato tecnico nazionale sulla </w:t>
      </w:r>
      <w:proofErr w:type="spellStart"/>
      <w:r>
        <w:rPr>
          <w:rFonts w:eastAsia="Calibri"/>
          <w:kern w:val="2"/>
          <w:sz w:val="24"/>
          <w:szCs w:val="24"/>
        </w:rPr>
        <w:t>candidabilità</w:t>
      </w:r>
      <w:proofErr w:type="spellEnd"/>
      <w:r>
        <w:rPr>
          <w:rFonts w:eastAsia="Calibri"/>
          <w:kern w:val="2"/>
          <w:sz w:val="24"/>
          <w:szCs w:val="24"/>
        </w:rPr>
        <w:t xml:space="preserve"> delle aree”, che conferma l’individuazione </w:t>
      </w:r>
      <w:r w:rsidRPr="00CE542A">
        <w:rPr>
          <w:rFonts w:eastAsia="Calibri"/>
          <w:kern w:val="2"/>
          <w:sz w:val="24"/>
          <w:szCs w:val="24"/>
        </w:rPr>
        <w:t xml:space="preserve">delle tre aree interne della Regione Umbria, quali Sud Ovest Orvietano, Nord Est Umbria, </w:t>
      </w:r>
      <w:proofErr w:type="spellStart"/>
      <w:r w:rsidRPr="00CE542A">
        <w:rPr>
          <w:rFonts w:eastAsia="Calibri"/>
          <w:kern w:val="2"/>
          <w:sz w:val="24"/>
          <w:szCs w:val="24"/>
        </w:rPr>
        <w:t>Valnerina</w:t>
      </w:r>
      <w:proofErr w:type="spellEnd"/>
      <w:r w:rsidRPr="00CE542A">
        <w:rPr>
          <w:rFonts w:eastAsia="Calibri"/>
          <w:kern w:val="2"/>
          <w:sz w:val="24"/>
          <w:szCs w:val="24"/>
        </w:rPr>
        <w:t xml:space="preserve"> </w:t>
      </w:r>
      <w:r>
        <w:rPr>
          <w:rFonts w:eastAsia="Calibri"/>
          <w:kern w:val="2"/>
          <w:sz w:val="24"/>
          <w:szCs w:val="24"/>
        </w:rPr>
        <w:t xml:space="preserve">e prende atto delle conclusioni istruttorie riportate nel rapporto istruttorio trasmesso dal Comitato tecnico nazionale aree interne dal quale risulta che tutte e tre le aree individuate dall’Amministrazione regionale risultano candidabili e possiedono le caratteristiche per essere inserite nell’ambito della Strategia </w:t>
      </w:r>
      <w:bookmarkStart w:id="0" w:name="_GoBack"/>
      <w:bookmarkEnd w:id="0"/>
      <w:r>
        <w:rPr>
          <w:rFonts w:eastAsia="Calibri"/>
          <w:kern w:val="2"/>
          <w:sz w:val="24"/>
          <w:szCs w:val="24"/>
        </w:rPr>
        <w:t>Aree Interne per il periodo di programmazione 2014-2020;</w:t>
      </w:r>
    </w:p>
    <w:p w:rsidR="00E96D28" w:rsidRDefault="00230709">
      <w:pPr>
        <w:numPr>
          <w:ilvl w:val="0"/>
          <w:numId w:val="1"/>
        </w:numPr>
        <w:spacing w:after="120" w:line="360" w:lineRule="auto"/>
        <w:ind w:left="567" w:hanging="360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la DGR n. 399 del 27 marzo 2015, avente ad oggetto “Programmazione 2014-2020 Strategia Aree Interne. Definizione budget finanziario, modello organizzativo e primi indirizzi operativi per l’attuazione”, che individua le soluzioni operative per la partecipazione dei diversi programmi regionali dei Fondi strutturali e di investimento europei alla Strategia aree interne e per garantire la coerenza delle modalità di individuazione degli interventi che verranno finanziati nelle aree interne rispetto ai vincoli provenienti dalle risorse comunitarie a disposizione;</w:t>
      </w:r>
    </w:p>
    <w:p w:rsidR="00E96D28" w:rsidRDefault="00230709">
      <w:pPr>
        <w:numPr>
          <w:ilvl w:val="0"/>
          <w:numId w:val="1"/>
        </w:numPr>
        <w:spacing w:after="120" w:line="360" w:lineRule="auto"/>
        <w:ind w:left="567" w:hanging="360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la DGR n. 1532 del 19 dicembre 2016, avente ad oggetto “Programmazione comunitaria 2014-2020. ITI Trasimeno e Strategia Aree interne. Determinazioni in merito agli elementi caratterizzanti le strategie territoriali: risorse aggiuntive dedicate e metodo della co-progettazione”, che conferma il </w:t>
      </w:r>
      <w:r>
        <w:rPr>
          <w:rFonts w:eastAsia="Calibri"/>
          <w:kern w:val="2"/>
          <w:sz w:val="24"/>
          <w:szCs w:val="24"/>
        </w:rPr>
        <w:lastRenderedPageBreak/>
        <w:t>carattere aggiuntivo e dedicato delle risorse finanziarie del POR FESR, POR FSE e del PSR-FEASR del ciclo di programmazione 2014-2020 che concorrono al finanziamento delle Aree interne e il metodo della co-progettazione quale strumento per costruire le Strategie territoriali che consente l’individuazione dei relativi interventi nel rispetto dei criteri di selezione approvati dai Comitati di Sorveglianza dei rispettivi Programmi;</w:t>
      </w:r>
    </w:p>
    <w:p w:rsidR="00E96D28" w:rsidRDefault="00230709">
      <w:pPr>
        <w:numPr>
          <w:ilvl w:val="0"/>
          <w:numId w:val="1"/>
        </w:numPr>
        <w:spacing w:after="120" w:line="360" w:lineRule="auto"/>
        <w:ind w:left="567" w:hanging="360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la DGR n. 1536 del 19 dicembre 2016, avente ad oggetto “Procedure operative per la definizione delle Strategie di sviluppo delle Aree interne, modalità di svolgimento delle attività istruttorie e di validazione a carico dell’Unità tecnica di coordinamento istituita con la DGR n. 399/2015”, che approva le:</w:t>
      </w:r>
    </w:p>
    <w:p w:rsidR="00E96D28" w:rsidRDefault="00230709">
      <w:pPr>
        <w:pStyle w:val="Paragrafoelenco"/>
        <w:numPr>
          <w:ilvl w:val="0"/>
          <w:numId w:val="2"/>
        </w:numPr>
        <w:spacing w:after="120" w:line="360" w:lineRule="auto"/>
        <w:ind w:left="1560" w:hanging="426"/>
        <w:contextualSpacing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procedure e modalità per la presentazione delle proposte di Strategia d’area e delle operazioni attuative delle stesse;</w:t>
      </w:r>
    </w:p>
    <w:p w:rsidR="00E96D28" w:rsidRDefault="00230709">
      <w:pPr>
        <w:pStyle w:val="Paragrafoelenco"/>
        <w:numPr>
          <w:ilvl w:val="0"/>
          <w:numId w:val="2"/>
        </w:numPr>
        <w:spacing w:after="120" w:line="360" w:lineRule="auto"/>
        <w:ind w:left="1560" w:hanging="426"/>
        <w:contextualSpacing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procedure di definizione della Strategia di sviluppo dell’area e modalità di valutazione delle proposte di strategia attraverso le quali saranno effettuate l’istruttoria delle progettualità da parte dell’Unità tecnica di coordinamento per l’attuazione della Strategia d’area e la conseguente validazione della strategia stessa;</w:t>
      </w:r>
    </w:p>
    <w:p w:rsidR="00E96D28" w:rsidRDefault="00230709">
      <w:pPr>
        <w:spacing w:after="120" w:line="360" w:lineRule="auto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b/>
          <w:sz w:val="24"/>
          <w:szCs w:val="24"/>
        </w:rPr>
        <w:t>PRESO ATTO</w:t>
      </w:r>
      <w:r>
        <w:rPr>
          <w:rFonts w:eastAsia="Calibri"/>
          <w:kern w:val="2"/>
          <w:sz w:val="24"/>
          <w:szCs w:val="24"/>
        </w:rPr>
        <w:t xml:space="preserve"> della nota </w:t>
      </w:r>
      <w:proofErr w:type="spellStart"/>
      <w:r>
        <w:rPr>
          <w:rFonts w:eastAsia="Calibri"/>
          <w:kern w:val="2"/>
          <w:sz w:val="24"/>
          <w:szCs w:val="24"/>
        </w:rPr>
        <w:t>prot</w:t>
      </w:r>
      <w:proofErr w:type="spellEnd"/>
      <w:r>
        <w:rPr>
          <w:rFonts w:eastAsia="Calibri"/>
          <w:kern w:val="2"/>
          <w:sz w:val="24"/>
          <w:szCs w:val="24"/>
        </w:rPr>
        <w:t>. n. 8480 del 29 aprile 2019, acquisita al protocollo regionale n. 0083282-2019-E-del 30 aprile 2019, con la quale il Sindaco del Comune di Norcia Capofila ha trasmesso:</w:t>
      </w:r>
    </w:p>
    <w:p w:rsidR="00E96D28" w:rsidRDefault="00230709">
      <w:pPr>
        <w:numPr>
          <w:ilvl w:val="0"/>
          <w:numId w:val="3"/>
        </w:numPr>
        <w:spacing w:after="120" w:line="360" w:lineRule="auto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il Preliminare rafforzato della Strategia dell’Area Interna </w:t>
      </w:r>
      <w:proofErr w:type="spellStart"/>
      <w:r>
        <w:rPr>
          <w:rFonts w:eastAsia="Calibri"/>
          <w:kern w:val="2"/>
          <w:sz w:val="24"/>
          <w:szCs w:val="24"/>
        </w:rPr>
        <w:t>Valnerina</w:t>
      </w:r>
      <w:proofErr w:type="spellEnd"/>
      <w:r>
        <w:rPr>
          <w:rFonts w:eastAsia="Calibri"/>
          <w:kern w:val="2"/>
          <w:sz w:val="24"/>
          <w:szCs w:val="24"/>
        </w:rPr>
        <w:t>;</w:t>
      </w:r>
    </w:p>
    <w:p w:rsidR="00E96D28" w:rsidRDefault="00230709">
      <w:pPr>
        <w:numPr>
          <w:ilvl w:val="0"/>
          <w:numId w:val="3"/>
        </w:numPr>
        <w:spacing w:after="120" w:line="360" w:lineRule="auto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le schede di dettaglio per ciascuna proposta progettuale attuativa della strategia;</w:t>
      </w:r>
    </w:p>
    <w:p w:rsidR="00E96D28" w:rsidRDefault="00230709">
      <w:pPr>
        <w:numPr>
          <w:ilvl w:val="0"/>
          <w:numId w:val="3"/>
        </w:numPr>
        <w:spacing w:after="120" w:line="360" w:lineRule="auto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la tabella che individua i risultati attesi e gli indicatori di risultato e di realizzazione;</w:t>
      </w:r>
    </w:p>
    <w:p w:rsidR="00E96D28" w:rsidRDefault="00230709">
      <w:pPr>
        <w:spacing w:after="120" w:line="360" w:lineRule="auto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b/>
          <w:kern w:val="2"/>
          <w:sz w:val="24"/>
          <w:szCs w:val="24"/>
        </w:rPr>
        <w:t xml:space="preserve">PRESO ATTO </w:t>
      </w:r>
      <w:r>
        <w:rPr>
          <w:rFonts w:eastAsia="Calibri"/>
          <w:kern w:val="2"/>
          <w:sz w:val="24"/>
          <w:szCs w:val="24"/>
        </w:rPr>
        <w:t xml:space="preserve">delle seguenti Delibere di Consiglio Comunale: </w:t>
      </w:r>
    </w:p>
    <w:tbl>
      <w:tblPr>
        <w:tblStyle w:val="Grigliatabella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59"/>
        <w:gridCol w:w="2694"/>
        <w:gridCol w:w="2128"/>
      </w:tblGrid>
      <w:tr w:rsidR="00E96D28">
        <w:trPr>
          <w:trHeight w:val="694"/>
        </w:trPr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ESTREMI ATTO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b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ARRONE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17/03/2019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19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CASCIA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16/04/2019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16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CERRETO DI SPOLETO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30/04/2019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23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FERENTILLO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24/04/2019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16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MONTEFRANCO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30/04/2019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14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MONTELEONE DI SPOLETO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29/04/2019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22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NORCIA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30/04/2019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10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POGGIODOMO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29/04/2019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10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POLINO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24/05/2019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11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COMUNE di PRECI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13/04/2019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19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SANT’ANATOLIA DI NARCO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23/04/2019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4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SCHEGGINO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29/01/2019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6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SELLANO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24/04/2019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20</w:t>
            </w:r>
          </w:p>
        </w:tc>
      </w:tr>
      <w:tr w:rsidR="00E96D28">
        <w:tc>
          <w:tcPr>
            <w:tcW w:w="4959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COMUNE di VALLO DI NERA</w:t>
            </w:r>
          </w:p>
        </w:tc>
        <w:tc>
          <w:tcPr>
            <w:tcW w:w="2694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17/04/2019</w:t>
            </w:r>
          </w:p>
        </w:tc>
        <w:tc>
          <w:tcPr>
            <w:tcW w:w="2128" w:type="dxa"/>
          </w:tcPr>
          <w:p w:rsidR="00E96D28" w:rsidRDefault="00230709">
            <w:pPr>
              <w:spacing w:after="120"/>
              <w:ind w:right="210"/>
              <w:jc w:val="both"/>
              <w:textAlignment w:val="baseline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n. 11</w:t>
            </w:r>
          </w:p>
        </w:tc>
      </w:tr>
    </w:tbl>
    <w:p w:rsidR="00E96D28" w:rsidRDefault="00E96D28">
      <w:pPr>
        <w:spacing w:after="120" w:line="360" w:lineRule="auto"/>
        <w:ind w:left="567" w:right="1"/>
        <w:jc w:val="both"/>
        <w:textAlignment w:val="baseline"/>
        <w:rPr>
          <w:rFonts w:eastAsia="Calibri"/>
          <w:kern w:val="2"/>
          <w:sz w:val="24"/>
          <w:szCs w:val="24"/>
        </w:rPr>
      </w:pPr>
    </w:p>
    <w:p w:rsidR="00E96D28" w:rsidRDefault="00230709">
      <w:pPr>
        <w:spacing w:after="120" w:line="360" w:lineRule="auto"/>
        <w:ind w:left="567" w:right="1"/>
        <w:jc w:val="both"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con le quali i Comuni dell’Area Interna </w:t>
      </w:r>
      <w:proofErr w:type="spellStart"/>
      <w:r>
        <w:rPr>
          <w:rFonts w:eastAsia="Calibri"/>
          <w:kern w:val="2"/>
          <w:sz w:val="24"/>
          <w:szCs w:val="24"/>
        </w:rPr>
        <w:t>Valnerina</w:t>
      </w:r>
      <w:proofErr w:type="spellEnd"/>
      <w:r>
        <w:rPr>
          <w:rFonts w:eastAsia="Calibri"/>
          <w:kern w:val="2"/>
          <w:sz w:val="24"/>
          <w:szCs w:val="24"/>
        </w:rPr>
        <w:t xml:space="preserve"> hanno approvato il preliminare rafforzato della Strategia dell’Area Interna) nonché le schede degli interventi;</w:t>
      </w:r>
    </w:p>
    <w:p w:rsidR="00E96D28" w:rsidRDefault="00230709">
      <w:pPr>
        <w:pStyle w:val="Paragrafoelenco"/>
        <w:numPr>
          <w:ilvl w:val="0"/>
          <w:numId w:val="3"/>
        </w:numPr>
        <w:spacing w:after="120" w:line="360" w:lineRule="auto"/>
        <w:ind w:left="567" w:right="1" w:hanging="425"/>
        <w:contextualSpacing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la DGR n. 557 del 6 maggio 2019, avente ad oggetto “Programmazione 2014-2020 - Strategia Nazionale Aree Interne – Approvazione del documento “Preliminare rafforzato di Strategia dell’area interna </w:t>
      </w:r>
      <w:proofErr w:type="spellStart"/>
      <w:r>
        <w:rPr>
          <w:rFonts w:eastAsia="Calibri"/>
          <w:kern w:val="2"/>
          <w:sz w:val="24"/>
          <w:szCs w:val="24"/>
        </w:rPr>
        <w:t>Valnerina</w:t>
      </w:r>
      <w:proofErr w:type="spellEnd"/>
      <w:r>
        <w:rPr>
          <w:rFonts w:eastAsia="Calibri"/>
          <w:kern w:val="2"/>
          <w:sz w:val="24"/>
          <w:szCs w:val="24"/>
        </w:rPr>
        <w:t xml:space="preserve">” e dei relativi allegati”, con la quale si prende atto del parere unitario espresso dall’Unità tecnica di coordinamento sul Preliminare rafforzato di strategia e si approva, nelle more dell’espressione del parere da parte del Comitato tecnico nazionale aree interne, il Preliminare rafforzato di Strategia dell’Area </w:t>
      </w:r>
      <w:proofErr w:type="spellStart"/>
      <w:r>
        <w:rPr>
          <w:rFonts w:eastAsia="Calibri"/>
          <w:kern w:val="2"/>
          <w:sz w:val="24"/>
          <w:szCs w:val="24"/>
        </w:rPr>
        <w:t>Valnerina</w:t>
      </w:r>
      <w:proofErr w:type="spellEnd"/>
      <w:r>
        <w:rPr>
          <w:rFonts w:eastAsia="Calibri"/>
          <w:kern w:val="2"/>
          <w:sz w:val="24"/>
          <w:szCs w:val="24"/>
        </w:rPr>
        <w:t xml:space="preserve"> dal titolo “</w:t>
      </w:r>
      <w:proofErr w:type="spellStart"/>
      <w:r>
        <w:rPr>
          <w:rFonts w:eastAsia="Calibri"/>
          <w:kern w:val="2"/>
          <w:sz w:val="24"/>
          <w:szCs w:val="24"/>
        </w:rPr>
        <w:t>Valnerina</w:t>
      </w:r>
      <w:proofErr w:type="spellEnd"/>
      <w:r>
        <w:rPr>
          <w:rFonts w:eastAsia="Calibri"/>
          <w:kern w:val="2"/>
          <w:sz w:val="24"/>
          <w:szCs w:val="24"/>
        </w:rPr>
        <w:t xml:space="preserve"> 14 comunità una sola idea”;</w:t>
      </w:r>
    </w:p>
    <w:p w:rsidR="00E96D28" w:rsidRDefault="00230709">
      <w:pPr>
        <w:pStyle w:val="Corpotesto"/>
        <w:widowControl/>
        <w:spacing w:after="120" w:line="360" w:lineRule="auto"/>
        <w:ind w:right="1"/>
        <w:rPr>
          <w:rFonts w:eastAsia="Calibri"/>
          <w:i w:val="0"/>
          <w:iCs w:val="0"/>
          <w:kern w:val="2"/>
        </w:rPr>
      </w:pPr>
      <w:r>
        <w:rPr>
          <w:rFonts w:eastAsia="Calibri"/>
          <w:b/>
          <w:i w:val="0"/>
          <w:iCs w:val="0"/>
          <w:kern w:val="2"/>
        </w:rPr>
        <w:t>VISTA</w:t>
      </w:r>
      <w:r>
        <w:rPr>
          <w:rFonts w:eastAsia="Calibri"/>
          <w:i w:val="0"/>
          <w:iCs w:val="0"/>
          <w:kern w:val="2"/>
        </w:rPr>
        <w:t xml:space="preserve"> la nota </w:t>
      </w:r>
      <w:proofErr w:type="spellStart"/>
      <w:r>
        <w:rPr>
          <w:rFonts w:eastAsia="Calibri"/>
          <w:i w:val="0"/>
          <w:iCs w:val="0"/>
          <w:kern w:val="2"/>
        </w:rPr>
        <w:t>DPCoe</w:t>
      </w:r>
      <w:proofErr w:type="spellEnd"/>
      <w:r>
        <w:rPr>
          <w:rFonts w:eastAsia="Calibri"/>
          <w:i w:val="0"/>
          <w:iCs w:val="0"/>
          <w:kern w:val="2"/>
        </w:rPr>
        <w:t xml:space="preserve"> n.2114 del 14 maggio 2019 di approvazione da parte del Comitato Tecnico Aree Interne del Preliminare rafforzato di strategia dell’Area interna </w:t>
      </w:r>
      <w:proofErr w:type="spellStart"/>
      <w:r>
        <w:rPr>
          <w:rFonts w:eastAsia="Calibri"/>
          <w:i w:val="0"/>
          <w:iCs w:val="0"/>
          <w:kern w:val="2"/>
        </w:rPr>
        <w:t>Valnerina</w:t>
      </w:r>
      <w:proofErr w:type="spellEnd"/>
      <w:r>
        <w:rPr>
          <w:rFonts w:eastAsia="Calibri"/>
          <w:i w:val="0"/>
          <w:iCs w:val="0"/>
          <w:kern w:val="2"/>
        </w:rPr>
        <w:t>;</w:t>
      </w:r>
    </w:p>
    <w:p w:rsidR="00E96D28" w:rsidRDefault="00230709">
      <w:pPr>
        <w:spacing w:after="120" w:line="360" w:lineRule="auto"/>
        <w:ind w:right="1"/>
        <w:contextualSpacing/>
        <w:textAlignment w:val="baseline"/>
        <w:rPr>
          <w:rFonts w:eastAsia="Calibri"/>
          <w:kern w:val="2"/>
          <w:sz w:val="24"/>
          <w:szCs w:val="24"/>
        </w:rPr>
      </w:pPr>
      <w:r>
        <w:rPr>
          <w:rFonts w:eastAsia="Calibri"/>
          <w:b/>
          <w:kern w:val="2"/>
          <w:sz w:val="24"/>
          <w:szCs w:val="24"/>
        </w:rPr>
        <w:t>VISTA</w:t>
      </w:r>
      <w:r>
        <w:rPr>
          <w:rFonts w:eastAsia="Calibri"/>
          <w:kern w:val="2"/>
          <w:sz w:val="24"/>
          <w:szCs w:val="24"/>
        </w:rPr>
        <w:t xml:space="preserve"> la DGR n. 1082 del 27 settembre 2019, avente ad oggetto “Strategia Nazionale Aree interne – Approvazione del Sistema di Gestione e Controllo per l’utilizzo delle risorse della Legge di Stabilità e specificazioni in ordine alla </w:t>
      </w:r>
      <w:proofErr w:type="spellStart"/>
      <w:r>
        <w:rPr>
          <w:rFonts w:eastAsia="Calibri"/>
          <w:kern w:val="2"/>
          <w:sz w:val="24"/>
          <w:szCs w:val="24"/>
        </w:rPr>
        <w:t>governance</w:t>
      </w:r>
      <w:proofErr w:type="spellEnd"/>
      <w:r>
        <w:rPr>
          <w:rFonts w:eastAsia="Calibri"/>
          <w:kern w:val="2"/>
          <w:sz w:val="24"/>
          <w:szCs w:val="24"/>
        </w:rPr>
        <w:t xml:space="preserve"> gestionale interna degli Accordi di Programma Quadro”;</w:t>
      </w:r>
    </w:p>
    <w:p w:rsidR="00E96D28" w:rsidRDefault="00230709">
      <w:pPr>
        <w:spacing w:after="120" w:line="360" w:lineRule="auto"/>
        <w:ind w:right="1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Convenzione per l’attuazione della strategia dell’area </w:t>
      </w:r>
      <w:proofErr w:type="spellStart"/>
      <w:r>
        <w:rPr>
          <w:sz w:val="24"/>
          <w:szCs w:val="24"/>
        </w:rPr>
        <w:t>Valnerina</w:t>
      </w:r>
      <w:proofErr w:type="spellEnd"/>
      <w:r>
        <w:rPr>
          <w:sz w:val="24"/>
          <w:szCs w:val="24"/>
        </w:rPr>
        <w:t xml:space="preserve"> firmata in data 29 gennaio 2018 tra i dodici Comuni dell’area ed in data 16 gennaio 2018 dal Comune di Arrone e il 14 settembre 2018 dal Comune di Montefranco, integrata in data 30 marzo 2020, con la quale viene individuato il Comune di Norcia quale Comune Capofila;</w:t>
      </w:r>
    </w:p>
    <w:p w:rsidR="00E96D28" w:rsidRDefault="00230709">
      <w:pPr>
        <w:spacing w:after="120" w:line="360" w:lineRule="auto"/>
        <w:ind w:right="1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Convenzione per la gestione in forma associata delle funzioni catasto e protezione civile firmata dai Comuni dell’Area Interna </w:t>
      </w:r>
      <w:proofErr w:type="spellStart"/>
      <w:r>
        <w:rPr>
          <w:sz w:val="24"/>
          <w:szCs w:val="24"/>
        </w:rPr>
        <w:t>Valnerina</w:t>
      </w:r>
      <w:proofErr w:type="spellEnd"/>
      <w:r>
        <w:rPr>
          <w:sz w:val="24"/>
          <w:szCs w:val="24"/>
        </w:rPr>
        <w:t xml:space="preserve"> in data 30 marzo 2020;</w:t>
      </w:r>
    </w:p>
    <w:p w:rsidR="00E96D28" w:rsidRPr="00C826BA" w:rsidRDefault="00230709">
      <w:pPr>
        <w:pStyle w:val="Corpotesto"/>
        <w:spacing w:after="120" w:line="360" w:lineRule="auto"/>
        <w:ind w:right="1"/>
        <w:jc w:val="both"/>
        <w:rPr>
          <w:i w:val="0"/>
          <w:iCs w:val="0"/>
        </w:rPr>
      </w:pPr>
      <w:r w:rsidRPr="00C826BA">
        <w:rPr>
          <w:b/>
          <w:i w:val="0"/>
          <w:iCs w:val="0"/>
        </w:rPr>
        <w:t>ATTESO</w:t>
      </w:r>
      <w:r w:rsidRPr="00C826BA">
        <w:rPr>
          <w:i w:val="0"/>
          <w:iCs w:val="0"/>
        </w:rPr>
        <w:t xml:space="preserve"> che con verbale dell’Assemblea dei Sindaci in data 11.03.2021 si è proceduto all’approvazione dell’elenco degli interventi </w:t>
      </w:r>
      <w:r w:rsidR="00CE36BD" w:rsidRPr="00C826BA">
        <w:rPr>
          <w:i w:val="0"/>
          <w:iCs w:val="0"/>
        </w:rPr>
        <w:t xml:space="preserve">individuati quali rilevanti per l’Area </w:t>
      </w:r>
      <w:r w:rsidR="00D3473F" w:rsidRPr="00C826BA">
        <w:rPr>
          <w:i w:val="0"/>
          <w:iCs w:val="0"/>
        </w:rPr>
        <w:t xml:space="preserve">ricompresi nell’Allegato 2a) dell’Accordo di Programma Quadro dell’Area interna </w:t>
      </w:r>
      <w:proofErr w:type="spellStart"/>
      <w:r w:rsidR="00D3473F" w:rsidRPr="00C826BA">
        <w:rPr>
          <w:i w:val="0"/>
          <w:iCs w:val="0"/>
        </w:rPr>
        <w:t>Valnerina</w:t>
      </w:r>
      <w:proofErr w:type="spellEnd"/>
      <w:r w:rsidR="00D3473F" w:rsidRPr="00C826BA">
        <w:rPr>
          <w:i w:val="0"/>
          <w:iCs w:val="0"/>
        </w:rPr>
        <w:t>;</w:t>
      </w:r>
      <w:r w:rsidRPr="00C826BA">
        <w:rPr>
          <w:i w:val="0"/>
          <w:iCs w:val="0"/>
        </w:rPr>
        <w:t xml:space="preserve"> </w:t>
      </w:r>
    </w:p>
    <w:p w:rsidR="00E96D28" w:rsidRDefault="00230709">
      <w:pPr>
        <w:tabs>
          <w:tab w:val="left" w:pos="384"/>
        </w:tabs>
        <w:spacing w:after="120" w:line="360" w:lineRule="auto"/>
        <w:ind w:right="1"/>
        <w:jc w:val="both"/>
        <w:rPr>
          <w:iCs/>
          <w:color w:val="222222"/>
          <w:sz w:val="24"/>
          <w:szCs w:val="24"/>
        </w:rPr>
      </w:pPr>
      <w:r w:rsidRPr="00C826BA">
        <w:rPr>
          <w:b/>
          <w:sz w:val="24"/>
          <w:szCs w:val="24"/>
        </w:rPr>
        <w:t>VISTA</w:t>
      </w:r>
      <w:r w:rsidRPr="00C826BA">
        <w:rPr>
          <w:sz w:val="24"/>
          <w:szCs w:val="24"/>
        </w:rPr>
        <w:t xml:space="preserve"> la documentazione</w:t>
      </w:r>
      <w:r w:rsidR="00CE36BD" w:rsidRPr="00C826BA">
        <w:rPr>
          <w:sz w:val="24"/>
          <w:szCs w:val="24"/>
        </w:rPr>
        <w:t xml:space="preserve"> definita a seguito dell’istruttoria</w:t>
      </w:r>
      <w:r w:rsidR="00CE36BD" w:rsidRPr="00C826BA">
        <w:rPr>
          <w:iCs/>
          <w:color w:val="222222"/>
          <w:sz w:val="24"/>
          <w:szCs w:val="24"/>
        </w:rPr>
        <w:t xml:space="preserve"> svolta da parte dei Ministeri competenti e dell’Agenzia per la Coesione Territoriale</w:t>
      </w:r>
      <w:r w:rsidRPr="00C826BA">
        <w:rPr>
          <w:iCs/>
          <w:color w:val="222222"/>
          <w:sz w:val="24"/>
          <w:szCs w:val="24"/>
        </w:rPr>
        <w:t xml:space="preserve"> allegata alla presente deliberazione </w:t>
      </w:r>
      <w:r w:rsidR="00D3473F" w:rsidRPr="00C826BA">
        <w:rPr>
          <w:iCs/>
          <w:color w:val="222222"/>
          <w:sz w:val="24"/>
          <w:szCs w:val="24"/>
        </w:rPr>
        <w:t xml:space="preserve">quale sua </w:t>
      </w:r>
      <w:r w:rsidRPr="00C826BA">
        <w:rPr>
          <w:iCs/>
          <w:color w:val="222222"/>
          <w:sz w:val="24"/>
          <w:szCs w:val="24"/>
        </w:rPr>
        <w:t>parte integrante e sostanziale e così di seguito costituita:</w:t>
      </w:r>
    </w:p>
    <w:p w:rsidR="00E96D28" w:rsidRDefault="00230709">
      <w:pPr>
        <w:pStyle w:val="Corpotesto"/>
        <w:tabs>
          <w:tab w:val="left" w:pos="384"/>
        </w:tabs>
        <w:spacing w:after="120" w:line="360" w:lineRule="auto"/>
        <w:ind w:left="595" w:right="1"/>
        <w:rPr>
          <w:i w:val="0"/>
          <w:color w:val="222222"/>
        </w:rPr>
      </w:pPr>
      <w:r>
        <w:rPr>
          <w:i w:val="0"/>
          <w:color w:val="222222"/>
        </w:rPr>
        <w:t>Schema di Accordo di Programma Quadro (articolato) e relativi allegati: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>
        <w:rPr>
          <w:i w:val="0"/>
          <w:color w:val="222222"/>
        </w:rPr>
        <w:lastRenderedPageBreak/>
        <w:t>-Allegato 1: Strategia d’Area</w:t>
      </w:r>
    </w:p>
    <w:p w:rsidR="00E96D28" w:rsidRPr="00C826BA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 w:rsidRPr="00C826BA">
        <w:rPr>
          <w:i w:val="0"/>
          <w:color w:val="222222"/>
        </w:rPr>
        <w:t xml:space="preserve">-Allegato 2: Programma degli interventi - quadro interventi </w:t>
      </w:r>
    </w:p>
    <w:p w:rsidR="00E96D28" w:rsidRPr="00C826BA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 w:rsidRPr="00C826BA">
        <w:rPr>
          <w:i w:val="0"/>
          <w:color w:val="222222"/>
        </w:rPr>
        <w:t>-Allegato 2: Programma degli interventi - quadro indicatori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shd w:val="clear" w:color="auto" w:fill="FFFF00"/>
        </w:rPr>
      </w:pPr>
      <w:r>
        <w:rPr>
          <w:i w:val="0"/>
          <w:color w:val="222222"/>
        </w:rPr>
        <w:t>-Allegato 2a: Relazioni tecniche sintetiche per singolo intervento/bando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shd w:val="clear" w:color="auto" w:fill="FFFF00"/>
        </w:rPr>
      </w:pPr>
      <w:r>
        <w:rPr>
          <w:i w:val="0"/>
          <w:color w:val="222222"/>
        </w:rPr>
        <w:t>-Allegato 2b: Piano finanziario per annualità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>
        <w:rPr>
          <w:i w:val="0"/>
          <w:color w:val="222222"/>
        </w:rPr>
        <w:t>-Allegato 3: Interventi cantierabili</w:t>
      </w:r>
    </w:p>
    <w:p w:rsidR="00E96D28" w:rsidRPr="00C826BA" w:rsidRDefault="00230709">
      <w:pPr>
        <w:pStyle w:val="Corpotesto"/>
        <w:spacing w:after="120" w:line="360" w:lineRule="auto"/>
        <w:ind w:right="211"/>
        <w:jc w:val="both"/>
        <w:rPr>
          <w:i w:val="0"/>
        </w:rPr>
      </w:pPr>
      <w:r>
        <w:rPr>
          <w:b/>
          <w:i w:val="0"/>
        </w:rPr>
        <w:t>VISTO</w:t>
      </w:r>
      <w:r>
        <w:rPr>
          <w:i w:val="0"/>
        </w:rPr>
        <w:t xml:space="preserve"> in particolare lo schema di Accordo di Programma Quadro, che sarà stipulato tra il Comune di Norcia Capofila</w:t>
      </w:r>
      <w:r w:rsidR="007B7772">
        <w:rPr>
          <w:i w:val="0"/>
        </w:rPr>
        <w:t>,</w:t>
      </w:r>
      <w:r w:rsidR="00D3473F">
        <w:rPr>
          <w:i w:val="0"/>
        </w:rPr>
        <w:t xml:space="preserve"> </w:t>
      </w:r>
      <w:r w:rsidR="00D3473F" w:rsidRPr="00C826BA">
        <w:rPr>
          <w:i w:val="0"/>
        </w:rPr>
        <w:t xml:space="preserve">in virtù della delega conferitagli da tutti i Comuni dell’Area interna </w:t>
      </w:r>
      <w:proofErr w:type="spellStart"/>
      <w:r w:rsidR="00D3473F" w:rsidRPr="00C826BA">
        <w:rPr>
          <w:i w:val="0"/>
        </w:rPr>
        <w:t>Valnerina</w:t>
      </w:r>
      <w:proofErr w:type="spellEnd"/>
      <w:r w:rsidR="00D3473F" w:rsidRPr="00C826BA">
        <w:rPr>
          <w:i w:val="0"/>
        </w:rPr>
        <w:t xml:space="preserve"> mediante la Convenzione per l’attuazione della Strategia del 30 marzo 2020</w:t>
      </w:r>
      <w:r w:rsidRPr="00C826BA">
        <w:rPr>
          <w:i w:val="0"/>
        </w:rPr>
        <w:t>, dalla Regione dell’Umbria, dall’Agenzia per la Coesione Territoriale, dal Ministero dell’Istruzione</w:t>
      </w:r>
      <w:r>
        <w:rPr>
          <w:i w:val="0"/>
        </w:rPr>
        <w:t>, dal Ministero delle Infrastrutture e dei Trasporti, dall’Agenzia Nazionale per le Politiche Attive del Lavoro, dal Ministero delle Politiche Agricole Alimentari e Forestali e dal Ministero della Salute che</w:t>
      </w:r>
      <w:r w:rsidRPr="00C826BA">
        <w:rPr>
          <w:i w:val="0"/>
        </w:rPr>
        <w:t xml:space="preserve"> viene allegato alla presente e ne costituisce parte integrante e sostanziale;</w:t>
      </w:r>
    </w:p>
    <w:p w:rsidR="00E96D28" w:rsidRDefault="00230709">
      <w:pPr>
        <w:pStyle w:val="Corpotesto"/>
        <w:spacing w:after="120" w:line="360" w:lineRule="auto"/>
        <w:ind w:right="210"/>
        <w:jc w:val="both"/>
        <w:rPr>
          <w:i w:val="0"/>
        </w:rPr>
      </w:pPr>
      <w:r>
        <w:rPr>
          <w:b/>
          <w:i w:val="0"/>
        </w:rPr>
        <w:t>VISTO</w:t>
      </w:r>
      <w:r>
        <w:rPr>
          <w:i w:val="0"/>
          <w:spacing w:val="-1"/>
        </w:rPr>
        <w:t xml:space="preserve"> </w:t>
      </w:r>
      <w:r>
        <w:rPr>
          <w:i w:val="0"/>
        </w:rPr>
        <w:t>il</w:t>
      </w:r>
      <w:r>
        <w:rPr>
          <w:i w:val="0"/>
          <w:spacing w:val="2"/>
        </w:rPr>
        <w:t xml:space="preserve"> </w:t>
      </w:r>
      <w:r>
        <w:rPr>
          <w:i w:val="0"/>
        </w:rPr>
        <w:t>decreto legislativo 18 agosto</w:t>
      </w:r>
      <w:r>
        <w:rPr>
          <w:i w:val="0"/>
          <w:spacing w:val="-1"/>
        </w:rPr>
        <w:t xml:space="preserve"> </w:t>
      </w:r>
      <w:r>
        <w:rPr>
          <w:i w:val="0"/>
        </w:rPr>
        <w:t>2000, n. 267 e</w:t>
      </w:r>
      <w:r>
        <w:rPr>
          <w:i w:val="0"/>
          <w:spacing w:val="-3"/>
        </w:rPr>
        <w:t xml:space="preserve"> </w:t>
      </w:r>
      <w:r>
        <w:rPr>
          <w:i w:val="0"/>
        </w:rPr>
        <w:t>ss.</w:t>
      </w:r>
      <w:r>
        <w:rPr>
          <w:i w:val="0"/>
          <w:spacing w:val="-1"/>
        </w:rPr>
        <w:t xml:space="preserve"> </w:t>
      </w:r>
      <w:r>
        <w:rPr>
          <w:i w:val="0"/>
        </w:rPr>
        <w:t>mm. e ii;</w:t>
      </w:r>
    </w:p>
    <w:p w:rsidR="00E96D28" w:rsidRDefault="00230709">
      <w:pPr>
        <w:pStyle w:val="Corpotesto"/>
        <w:spacing w:after="120" w:line="360" w:lineRule="auto"/>
        <w:ind w:right="210"/>
        <w:jc w:val="both"/>
        <w:rPr>
          <w:i w:val="0"/>
        </w:rPr>
      </w:pPr>
      <w:r>
        <w:rPr>
          <w:b/>
          <w:i w:val="0"/>
        </w:rPr>
        <w:t>VISTO</w:t>
      </w:r>
      <w:r>
        <w:rPr>
          <w:i w:val="0"/>
          <w:spacing w:val="1"/>
        </w:rPr>
        <w:t xml:space="preserve"> </w:t>
      </w:r>
      <w:r>
        <w:rPr>
          <w:i w:val="0"/>
        </w:rPr>
        <w:t>il</w:t>
      </w:r>
      <w:r>
        <w:rPr>
          <w:i w:val="0"/>
          <w:spacing w:val="1"/>
        </w:rPr>
        <w:t xml:space="preserve"> </w:t>
      </w:r>
      <w:r>
        <w:rPr>
          <w:i w:val="0"/>
        </w:rPr>
        <w:t>parere</w:t>
      </w:r>
      <w:r>
        <w:rPr>
          <w:i w:val="0"/>
          <w:spacing w:val="1"/>
        </w:rPr>
        <w:t xml:space="preserve"> </w:t>
      </w:r>
      <w:r>
        <w:rPr>
          <w:i w:val="0"/>
        </w:rPr>
        <w:t>in</w:t>
      </w:r>
      <w:r>
        <w:rPr>
          <w:i w:val="0"/>
          <w:spacing w:val="1"/>
        </w:rPr>
        <w:t xml:space="preserve"> </w:t>
      </w:r>
      <w:r>
        <w:rPr>
          <w:i w:val="0"/>
        </w:rPr>
        <w:t>ordine</w:t>
      </w:r>
      <w:r>
        <w:rPr>
          <w:i w:val="0"/>
          <w:spacing w:val="1"/>
        </w:rPr>
        <w:t xml:space="preserve"> </w:t>
      </w:r>
      <w:r>
        <w:rPr>
          <w:i w:val="0"/>
        </w:rPr>
        <w:t>alla</w:t>
      </w:r>
      <w:r>
        <w:rPr>
          <w:i w:val="0"/>
          <w:spacing w:val="1"/>
        </w:rPr>
        <w:t xml:space="preserve"> </w:t>
      </w:r>
      <w:r>
        <w:rPr>
          <w:i w:val="0"/>
        </w:rPr>
        <w:t>regolarità</w:t>
      </w:r>
      <w:r>
        <w:rPr>
          <w:i w:val="0"/>
          <w:spacing w:val="1"/>
        </w:rPr>
        <w:t xml:space="preserve"> </w:t>
      </w:r>
      <w:r>
        <w:rPr>
          <w:i w:val="0"/>
        </w:rPr>
        <w:t>tecnica</w:t>
      </w:r>
      <w:r>
        <w:rPr>
          <w:i w:val="0"/>
          <w:spacing w:val="1"/>
        </w:rPr>
        <w:t xml:space="preserve"> </w:t>
      </w:r>
      <w:r>
        <w:rPr>
          <w:i w:val="0"/>
        </w:rPr>
        <w:t>espresso</w:t>
      </w:r>
      <w:r>
        <w:rPr>
          <w:i w:val="0"/>
          <w:spacing w:val="1"/>
        </w:rPr>
        <w:t xml:space="preserve"> </w:t>
      </w:r>
      <w:r>
        <w:rPr>
          <w:i w:val="0"/>
        </w:rPr>
        <w:t>dal</w:t>
      </w:r>
      <w:r>
        <w:rPr>
          <w:i w:val="0"/>
          <w:spacing w:val="1"/>
        </w:rPr>
        <w:t xml:space="preserve"> </w:t>
      </w:r>
      <w:r>
        <w:rPr>
          <w:i w:val="0"/>
        </w:rPr>
        <w:t>Dirigente</w:t>
      </w:r>
      <w:r>
        <w:rPr>
          <w:i w:val="0"/>
          <w:spacing w:val="1"/>
        </w:rPr>
        <w:t xml:space="preserve"> </w:t>
      </w:r>
      <w:r>
        <w:rPr>
          <w:i w:val="0"/>
        </w:rPr>
        <w:t>del</w:t>
      </w:r>
      <w:r>
        <w:rPr>
          <w:i w:val="0"/>
          <w:spacing w:val="1"/>
        </w:rPr>
        <w:t xml:space="preserve"> </w:t>
      </w:r>
      <w:r>
        <w:rPr>
          <w:i w:val="0"/>
        </w:rPr>
        <w:t>Settore</w:t>
      </w:r>
      <w:r>
        <w:rPr>
          <w:i w:val="0"/>
          <w:shd w:val="clear" w:color="auto" w:fill="FFFF00"/>
        </w:rPr>
        <w:t>……...</w:t>
      </w:r>
      <w:r>
        <w:rPr>
          <w:i w:val="0"/>
        </w:rPr>
        <w:t xml:space="preserve"> ai sensi dell'art. 49, comma 1 del decreto legislativo 18 agosto 2000, n.</w:t>
      </w:r>
      <w:r>
        <w:rPr>
          <w:i w:val="0"/>
          <w:spacing w:val="-57"/>
        </w:rPr>
        <w:t xml:space="preserve"> </w:t>
      </w:r>
      <w:r>
        <w:rPr>
          <w:i w:val="0"/>
        </w:rPr>
        <w:t>267 e successive</w:t>
      </w:r>
      <w:r>
        <w:rPr>
          <w:i w:val="0"/>
          <w:spacing w:val="-3"/>
        </w:rPr>
        <w:t xml:space="preserve"> </w:t>
      </w:r>
      <w:r>
        <w:rPr>
          <w:i w:val="0"/>
        </w:rPr>
        <w:t>modifiche</w:t>
      </w:r>
      <w:r>
        <w:rPr>
          <w:i w:val="0"/>
          <w:spacing w:val="-3"/>
        </w:rPr>
        <w:t xml:space="preserve"> </w:t>
      </w:r>
      <w:r>
        <w:rPr>
          <w:i w:val="0"/>
        </w:rPr>
        <w:t>e integrazioni;</w:t>
      </w:r>
    </w:p>
    <w:p w:rsidR="00E96D28" w:rsidRDefault="00230709">
      <w:pPr>
        <w:pStyle w:val="Corpotesto"/>
        <w:spacing w:after="120" w:line="360" w:lineRule="auto"/>
        <w:ind w:right="209"/>
        <w:jc w:val="both"/>
        <w:rPr>
          <w:i w:val="0"/>
        </w:rPr>
      </w:pPr>
      <w:r>
        <w:rPr>
          <w:b/>
          <w:i w:val="0"/>
        </w:rPr>
        <w:t>VISTO</w:t>
      </w:r>
      <w:r>
        <w:rPr>
          <w:i w:val="0"/>
        </w:rPr>
        <w:t xml:space="preserve"> il parere in ordine alla regolarità contabile espresso dal Dirigente del Settore Finanziario,</w:t>
      </w:r>
      <w:r>
        <w:rPr>
          <w:i w:val="0"/>
          <w:spacing w:val="1"/>
        </w:rPr>
        <w:t xml:space="preserve"> </w:t>
      </w:r>
      <w:r>
        <w:rPr>
          <w:i w:val="0"/>
        </w:rPr>
        <w:t>relativamente alle modalità di finanziamento dell’intervento, ai sensi dell’art. 49, comma 1, decreto</w:t>
      </w:r>
      <w:r>
        <w:rPr>
          <w:i w:val="0"/>
          <w:spacing w:val="-57"/>
        </w:rPr>
        <w:t xml:space="preserve"> </w:t>
      </w:r>
      <w:r>
        <w:rPr>
          <w:i w:val="0"/>
        </w:rPr>
        <w:t>legislativo</w:t>
      </w:r>
      <w:r>
        <w:rPr>
          <w:i w:val="0"/>
          <w:spacing w:val="-4"/>
        </w:rPr>
        <w:t xml:space="preserve"> </w:t>
      </w:r>
      <w:r>
        <w:rPr>
          <w:i w:val="0"/>
        </w:rPr>
        <w:t>18 agosto 2000, n. 267 e successive</w:t>
      </w:r>
      <w:r>
        <w:rPr>
          <w:i w:val="0"/>
          <w:spacing w:val="-3"/>
        </w:rPr>
        <w:t xml:space="preserve"> </w:t>
      </w:r>
      <w:r>
        <w:rPr>
          <w:i w:val="0"/>
        </w:rPr>
        <w:t>modifiche e</w:t>
      </w:r>
      <w:r>
        <w:rPr>
          <w:i w:val="0"/>
          <w:spacing w:val="-3"/>
        </w:rPr>
        <w:t xml:space="preserve"> </w:t>
      </w:r>
      <w:r>
        <w:rPr>
          <w:i w:val="0"/>
        </w:rPr>
        <w:t>integrazioni;</w:t>
      </w:r>
    </w:p>
    <w:p w:rsidR="00E96D28" w:rsidRDefault="00E96D28">
      <w:pPr>
        <w:pStyle w:val="Corpotesto"/>
        <w:spacing w:after="120" w:line="360" w:lineRule="auto"/>
        <w:rPr>
          <w:i w:val="0"/>
        </w:rPr>
      </w:pPr>
    </w:p>
    <w:p w:rsidR="00E96D28" w:rsidRDefault="00230709">
      <w:pPr>
        <w:spacing w:after="120" w:line="360" w:lineRule="auto"/>
        <w:ind w:left="1221" w:right="12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CONSIGLIO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COMUNALE</w:t>
      </w:r>
    </w:p>
    <w:p w:rsidR="00E96D28" w:rsidRDefault="00E96D28">
      <w:pPr>
        <w:pStyle w:val="Corpotesto"/>
        <w:spacing w:after="120" w:line="360" w:lineRule="auto"/>
        <w:rPr>
          <w:b/>
          <w:i w:val="0"/>
        </w:rPr>
      </w:pPr>
    </w:p>
    <w:p w:rsidR="00E96D28" w:rsidRPr="00C826BA" w:rsidRDefault="00230709">
      <w:pPr>
        <w:spacing w:after="120" w:line="360" w:lineRule="auto"/>
        <w:ind w:right="21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Visto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decreto legislativo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agosto 2000,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267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ss.</w:t>
      </w:r>
      <w:r>
        <w:rPr>
          <w:spacing w:val="-1"/>
          <w:sz w:val="24"/>
          <w:szCs w:val="24"/>
        </w:rPr>
        <w:t xml:space="preserve"> </w:t>
      </w:r>
      <w:r w:rsidRPr="00C826BA">
        <w:rPr>
          <w:spacing w:val="-3"/>
          <w:sz w:val="24"/>
          <w:szCs w:val="24"/>
        </w:rPr>
        <w:t>mm. e ii</w:t>
      </w:r>
      <w:proofErr w:type="gramStart"/>
      <w:r w:rsidRPr="00C826BA">
        <w:rPr>
          <w:spacing w:val="-3"/>
          <w:sz w:val="24"/>
          <w:szCs w:val="24"/>
        </w:rPr>
        <w:t>. .</w:t>
      </w:r>
      <w:proofErr w:type="gramEnd"/>
    </w:p>
    <w:p w:rsidR="00E96D28" w:rsidRDefault="00230709">
      <w:pPr>
        <w:spacing w:after="120" w:line="360" w:lineRule="auto"/>
        <w:ind w:right="212"/>
        <w:jc w:val="both"/>
        <w:rPr>
          <w:sz w:val="24"/>
          <w:szCs w:val="24"/>
        </w:rPr>
      </w:pPr>
      <w:r w:rsidRPr="00C826BA">
        <w:rPr>
          <w:spacing w:val="-3"/>
          <w:sz w:val="24"/>
          <w:szCs w:val="24"/>
        </w:rPr>
        <w:t>Visto il parere in ordine alla regolarità tecnica espresso dal Dirigente del Settore</w:t>
      </w:r>
      <w:r w:rsidR="00C826BA">
        <w:rPr>
          <w:spacing w:val="-3"/>
          <w:sz w:val="24"/>
          <w:szCs w:val="24"/>
        </w:rPr>
        <w:t xml:space="preserve"> </w:t>
      </w:r>
      <w:r w:rsidRPr="00C826BA">
        <w:rPr>
          <w:spacing w:val="-3"/>
          <w:sz w:val="24"/>
          <w:szCs w:val="24"/>
          <w:highlight w:val="yellow"/>
        </w:rPr>
        <w:t>……………...</w:t>
      </w:r>
      <w:r>
        <w:rPr>
          <w:sz w:val="24"/>
          <w:szCs w:val="24"/>
        </w:rPr>
        <w:t xml:space="preserve"> sensi dell'art. 49, comma 1 del decreto legislativo 18 agosto 2000, n. 267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successive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modifiche 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integrazioni.</w:t>
      </w:r>
    </w:p>
    <w:p w:rsidR="00E96D28" w:rsidRDefault="00230709">
      <w:pPr>
        <w:spacing w:after="120" w:line="360" w:lineRule="auto"/>
        <w:ind w:right="212"/>
        <w:jc w:val="both"/>
        <w:rPr>
          <w:sz w:val="24"/>
          <w:szCs w:val="24"/>
        </w:rPr>
      </w:pPr>
      <w:r>
        <w:rPr>
          <w:sz w:val="24"/>
          <w:szCs w:val="24"/>
        </w:rPr>
        <w:t>Visto il parere in ordine alla regolarità contabile espresso dal Dirigente del Settore Finanziario,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relativamente alle modalità di finanziamento dell’intervento, ai sensi dell’art. 49, comma 1, decreto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legislativo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 agosto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2000, n. 267 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successive modifiche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 integrazioni.</w:t>
      </w:r>
    </w:p>
    <w:p w:rsidR="00E96D28" w:rsidRDefault="00E96D28">
      <w:pPr>
        <w:pStyle w:val="Corpotesto"/>
        <w:spacing w:after="120" w:line="360" w:lineRule="auto"/>
        <w:rPr>
          <w:i w:val="0"/>
        </w:rPr>
      </w:pPr>
    </w:p>
    <w:p w:rsidR="00E96D28" w:rsidRDefault="00230709">
      <w:pPr>
        <w:spacing w:after="120" w:line="360" w:lineRule="auto"/>
        <w:ind w:right="214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Con voti……</w:t>
      </w:r>
      <w:r>
        <w:rPr>
          <w:sz w:val="24"/>
          <w:szCs w:val="24"/>
          <w:shd w:val="clear" w:color="auto" w:fill="FFFF00"/>
        </w:rPr>
        <w:t>…………………….</w:t>
      </w:r>
    </w:p>
    <w:p w:rsidR="00E96D28" w:rsidRDefault="00E96D28">
      <w:pPr>
        <w:spacing w:after="120" w:line="360" w:lineRule="auto"/>
        <w:ind w:left="212" w:right="214"/>
        <w:jc w:val="both"/>
        <w:rPr>
          <w:sz w:val="24"/>
          <w:szCs w:val="24"/>
          <w:shd w:val="clear" w:color="auto" w:fill="FFFF00"/>
        </w:rPr>
      </w:pPr>
    </w:p>
    <w:p w:rsidR="00E96D28" w:rsidRDefault="00230709">
      <w:pPr>
        <w:pStyle w:val="Titolo1"/>
        <w:spacing w:before="0" w:after="120" w:line="360" w:lineRule="auto"/>
        <w:ind w:right="682"/>
      </w:pPr>
      <w:r>
        <w:t>D E L I B</w:t>
      </w:r>
      <w:r>
        <w:rPr>
          <w:spacing w:val="2"/>
        </w:rPr>
        <w:t xml:space="preserve"> </w:t>
      </w:r>
      <w:r>
        <w:t>E R A</w:t>
      </w:r>
    </w:p>
    <w:p w:rsidR="00E96D28" w:rsidRDefault="00E96D28">
      <w:pPr>
        <w:pStyle w:val="Corpotesto"/>
        <w:spacing w:after="120" w:line="360" w:lineRule="auto"/>
        <w:rPr>
          <w:b/>
          <w:i w:val="0"/>
        </w:rPr>
      </w:pPr>
    </w:p>
    <w:p w:rsidR="00E96D28" w:rsidRDefault="00230709" w:rsidP="008D69C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premessa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parte integrante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sostanziale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deliberazione;</w:t>
      </w:r>
    </w:p>
    <w:p w:rsidR="00E96D28" w:rsidRDefault="00230709" w:rsidP="008D69C2">
      <w:pPr>
        <w:spacing w:after="120" w:line="360" w:lineRule="auto"/>
        <w:ind w:right="3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di prendere atto</w:t>
      </w:r>
      <w:r>
        <w:rPr>
          <w:sz w:val="24"/>
          <w:szCs w:val="24"/>
        </w:rPr>
        <w:t>:</w:t>
      </w:r>
    </w:p>
    <w:p w:rsidR="00E96D28" w:rsidRDefault="00230709" w:rsidP="00C826BA">
      <w:pPr>
        <w:spacing w:after="120"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del verbale dell’assemblea dei Sindaci dell’Area Interna </w:t>
      </w:r>
      <w:proofErr w:type="spellStart"/>
      <w:r>
        <w:rPr>
          <w:sz w:val="24"/>
          <w:szCs w:val="24"/>
        </w:rPr>
        <w:t>Valnerina</w:t>
      </w:r>
      <w:proofErr w:type="spellEnd"/>
      <w:r>
        <w:rPr>
          <w:sz w:val="24"/>
          <w:szCs w:val="24"/>
        </w:rPr>
        <w:t xml:space="preserve"> in data 11.03.2021 con il quale si è proceduto all’approvazione dell’elenco dei progetti </w:t>
      </w:r>
      <w:r w:rsidR="00452975" w:rsidRPr="00C826BA">
        <w:rPr>
          <w:sz w:val="24"/>
          <w:szCs w:val="24"/>
        </w:rPr>
        <w:t xml:space="preserve">degli interventi individuati quali rilevanti per l’Area ricompresi nell’Allegato 2a) dell’Accordo di Programma Quadro dell’Area interna </w:t>
      </w:r>
      <w:proofErr w:type="spellStart"/>
      <w:r w:rsidR="00452975" w:rsidRPr="00C826BA">
        <w:rPr>
          <w:sz w:val="24"/>
          <w:szCs w:val="24"/>
        </w:rPr>
        <w:t>Valnerina</w:t>
      </w:r>
      <w:proofErr w:type="spellEnd"/>
      <w:r w:rsidR="00452975" w:rsidRPr="00452975">
        <w:rPr>
          <w:sz w:val="24"/>
          <w:szCs w:val="24"/>
          <w:highlight w:val="cyan"/>
        </w:rPr>
        <w:t>;</w:t>
      </w:r>
    </w:p>
    <w:p w:rsidR="00E96D28" w:rsidRPr="00C826BA" w:rsidRDefault="00230709">
      <w:pPr>
        <w:spacing w:after="120" w:line="360" w:lineRule="auto"/>
        <w:ind w:right="1"/>
        <w:contextualSpacing/>
        <w:jc w:val="both"/>
        <w:textAlignment w:val="baseline"/>
        <w:rPr>
          <w:iCs/>
          <w:color w:val="222222"/>
          <w:sz w:val="24"/>
          <w:szCs w:val="24"/>
        </w:rPr>
      </w:pPr>
      <w:r w:rsidRPr="00C826BA">
        <w:rPr>
          <w:iCs/>
          <w:color w:val="222222"/>
          <w:sz w:val="24"/>
          <w:szCs w:val="24"/>
        </w:rPr>
        <w:t xml:space="preserve">- della DGR 557 del 6 maggio 2019 e relativi allegati A e B, avente ad oggetto “Programmazione 2014-2020 - Strategia Nazionale Aree Interne – Approvazione del documento “Preliminare rafforzato di Strategia dell’Area Interna </w:t>
      </w:r>
      <w:proofErr w:type="spellStart"/>
      <w:r w:rsidRPr="00C826BA">
        <w:rPr>
          <w:iCs/>
          <w:color w:val="222222"/>
          <w:sz w:val="24"/>
          <w:szCs w:val="24"/>
        </w:rPr>
        <w:t>Valnerina</w:t>
      </w:r>
      <w:proofErr w:type="spellEnd"/>
      <w:r w:rsidRPr="00C826BA">
        <w:rPr>
          <w:iCs/>
          <w:color w:val="222222"/>
          <w:sz w:val="24"/>
          <w:szCs w:val="24"/>
        </w:rPr>
        <w:t xml:space="preserve">” di approvazione del Preliminare rafforzato di strategia dell’Area Interna </w:t>
      </w:r>
      <w:proofErr w:type="spellStart"/>
      <w:r w:rsidRPr="00C826BA">
        <w:rPr>
          <w:iCs/>
          <w:color w:val="222222"/>
          <w:sz w:val="24"/>
          <w:szCs w:val="24"/>
        </w:rPr>
        <w:t>Valnerina</w:t>
      </w:r>
      <w:proofErr w:type="spellEnd"/>
      <w:r w:rsidRPr="00C826BA">
        <w:rPr>
          <w:iCs/>
          <w:color w:val="222222"/>
          <w:sz w:val="24"/>
          <w:szCs w:val="24"/>
        </w:rPr>
        <w:t xml:space="preserve"> e dei relativi allegati”, con la quale si prende atto del parere unitario espresso dall’Unità tecnica di coordinamento sul Preliminare rafforzato di strategia e si approva, nelle more dell’espressione del parere da parte del Comitato tecnico nazionale aree interne, il Preliminare rafforzato di Strategia dell’Area </w:t>
      </w:r>
      <w:proofErr w:type="spellStart"/>
      <w:r w:rsidRPr="00C826BA">
        <w:rPr>
          <w:iCs/>
          <w:color w:val="222222"/>
          <w:sz w:val="24"/>
          <w:szCs w:val="24"/>
        </w:rPr>
        <w:t>Valnerina</w:t>
      </w:r>
      <w:proofErr w:type="spellEnd"/>
      <w:r w:rsidRPr="00C826BA">
        <w:rPr>
          <w:iCs/>
          <w:color w:val="222222"/>
          <w:sz w:val="24"/>
          <w:szCs w:val="24"/>
        </w:rPr>
        <w:t xml:space="preserve"> dal titolo “</w:t>
      </w:r>
      <w:proofErr w:type="spellStart"/>
      <w:r w:rsidRPr="00C826BA">
        <w:rPr>
          <w:iCs/>
          <w:color w:val="222222"/>
          <w:sz w:val="24"/>
          <w:szCs w:val="24"/>
        </w:rPr>
        <w:t>Valnerina</w:t>
      </w:r>
      <w:proofErr w:type="spellEnd"/>
      <w:r w:rsidRPr="00C826BA">
        <w:rPr>
          <w:iCs/>
          <w:color w:val="222222"/>
          <w:sz w:val="24"/>
          <w:szCs w:val="24"/>
        </w:rPr>
        <w:t xml:space="preserve"> 14 comunità una sola idea”;</w:t>
      </w:r>
    </w:p>
    <w:p w:rsidR="00E96D28" w:rsidRPr="00C826BA" w:rsidRDefault="00230709">
      <w:pPr>
        <w:spacing w:after="120" w:line="360" w:lineRule="auto"/>
        <w:ind w:right="314"/>
        <w:jc w:val="both"/>
        <w:rPr>
          <w:iCs/>
          <w:color w:val="222222"/>
          <w:sz w:val="24"/>
          <w:szCs w:val="24"/>
        </w:rPr>
      </w:pPr>
      <w:r w:rsidRPr="00C826BA">
        <w:rPr>
          <w:iCs/>
          <w:color w:val="222222"/>
          <w:sz w:val="24"/>
          <w:szCs w:val="24"/>
        </w:rPr>
        <w:t xml:space="preserve">- della Nota </w:t>
      </w:r>
      <w:proofErr w:type="spellStart"/>
      <w:r w:rsidRPr="00C826BA">
        <w:rPr>
          <w:iCs/>
          <w:color w:val="222222"/>
          <w:sz w:val="24"/>
          <w:szCs w:val="24"/>
        </w:rPr>
        <w:t>DPCoe</w:t>
      </w:r>
      <w:proofErr w:type="spellEnd"/>
      <w:r w:rsidRPr="00C826BA">
        <w:rPr>
          <w:iCs/>
          <w:color w:val="222222"/>
          <w:sz w:val="24"/>
          <w:szCs w:val="24"/>
        </w:rPr>
        <w:t xml:space="preserve"> n.2114 del 14 maggio 2019 di approvazione da parte del Comitato Tecnico Aree Interne del Preliminare rafforzato di strategia dell’Area interna </w:t>
      </w:r>
      <w:proofErr w:type="spellStart"/>
      <w:r w:rsidRPr="00C826BA">
        <w:rPr>
          <w:iCs/>
          <w:color w:val="222222"/>
          <w:sz w:val="24"/>
          <w:szCs w:val="24"/>
        </w:rPr>
        <w:t>Valnerina</w:t>
      </w:r>
      <w:proofErr w:type="spellEnd"/>
    </w:p>
    <w:p w:rsidR="00E96D28" w:rsidRPr="00C826BA" w:rsidRDefault="00230709">
      <w:pPr>
        <w:pStyle w:val="Paragrafoelenco"/>
        <w:spacing w:after="120" w:line="360" w:lineRule="auto"/>
        <w:ind w:left="49" w:right="314" w:firstLine="0"/>
        <w:rPr>
          <w:iCs/>
          <w:color w:val="222222"/>
          <w:sz w:val="24"/>
          <w:szCs w:val="24"/>
        </w:rPr>
      </w:pPr>
      <w:r w:rsidRPr="00C826BA">
        <w:rPr>
          <w:iCs/>
          <w:color w:val="222222"/>
          <w:sz w:val="24"/>
          <w:szCs w:val="24"/>
        </w:rPr>
        <w:t xml:space="preserve">- di procedere all’approvazione della seguente documentazione allegata alla presente deliberazione </w:t>
      </w:r>
      <w:r w:rsidR="007F0E7E" w:rsidRPr="00C826BA">
        <w:rPr>
          <w:iCs/>
          <w:color w:val="222222"/>
          <w:sz w:val="24"/>
          <w:szCs w:val="24"/>
        </w:rPr>
        <w:t>quale</w:t>
      </w:r>
      <w:r w:rsidRPr="00C826BA">
        <w:rPr>
          <w:iCs/>
          <w:color w:val="222222"/>
          <w:sz w:val="24"/>
          <w:szCs w:val="24"/>
        </w:rPr>
        <w:t xml:space="preserve"> parte integrante e sostanziale e così di seguito costituita:</w:t>
      </w:r>
    </w:p>
    <w:p w:rsidR="00E96D28" w:rsidRDefault="00230709">
      <w:pPr>
        <w:pStyle w:val="Corpotesto"/>
        <w:widowControl/>
        <w:spacing w:after="120" w:line="360" w:lineRule="auto"/>
        <w:ind w:left="709"/>
        <w:jc w:val="both"/>
        <w:rPr>
          <w:i w:val="0"/>
          <w:color w:val="222222"/>
        </w:rPr>
      </w:pPr>
      <w:r>
        <w:rPr>
          <w:i w:val="0"/>
          <w:color w:val="222222"/>
        </w:rPr>
        <w:t>- Schema di Accordo di Programma Quadro (articolato) e relativi allegati: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>
        <w:rPr>
          <w:i w:val="0"/>
          <w:color w:val="222222"/>
        </w:rPr>
        <w:t>-Allegato 1: Strategia d’Area</w:t>
      </w:r>
    </w:p>
    <w:p w:rsidR="00E96D28" w:rsidRPr="00C826BA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 w:rsidRPr="00C826BA">
        <w:rPr>
          <w:i w:val="0"/>
          <w:color w:val="222222"/>
        </w:rPr>
        <w:t xml:space="preserve">-Allegato 2: Programma degli interventi - quadro interventi </w:t>
      </w:r>
    </w:p>
    <w:p w:rsidR="00E96D28" w:rsidRPr="00C826BA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 w:rsidRPr="00C826BA">
        <w:rPr>
          <w:i w:val="0"/>
          <w:color w:val="222222"/>
        </w:rPr>
        <w:t>-Allegato 2: Programma degli interventi - quadro indicatori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shd w:val="clear" w:color="auto" w:fill="FFFF00"/>
        </w:rPr>
      </w:pPr>
      <w:r>
        <w:rPr>
          <w:i w:val="0"/>
          <w:color w:val="222222"/>
        </w:rPr>
        <w:t>-Allegato 2a: Relazioni tecniche sintetiche per singolo intervento/bando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shd w:val="clear" w:color="auto" w:fill="FFFF00"/>
        </w:rPr>
      </w:pPr>
      <w:r>
        <w:rPr>
          <w:i w:val="0"/>
          <w:color w:val="222222"/>
        </w:rPr>
        <w:t>-Allegato 2b: Piano finanziario per annualità</w:t>
      </w:r>
    </w:p>
    <w:p w:rsidR="00E96D28" w:rsidRDefault="00230709">
      <w:pPr>
        <w:pStyle w:val="Corpotesto"/>
        <w:widowControl/>
        <w:spacing w:after="120" w:line="360" w:lineRule="auto"/>
        <w:ind w:left="720" w:right="1"/>
        <w:rPr>
          <w:i w:val="0"/>
          <w:color w:val="222222"/>
        </w:rPr>
      </w:pPr>
      <w:r>
        <w:rPr>
          <w:i w:val="0"/>
          <w:color w:val="222222"/>
        </w:rPr>
        <w:t>-Allegato 3: Interventi cantierabili</w:t>
      </w:r>
    </w:p>
    <w:p w:rsidR="00E96D28" w:rsidRDefault="00E96D28">
      <w:pPr>
        <w:tabs>
          <w:tab w:val="left" w:pos="1653"/>
        </w:tabs>
        <w:spacing w:after="120" w:line="360" w:lineRule="auto"/>
        <w:ind w:left="284" w:right="604"/>
        <w:jc w:val="both"/>
        <w:rPr>
          <w:sz w:val="24"/>
          <w:szCs w:val="24"/>
        </w:rPr>
      </w:pPr>
    </w:p>
    <w:p w:rsidR="00E96D28" w:rsidRDefault="00230709">
      <w:pPr>
        <w:tabs>
          <w:tab w:val="left" w:pos="1653"/>
        </w:tabs>
        <w:spacing w:after="120" w:line="360" w:lineRule="auto"/>
        <w:ind w:left="284" w:right="60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-di prendere atto </w:t>
      </w:r>
      <w:r>
        <w:rPr>
          <w:sz w:val="24"/>
          <w:szCs w:val="24"/>
        </w:rPr>
        <w:t>che lo schema di Accordo di Programma Quadro, sarà stipulato tra il Comune di Norcia Capofila</w:t>
      </w:r>
      <w:r w:rsidR="00FF75AD">
        <w:rPr>
          <w:sz w:val="24"/>
          <w:szCs w:val="24"/>
        </w:rPr>
        <w:t xml:space="preserve"> </w:t>
      </w:r>
      <w:r w:rsidR="00FF75AD" w:rsidRPr="00C826BA">
        <w:rPr>
          <w:sz w:val="24"/>
          <w:szCs w:val="24"/>
        </w:rPr>
        <w:t xml:space="preserve">in virtù della delega conferitagli da tutti i Comuni dell’Area interna </w:t>
      </w:r>
      <w:proofErr w:type="spellStart"/>
      <w:r w:rsidR="00FF75AD" w:rsidRPr="00C826BA">
        <w:rPr>
          <w:sz w:val="24"/>
          <w:szCs w:val="24"/>
        </w:rPr>
        <w:t>Valnerina</w:t>
      </w:r>
      <w:proofErr w:type="spellEnd"/>
      <w:r w:rsidR="00FF75AD" w:rsidRPr="00C826BA">
        <w:rPr>
          <w:sz w:val="24"/>
          <w:szCs w:val="24"/>
        </w:rPr>
        <w:t xml:space="preserve"> mediante la Convenzione per l’attuazione della Strategia del 30 marzo 2020</w:t>
      </w:r>
      <w:r>
        <w:rPr>
          <w:sz w:val="24"/>
          <w:szCs w:val="24"/>
        </w:rPr>
        <w:t xml:space="preserve">, dalla Regione dell’Umbria, dall’Agenzia per la Coesione Territoriale, dal Ministero dell’Istruzione, dal Ministero delle Infrastrutture e dei Trasporti, dall’Agenzia Nazionale per le Politiche Attive del Lavoro, dal Ministero delle Politiche Agricole Alimentari e Forestali e dal Ministero della Salute; </w:t>
      </w:r>
    </w:p>
    <w:p w:rsidR="00E96D28" w:rsidRDefault="00230709">
      <w:pPr>
        <w:tabs>
          <w:tab w:val="left" w:pos="1653"/>
        </w:tabs>
        <w:spacing w:after="120" w:line="360" w:lineRule="auto"/>
        <w:ind w:left="284" w:right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6BA">
        <w:rPr>
          <w:sz w:val="24"/>
          <w:szCs w:val="24"/>
        </w:rPr>
        <w:t>di stabilire</w:t>
      </w:r>
      <w:r>
        <w:rPr>
          <w:sz w:val="24"/>
          <w:szCs w:val="24"/>
        </w:rPr>
        <w:t xml:space="preserve"> che agli atti sopra approvati potranno essere apportate modifiche</w:t>
      </w:r>
      <w:r w:rsidRPr="00C826BA">
        <w:rPr>
          <w:sz w:val="24"/>
          <w:szCs w:val="24"/>
        </w:rPr>
        <w:t xml:space="preserve"> </w:t>
      </w:r>
      <w:r>
        <w:rPr>
          <w:sz w:val="24"/>
          <w:szCs w:val="24"/>
        </w:rPr>
        <w:t>tecniche</w:t>
      </w:r>
      <w:r w:rsidRPr="00C826BA">
        <w:rPr>
          <w:sz w:val="24"/>
          <w:szCs w:val="24"/>
        </w:rPr>
        <w:t xml:space="preserve"> </w:t>
      </w:r>
      <w:r>
        <w:rPr>
          <w:sz w:val="24"/>
          <w:szCs w:val="24"/>
        </w:rPr>
        <w:t>di natura non sostanziale.</w:t>
      </w:r>
    </w:p>
    <w:p w:rsidR="00E96D28" w:rsidRDefault="00230709">
      <w:pPr>
        <w:pStyle w:val="Titolo1"/>
        <w:spacing w:before="0" w:after="120" w:line="360" w:lineRule="auto"/>
        <w:ind w:right="973"/>
      </w:pP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COMUNALE</w:t>
      </w:r>
    </w:p>
    <w:p w:rsidR="00E96D28" w:rsidRDefault="00E96D28">
      <w:pPr>
        <w:pStyle w:val="Corpotesto"/>
        <w:spacing w:after="120" w:line="360" w:lineRule="auto"/>
        <w:rPr>
          <w:b/>
          <w:i w:val="0"/>
        </w:rPr>
      </w:pPr>
    </w:p>
    <w:p w:rsidR="00E96D28" w:rsidRDefault="00230709">
      <w:pPr>
        <w:spacing w:after="120" w:line="360" w:lineRule="auto"/>
        <w:ind w:left="212" w:right="495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considerazione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dell’urgenza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dell’atto,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successiva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separata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votazione,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resa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forma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palese,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come di seguito riportata:</w:t>
      </w:r>
    </w:p>
    <w:p w:rsidR="00E96D28" w:rsidRDefault="00E96D28">
      <w:pPr>
        <w:pStyle w:val="Corpotesto"/>
        <w:spacing w:after="120" w:line="360" w:lineRule="auto"/>
        <w:rPr>
          <w:i w:val="0"/>
        </w:rPr>
      </w:pPr>
    </w:p>
    <w:p w:rsidR="00E96D28" w:rsidRDefault="00230709">
      <w:pPr>
        <w:spacing w:after="120" w:line="360" w:lineRule="auto"/>
        <w:ind w:left="212" w:right="211"/>
        <w:rPr>
          <w:sz w:val="24"/>
          <w:szCs w:val="24"/>
        </w:rPr>
      </w:pPr>
      <w:r>
        <w:rPr>
          <w:sz w:val="24"/>
          <w:szCs w:val="24"/>
        </w:rPr>
        <w:t>Alla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presenza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...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Consiglieri,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votazione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legalmente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resa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espressa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forma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palese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seguito riportata</w:t>
      </w:r>
    </w:p>
    <w:p w:rsidR="00E96D28" w:rsidRDefault="00E96D28">
      <w:pPr>
        <w:pStyle w:val="Corpotesto"/>
        <w:spacing w:after="120" w:line="360" w:lineRule="auto"/>
        <w:rPr>
          <w:i w:val="0"/>
        </w:rPr>
      </w:pPr>
    </w:p>
    <w:p w:rsidR="00E96D28" w:rsidRDefault="00230709">
      <w:pPr>
        <w:pStyle w:val="Titolo1"/>
        <w:spacing w:before="0" w:after="120" w:line="360" w:lineRule="auto"/>
        <w:ind w:right="965"/>
      </w:pPr>
      <w:r>
        <w:t>D E L I B</w:t>
      </w:r>
      <w:r>
        <w:rPr>
          <w:spacing w:val="2"/>
        </w:rPr>
        <w:t xml:space="preserve"> </w:t>
      </w:r>
      <w:r>
        <w:t>E R A</w:t>
      </w:r>
    </w:p>
    <w:p w:rsidR="00E96D28" w:rsidRDefault="00E96D28">
      <w:pPr>
        <w:pStyle w:val="Corpotesto"/>
        <w:spacing w:after="120" w:line="360" w:lineRule="auto"/>
        <w:rPr>
          <w:b/>
          <w:i w:val="0"/>
        </w:rPr>
      </w:pPr>
    </w:p>
    <w:p w:rsidR="00E96D28" w:rsidRDefault="00230709">
      <w:pPr>
        <w:spacing w:after="120" w:line="360" w:lineRule="auto"/>
        <w:ind w:left="212" w:right="494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rendere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presente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atto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immediatamente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eseguibile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dell’art.134,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comma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n.267/2000 e </w:t>
      </w:r>
      <w:proofErr w:type="spellStart"/>
      <w:r>
        <w:rPr>
          <w:sz w:val="24"/>
          <w:szCs w:val="24"/>
        </w:rPr>
        <w:t>s.m.i.</w:t>
      </w:r>
      <w:proofErr w:type="spellEnd"/>
    </w:p>
    <w:p w:rsidR="00E96D28" w:rsidRDefault="00E96D28">
      <w:pPr>
        <w:pStyle w:val="Corpotesto"/>
        <w:spacing w:after="120" w:line="360" w:lineRule="auto"/>
        <w:rPr>
          <w:i w:val="0"/>
        </w:rPr>
      </w:pPr>
    </w:p>
    <w:p w:rsidR="00E96D28" w:rsidRDefault="00E96D28">
      <w:pPr>
        <w:tabs>
          <w:tab w:val="left" w:pos="4821"/>
        </w:tabs>
        <w:spacing w:after="120" w:line="360" w:lineRule="auto"/>
        <w:ind w:right="1"/>
        <w:jc w:val="center"/>
        <w:rPr>
          <w:i/>
          <w:sz w:val="24"/>
          <w:szCs w:val="24"/>
        </w:rPr>
      </w:pPr>
    </w:p>
    <w:sectPr w:rsidR="00E96D28">
      <w:headerReference w:type="default" r:id="rId7"/>
      <w:footerReference w:type="default" r:id="rId8"/>
      <w:pgSz w:w="11906" w:h="16838"/>
      <w:pgMar w:top="1780" w:right="920" w:bottom="780" w:left="920" w:header="509" w:footer="59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CA" w:rsidRDefault="007961CA">
      <w:r>
        <w:separator/>
      </w:r>
    </w:p>
  </w:endnote>
  <w:endnote w:type="continuationSeparator" w:id="0">
    <w:p w:rsidR="007961CA" w:rsidRDefault="0079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28" w:rsidRDefault="00E96D28">
    <w:pPr>
      <w:pStyle w:val="Corpotesto"/>
      <w:spacing w:line="0" w:lineRule="atLeast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CA" w:rsidRDefault="007961CA">
      <w:r>
        <w:separator/>
      </w:r>
    </w:p>
  </w:footnote>
  <w:footnote w:type="continuationSeparator" w:id="0">
    <w:p w:rsidR="007961CA" w:rsidRDefault="0079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28" w:rsidRDefault="00E96D28">
    <w:pPr>
      <w:pStyle w:val="Corpotesto"/>
      <w:spacing w:line="0" w:lineRule="atLeast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149"/>
    <w:multiLevelType w:val="multilevel"/>
    <w:tmpl w:val="8DF43EB8"/>
    <w:lvl w:ilvl="0">
      <w:start w:val="1"/>
      <w:numFmt w:val="bullet"/>
      <w:lvlText w:val=""/>
      <w:lvlJc w:val="left"/>
      <w:pPr>
        <w:tabs>
          <w:tab w:val="num" w:pos="0"/>
        </w:tabs>
        <w:ind w:left="19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A4359D"/>
    <w:multiLevelType w:val="multilevel"/>
    <w:tmpl w:val="1C9AC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2271CA"/>
    <w:multiLevelType w:val="multilevel"/>
    <w:tmpl w:val="5D9ED8C2"/>
    <w:lvl w:ilvl="0">
      <w:numFmt w:val="bullet"/>
      <w:lvlText w:val="-"/>
      <w:lvlJc w:val="left"/>
      <w:pPr>
        <w:tabs>
          <w:tab w:val="num" w:pos="0"/>
        </w:tabs>
        <w:ind w:left="553" w:hanging="17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10" w:hanging="17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61" w:hanging="1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1" w:hanging="1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1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3" w:hanging="1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4" w:hanging="1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5" w:hanging="171"/>
      </w:pPr>
      <w:rPr>
        <w:rFonts w:ascii="Symbol" w:hAnsi="Symbol" w:cs="Symbol" w:hint="default"/>
      </w:rPr>
    </w:lvl>
  </w:abstractNum>
  <w:abstractNum w:abstractNumId="3" w15:restartNumberingAfterBreak="0">
    <w:nsid w:val="414F3346"/>
    <w:multiLevelType w:val="multilevel"/>
    <w:tmpl w:val="6DE0AD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28"/>
    <w:rsid w:val="001F451A"/>
    <w:rsid w:val="00230709"/>
    <w:rsid w:val="00452975"/>
    <w:rsid w:val="00507F2A"/>
    <w:rsid w:val="006F10ED"/>
    <w:rsid w:val="007961CA"/>
    <w:rsid w:val="007B7772"/>
    <w:rsid w:val="007F0E7E"/>
    <w:rsid w:val="00802CC9"/>
    <w:rsid w:val="008D69C2"/>
    <w:rsid w:val="0099353E"/>
    <w:rsid w:val="00A017EC"/>
    <w:rsid w:val="00BD58BC"/>
    <w:rsid w:val="00C826BA"/>
    <w:rsid w:val="00CE36BD"/>
    <w:rsid w:val="00CE542A"/>
    <w:rsid w:val="00D3473F"/>
    <w:rsid w:val="00E96D28"/>
    <w:rsid w:val="00ED53C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0C8"/>
  <w15:docId w15:val="{5D4D5DA0-081C-49D0-BFBA-82297A2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2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73DA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73DA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40" w:right="210" w:hanging="17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73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973D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rsid w:val="00D819FC"/>
    <w:pPr>
      <w:widowControl/>
      <w:suppressAutoHyphens w:val="0"/>
      <w:spacing w:beforeAutospacing="1" w:afterAutospacing="1"/>
    </w:pPr>
    <w:rPr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6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dlc_00084_16-10-2018</vt:lpstr>
    </vt:vector>
  </TitlesOfParts>
  <Company>Hewlett-Packard Company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dlc_00084_16-10-2018</dc:title>
  <dc:creator>scappannelli</dc:creator>
  <cp:lastModifiedBy>utente</cp:lastModifiedBy>
  <cp:revision>6</cp:revision>
  <dcterms:created xsi:type="dcterms:W3CDTF">2021-03-17T09:44:00Z</dcterms:created>
  <dcterms:modified xsi:type="dcterms:W3CDTF">2021-03-17T10:35:00Z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2021-03-15T00:00:00Z</vt:filetime>
  </property>
</Properties>
</file>