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9639" w:type="dxa"/>
        <w:tblInd w:w="10" w:type="dxa"/>
        <w:tblLayout w:type="fixed"/>
        <w:tblLook w:val="04A0" w:firstRow="1" w:lastRow="0" w:firstColumn="1" w:lastColumn="0" w:noHBand="0" w:noVBand="1"/>
      </w:tblPr>
      <w:tblGrid>
        <w:gridCol w:w="567"/>
        <w:gridCol w:w="2835"/>
        <w:gridCol w:w="6237"/>
      </w:tblGrid>
      <w:tr w:rsidR="00EB028C" w:rsidTr="008E2681">
        <w:trPr>
          <w:trHeight w:val="253"/>
        </w:trPr>
        <w:tc>
          <w:tcPr>
            <w:tcW w:w="567" w:type="dxa"/>
            <w:tcBorders>
              <w:top w:val="nil"/>
              <w:left w:val="nil"/>
              <w:bottom w:val="nil"/>
              <w:right w:val="nil"/>
            </w:tcBorders>
          </w:tcPr>
          <w:p w:rsidR="00EB028C" w:rsidRDefault="00EB028C" w:rsidP="00ED5EC1">
            <w:pPr>
              <w:spacing w:line="0" w:lineRule="atLeast"/>
              <w:rPr>
                <w:rFonts w:ascii="Times New Roman" w:eastAsia="Times New Roman" w:hAnsi="Times New Roman"/>
                <w:sz w:val="21"/>
              </w:rPr>
            </w:pPr>
          </w:p>
        </w:tc>
        <w:tc>
          <w:tcPr>
            <w:tcW w:w="2835" w:type="dxa"/>
            <w:tcBorders>
              <w:top w:val="nil"/>
              <w:left w:val="nil"/>
              <w:bottom w:val="nil"/>
              <w:right w:val="nil"/>
            </w:tcBorders>
          </w:tcPr>
          <w:p w:rsidR="00EB028C" w:rsidRDefault="00EB028C" w:rsidP="00ED5EC1">
            <w:pPr>
              <w:spacing w:line="0" w:lineRule="atLeast"/>
              <w:rPr>
                <w:rFonts w:ascii="Times New Roman" w:eastAsia="Times New Roman" w:hAnsi="Times New Roman"/>
                <w:sz w:val="21"/>
              </w:rPr>
            </w:pPr>
          </w:p>
        </w:tc>
        <w:tc>
          <w:tcPr>
            <w:tcW w:w="6237" w:type="dxa"/>
            <w:tcBorders>
              <w:top w:val="nil"/>
              <w:left w:val="nil"/>
              <w:bottom w:val="nil"/>
              <w:right w:val="nil"/>
            </w:tcBorders>
          </w:tcPr>
          <w:p w:rsidR="00EB028C" w:rsidRPr="00214691" w:rsidRDefault="00EB028C" w:rsidP="00185C0D">
            <w:pPr>
              <w:pStyle w:val="Titolo1"/>
              <w:outlineLvl w:val="0"/>
              <w:rPr>
                <w:rFonts w:eastAsia="Arial"/>
              </w:rPr>
            </w:pPr>
            <w:r w:rsidRPr="005B0ADA">
              <w:rPr>
                <w:rFonts w:eastAsia="Arial"/>
                <w:sz w:val="24"/>
                <w:szCs w:val="24"/>
              </w:rPr>
              <w:t xml:space="preserve">Scheda </w:t>
            </w:r>
            <w:r>
              <w:rPr>
                <w:rFonts w:eastAsia="Arial"/>
                <w:sz w:val="24"/>
                <w:szCs w:val="24"/>
              </w:rPr>
              <w:t>bando</w:t>
            </w:r>
            <w:r w:rsidRPr="00214691">
              <w:rPr>
                <w:rFonts w:eastAsia="Arial"/>
              </w:rPr>
              <w:t xml:space="preserve"> </w:t>
            </w:r>
            <w:r w:rsidR="007345FD" w:rsidRPr="007345FD">
              <w:rPr>
                <w:rFonts w:eastAsia="Arial"/>
                <w:sz w:val="24"/>
                <w:szCs w:val="24"/>
              </w:rPr>
              <w:t>SL</w:t>
            </w:r>
            <w:r w:rsidR="00507ED4">
              <w:rPr>
                <w:rFonts w:eastAsia="Arial"/>
                <w:sz w:val="24"/>
                <w:szCs w:val="24"/>
              </w:rPr>
              <w:t>.</w:t>
            </w:r>
            <w:r w:rsidR="006F7960">
              <w:rPr>
                <w:rFonts w:eastAsia="Arial"/>
                <w:sz w:val="24"/>
                <w:szCs w:val="24"/>
              </w:rPr>
              <w:t>1.2</w:t>
            </w:r>
          </w:p>
        </w:tc>
      </w:tr>
      <w:tr w:rsidR="00EB028C" w:rsidTr="008E2681">
        <w:trPr>
          <w:trHeight w:val="357"/>
        </w:trPr>
        <w:tc>
          <w:tcPr>
            <w:tcW w:w="567" w:type="dxa"/>
            <w:tcBorders>
              <w:top w:val="nil"/>
              <w:left w:val="nil"/>
              <w:bottom w:val="single" w:sz="4" w:space="0" w:color="auto"/>
              <w:right w:val="nil"/>
            </w:tcBorders>
          </w:tcPr>
          <w:p w:rsidR="00EB028C" w:rsidRDefault="00EB028C" w:rsidP="00ED5EC1">
            <w:pPr>
              <w:spacing w:line="0" w:lineRule="atLeast"/>
              <w:rPr>
                <w:rFonts w:ascii="Times New Roman" w:eastAsia="Times New Roman" w:hAnsi="Times New Roman"/>
                <w:sz w:val="24"/>
              </w:rPr>
            </w:pPr>
          </w:p>
        </w:tc>
        <w:tc>
          <w:tcPr>
            <w:tcW w:w="2835" w:type="dxa"/>
            <w:tcBorders>
              <w:top w:val="nil"/>
              <w:left w:val="nil"/>
              <w:bottom w:val="single" w:sz="4" w:space="0" w:color="auto"/>
              <w:right w:val="nil"/>
            </w:tcBorders>
          </w:tcPr>
          <w:p w:rsidR="00EB028C" w:rsidRDefault="00EB028C" w:rsidP="00ED5EC1">
            <w:pPr>
              <w:spacing w:line="0" w:lineRule="atLeast"/>
              <w:rPr>
                <w:rFonts w:ascii="Times New Roman" w:eastAsia="Times New Roman" w:hAnsi="Times New Roman"/>
                <w:sz w:val="24"/>
              </w:rPr>
            </w:pPr>
          </w:p>
        </w:tc>
        <w:tc>
          <w:tcPr>
            <w:tcW w:w="6237" w:type="dxa"/>
            <w:tcBorders>
              <w:top w:val="nil"/>
              <w:left w:val="nil"/>
              <w:bottom w:val="single" w:sz="4" w:space="0" w:color="auto"/>
              <w:right w:val="nil"/>
            </w:tcBorders>
          </w:tcPr>
          <w:p w:rsidR="00EB028C" w:rsidRDefault="00EB028C" w:rsidP="00ED5EC1">
            <w:pPr>
              <w:spacing w:line="0" w:lineRule="atLeast"/>
              <w:rPr>
                <w:rFonts w:ascii="Times New Roman" w:eastAsia="Times New Roman" w:hAnsi="Times New Roman"/>
                <w:sz w:val="24"/>
              </w:rPr>
            </w:pPr>
          </w:p>
        </w:tc>
      </w:tr>
      <w:tr w:rsidR="00EB028C" w:rsidTr="008E2681">
        <w:tc>
          <w:tcPr>
            <w:tcW w:w="567" w:type="dxa"/>
            <w:tcBorders>
              <w:top w:val="single" w:sz="4" w:space="0" w:color="auto"/>
            </w:tcBorders>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1</w:t>
            </w:r>
          </w:p>
        </w:tc>
        <w:tc>
          <w:tcPr>
            <w:tcW w:w="2835" w:type="dxa"/>
            <w:tcBorders>
              <w:top w:val="single" w:sz="4" w:space="0" w:color="auto"/>
            </w:tcBorders>
          </w:tcPr>
          <w:p w:rsidR="00EB028C" w:rsidRDefault="00EB028C" w:rsidP="00ED5EC1">
            <w:pPr>
              <w:spacing w:line="232" w:lineRule="auto"/>
              <w:ind w:left="113" w:right="113"/>
              <w:rPr>
                <w:rFonts w:ascii="Arial" w:eastAsia="Arial" w:hAnsi="Arial"/>
                <w:b/>
                <w:sz w:val="22"/>
              </w:rPr>
            </w:pPr>
            <w:r>
              <w:rPr>
                <w:rFonts w:ascii="Arial" w:eastAsia="Arial" w:hAnsi="Arial"/>
                <w:b/>
                <w:sz w:val="16"/>
              </w:rPr>
              <w:t>Codice intervento e Titolo</w:t>
            </w:r>
          </w:p>
        </w:tc>
        <w:tc>
          <w:tcPr>
            <w:tcW w:w="6237" w:type="dxa"/>
            <w:tcBorders>
              <w:top w:val="single" w:sz="4" w:space="0" w:color="auto"/>
            </w:tcBorders>
          </w:tcPr>
          <w:p w:rsidR="00EB028C" w:rsidRPr="007345FD" w:rsidRDefault="006F7960" w:rsidP="006F7960">
            <w:pPr>
              <w:spacing w:line="232" w:lineRule="auto"/>
              <w:ind w:left="113" w:right="113"/>
              <w:jc w:val="both"/>
              <w:rPr>
                <w:rFonts w:ascii="Arial" w:eastAsia="Arial" w:hAnsi="Arial"/>
                <w:b/>
                <w:sz w:val="22"/>
              </w:rPr>
            </w:pPr>
            <w:r>
              <w:rPr>
                <w:rFonts w:ascii="Arial" w:hAnsi="Arial"/>
                <w:b/>
                <w:color w:val="000000"/>
                <w:sz w:val="16"/>
                <w:szCs w:val="16"/>
              </w:rPr>
              <w:t>SL</w:t>
            </w:r>
            <w:r w:rsidR="00507ED4">
              <w:rPr>
                <w:rFonts w:ascii="Arial" w:hAnsi="Arial"/>
                <w:b/>
                <w:color w:val="000000"/>
                <w:sz w:val="16"/>
                <w:szCs w:val="16"/>
              </w:rPr>
              <w:t>.</w:t>
            </w:r>
            <w:r>
              <w:rPr>
                <w:rFonts w:ascii="Arial" w:hAnsi="Arial"/>
                <w:b/>
                <w:color w:val="000000"/>
                <w:sz w:val="16"/>
                <w:szCs w:val="16"/>
              </w:rPr>
              <w:t>1.2</w:t>
            </w:r>
            <w:r w:rsidR="00C27D39">
              <w:rPr>
                <w:rFonts w:ascii="Arial" w:hAnsi="Arial"/>
                <w:b/>
                <w:color w:val="000000"/>
                <w:sz w:val="16"/>
                <w:szCs w:val="16"/>
              </w:rPr>
              <w:t xml:space="preserve"> </w:t>
            </w:r>
            <w:r>
              <w:rPr>
                <w:rFonts w:ascii="Arial" w:hAnsi="Arial"/>
                <w:b/>
                <w:color w:val="000000"/>
                <w:sz w:val="16"/>
                <w:szCs w:val="16"/>
              </w:rPr>
              <w:t>Sostegno e creazione/sviluppo di imprese extra-agricole nei settori commerciale-artigianale, turistico-servizio-innovazione tecnologica a servizio della mobilità dolce</w:t>
            </w:r>
          </w:p>
        </w:tc>
      </w:tr>
      <w:tr w:rsidR="00EB028C" w:rsidTr="008E268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2</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Obiettivo</w:t>
            </w:r>
          </w:p>
        </w:tc>
        <w:tc>
          <w:tcPr>
            <w:tcW w:w="6237" w:type="dxa"/>
          </w:tcPr>
          <w:p w:rsidR="00EE3A87" w:rsidRPr="00EE3A87" w:rsidRDefault="00EE3A87" w:rsidP="008E2681">
            <w:pPr>
              <w:autoSpaceDE w:val="0"/>
              <w:autoSpaceDN w:val="0"/>
              <w:adjustRightInd w:val="0"/>
              <w:ind w:left="132" w:right="151"/>
              <w:jc w:val="both"/>
              <w:rPr>
                <w:rFonts w:ascii="Arial" w:eastAsiaTheme="minorHAnsi" w:hAnsi="Arial"/>
                <w:sz w:val="16"/>
                <w:szCs w:val="16"/>
                <w:lang w:eastAsia="en-US"/>
              </w:rPr>
            </w:pPr>
            <w:r w:rsidRPr="00EE3A87">
              <w:rPr>
                <w:rFonts w:ascii="Arial" w:eastAsiaTheme="minorHAnsi" w:hAnsi="Arial"/>
                <w:sz w:val="16"/>
                <w:szCs w:val="16"/>
                <w:lang w:eastAsia="en-US"/>
              </w:rPr>
              <w:t>Il presente intervento risponde al fabbisogno di evitare l’abbandono delle zone di montagna e svantaggiate e di favorire la diversificazione, la creazione e lo sviluppo di piccole imprese</w:t>
            </w:r>
            <w:r w:rsidR="00440359" w:rsidRPr="008E2681">
              <w:rPr>
                <w:rFonts w:ascii="Arial" w:eastAsiaTheme="minorHAnsi" w:hAnsi="Arial"/>
                <w:sz w:val="16"/>
                <w:szCs w:val="16"/>
                <w:lang w:eastAsia="en-US"/>
              </w:rPr>
              <w:t>.</w:t>
            </w:r>
          </w:p>
          <w:p w:rsidR="00440359" w:rsidRDefault="008E2681" w:rsidP="008E2681">
            <w:pPr>
              <w:autoSpaceDE w:val="0"/>
              <w:autoSpaceDN w:val="0"/>
              <w:adjustRightInd w:val="0"/>
              <w:spacing w:after="16"/>
              <w:ind w:left="132" w:right="151"/>
              <w:jc w:val="both"/>
              <w:rPr>
                <w:rFonts w:ascii="Arial" w:hAnsi="Arial"/>
                <w:bCs/>
                <w:iCs/>
                <w:sz w:val="16"/>
                <w:szCs w:val="16"/>
              </w:rPr>
            </w:pPr>
            <w:r>
              <w:rPr>
                <w:rFonts w:ascii="Arial" w:hAnsi="Arial"/>
                <w:bCs/>
                <w:iCs/>
                <w:sz w:val="16"/>
                <w:szCs w:val="16"/>
              </w:rPr>
              <w:t>Si prevede</w:t>
            </w:r>
            <w:r w:rsidR="00440359">
              <w:rPr>
                <w:rFonts w:ascii="Arial" w:hAnsi="Arial"/>
                <w:bCs/>
                <w:iCs/>
                <w:sz w:val="16"/>
                <w:szCs w:val="16"/>
              </w:rPr>
              <w:t xml:space="preserve"> il sostegno di </w:t>
            </w:r>
            <w:r w:rsidR="00440359" w:rsidRPr="00EE3A87">
              <w:rPr>
                <w:rFonts w:ascii="Arial" w:hAnsi="Arial"/>
                <w:bCs/>
                <w:iCs/>
                <w:sz w:val="16"/>
                <w:szCs w:val="16"/>
              </w:rPr>
              <w:t xml:space="preserve">iniziative imprenditoriali </w:t>
            </w:r>
            <w:r w:rsidR="00440359">
              <w:rPr>
                <w:rFonts w:ascii="Arial" w:hAnsi="Arial"/>
                <w:bCs/>
                <w:iCs/>
                <w:sz w:val="16"/>
                <w:szCs w:val="16"/>
              </w:rPr>
              <w:t>volte alla creazione e allo sviluppo di microimprese</w:t>
            </w:r>
            <w:r w:rsidR="00440359" w:rsidRPr="00EE3A87">
              <w:rPr>
                <w:rFonts w:ascii="Arial" w:hAnsi="Arial"/>
                <w:bCs/>
                <w:iCs/>
                <w:sz w:val="16"/>
                <w:szCs w:val="16"/>
              </w:rPr>
              <w:t xml:space="preserve"> che possano erogare servizi </w:t>
            </w:r>
            <w:r w:rsidR="00440359">
              <w:rPr>
                <w:rFonts w:ascii="Arial" w:hAnsi="Arial"/>
                <w:bCs/>
                <w:iCs/>
                <w:sz w:val="16"/>
                <w:szCs w:val="16"/>
              </w:rPr>
              <w:t xml:space="preserve">che vadano ad integrare </w:t>
            </w:r>
            <w:proofErr w:type="gramStart"/>
            <w:r w:rsidR="00440359">
              <w:rPr>
                <w:rFonts w:ascii="Arial" w:hAnsi="Arial"/>
                <w:bCs/>
                <w:iCs/>
                <w:sz w:val="16"/>
                <w:szCs w:val="16"/>
              </w:rPr>
              <w:t xml:space="preserve">il </w:t>
            </w:r>
            <w:r w:rsidR="00440359" w:rsidRPr="00EE3A87">
              <w:rPr>
                <w:rFonts w:ascii="Arial" w:hAnsi="Arial"/>
                <w:bCs/>
                <w:iCs/>
                <w:sz w:val="16"/>
                <w:szCs w:val="16"/>
              </w:rPr>
              <w:t xml:space="preserve"> sistema</w:t>
            </w:r>
            <w:proofErr w:type="gramEnd"/>
            <w:r w:rsidR="00440359" w:rsidRPr="00EE3A87">
              <w:rPr>
                <w:rFonts w:ascii="Arial" w:hAnsi="Arial"/>
                <w:bCs/>
                <w:iCs/>
                <w:sz w:val="16"/>
                <w:szCs w:val="16"/>
              </w:rPr>
              <w:t xml:space="preserve"> di frui</w:t>
            </w:r>
            <w:r w:rsidR="00440359">
              <w:rPr>
                <w:rFonts w:ascii="Arial" w:hAnsi="Arial"/>
                <w:bCs/>
                <w:iCs/>
                <w:sz w:val="16"/>
                <w:szCs w:val="16"/>
              </w:rPr>
              <w:t>zione del territorio</w:t>
            </w:r>
            <w:r w:rsidR="00440359" w:rsidRPr="00EE3A87">
              <w:rPr>
                <w:rFonts w:ascii="Arial" w:hAnsi="Arial"/>
                <w:bCs/>
                <w:iCs/>
                <w:sz w:val="16"/>
                <w:szCs w:val="16"/>
              </w:rPr>
              <w:t>,</w:t>
            </w:r>
            <w:r w:rsidR="00440359">
              <w:rPr>
                <w:rFonts w:ascii="Arial" w:hAnsi="Arial"/>
                <w:bCs/>
                <w:iCs/>
                <w:sz w:val="16"/>
                <w:szCs w:val="16"/>
              </w:rPr>
              <w:t xml:space="preserve"> in particolar modo favorendo </w:t>
            </w:r>
            <w:r w:rsidR="00440359" w:rsidRPr="00EE3A87">
              <w:rPr>
                <w:rFonts w:ascii="Arial" w:hAnsi="Arial"/>
                <w:bCs/>
                <w:iCs/>
                <w:sz w:val="16"/>
                <w:szCs w:val="16"/>
              </w:rPr>
              <w:t xml:space="preserve">lo sviluppo del sistema di mobilità dolce. </w:t>
            </w:r>
            <w:r w:rsidR="00440359">
              <w:rPr>
                <w:rFonts w:ascii="Arial" w:hAnsi="Arial"/>
                <w:bCs/>
                <w:iCs/>
                <w:sz w:val="16"/>
                <w:szCs w:val="16"/>
              </w:rPr>
              <w:t xml:space="preserve">L’obiettivo è quello di </w:t>
            </w:r>
            <w:r>
              <w:rPr>
                <w:rFonts w:ascii="Arial" w:hAnsi="Arial"/>
                <w:bCs/>
                <w:iCs/>
                <w:sz w:val="16"/>
                <w:szCs w:val="16"/>
              </w:rPr>
              <w:t xml:space="preserve">istituire e </w:t>
            </w:r>
            <w:r w:rsidR="00440359">
              <w:rPr>
                <w:rFonts w:ascii="Arial" w:hAnsi="Arial"/>
                <w:bCs/>
                <w:iCs/>
                <w:sz w:val="16"/>
                <w:szCs w:val="16"/>
              </w:rPr>
              <w:t xml:space="preserve">potenziare </w:t>
            </w:r>
            <w:r>
              <w:rPr>
                <w:rFonts w:ascii="Arial" w:hAnsi="Arial"/>
                <w:bCs/>
                <w:iCs/>
                <w:sz w:val="16"/>
                <w:szCs w:val="16"/>
              </w:rPr>
              <w:t>servizi legati alla fruizione ciclo-pedonale diffusa del territorio</w:t>
            </w:r>
            <w:r w:rsidR="000F30E0">
              <w:rPr>
                <w:rFonts w:ascii="Arial" w:hAnsi="Arial"/>
                <w:bCs/>
                <w:iCs/>
                <w:sz w:val="16"/>
                <w:szCs w:val="16"/>
              </w:rPr>
              <w:t>,</w:t>
            </w:r>
            <w:r>
              <w:rPr>
                <w:rFonts w:ascii="Arial" w:hAnsi="Arial"/>
                <w:bCs/>
                <w:iCs/>
                <w:sz w:val="16"/>
                <w:szCs w:val="16"/>
              </w:rPr>
              <w:t xml:space="preserve"> puntando alla creazione di un distretto e-bike della </w:t>
            </w:r>
            <w:proofErr w:type="spellStart"/>
            <w:r>
              <w:rPr>
                <w:rFonts w:ascii="Arial" w:hAnsi="Arial"/>
                <w:bCs/>
                <w:iCs/>
                <w:sz w:val="16"/>
                <w:szCs w:val="16"/>
              </w:rPr>
              <w:t>Valnerina</w:t>
            </w:r>
            <w:proofErr w:type="spellEnd"/>
            <w:r>
              <w:rPr>
                <w:rFonts w:ascii="Arial" w:hAnsi="Arial"/>
                <w:bCs/>
                <w:iCs/>
                <w:sz w:val="16"/>
                <w:szCs w:val="16"/>
              </w:rPr>
              <w:t xml:space="preserve"> basato sugli itinerari della mobilità dolce </w:t>
            </w:r>
            <w:r w:rsidR="00440359" w:rsidRPr="00EE3A87">
              <w:rPr>
                <w:rFonts w:ascii="Arial" w:hAnsi="Arial"/>
                <w:bCs/>
                <w:iCs/>
                <w:sz w:val="16"/>
                <w:szCs w:val="16"/>
              </w:rPr>
              <w:t>(sviluppati nell’ambito delle azioni dedicate nella strategia)</w:t>
            </w:r>
            <w:r>
              <w:rPr>
                <w:rFonts w:ascii="Arial" w:hAnsi="Arial"/>
                <w:bCs/>
                <w:iCs/>
                <w:sz w:val="16"/>
                <w:szCs w:val="16"/>
              </w:rPr>
              <w:t>, ma anche sulla creazione di</w:t>
            </w:r>
            <w:r w:rsidR="00440359" w:rsidRPr="00EE3A87">
              <w:rPr>
                <w:rFonts w:ascii="Arial" w:hAnsi="Arial"/>
                <w:bCs/>
                <w:iCs/>
                <w:sz w:val="16"/>
                <w:szCs w:val="16"/>
              </w:rPr>
              <w:t xml:space="preserve"> punti di ristoro, punti tappa, </w:t>
            </w:r>
            <w:proofErr w:type="spellStart"/>
            <w:r w:rsidR="00440359" w:rsidRPr="00EE3A87">
              <w:rPr>
                <w:rFonts w:ascii="Arial" w:hAnsi="Arial"/>
                <w:bCs/>
                <w:iCs/>
                <w:sz w:val="16"/>
                <w:szCs w:val="16"/>
              </w:rPr>
              <w:t>ciclofficine</w:t>
            </w:r>
            <w:proofErr w:type="spellEnd"/>
            <w:r w:rsidR="00440359" w:rsidRPr="00EE3A87">
              <w:rPr>
                <w:rFonts w:ascii="Arial" w:hAnsi="Arial"/>
                <w:bCs/>
                <w:iCs/>
                <w:sz w:val="16"/>
                <w:szCs w:val="16"/>
              </w:rPr>
              <w:t xml:space="preserve">, </w:t>
            </w:r>
            <w:proofErr w:type="spellStart"/>
            <w:r w:rsidR="00440359" w:rsidRPr="00EE3A87">
              <w:rPr>
                <w:rFonts w:ascii="Arial" w:hAnsi="Arial"/>
                <w:bCs/>
                <w:iCs/>
                <w:sz w:val="16"/>
                <w:szCs w:val="16"/>
              </w:rPr>
              <w:t>velostazioni</w:t>
            </w:r>
            <w:proofErr w:type="spellEnd"/>
            <w:r w:rsidR="00440359" w:rsidRPr="00EE3A87">
              <w:rPr>
                <w:rFonts w:ascii="Arial" w:hAnsi="Arial"/>
                <w:bCs/>
                <w:iCs/>
                <w:sz w:val="16"/>
                <w:szCs w:val="16"/>
              </w:rPr>
              <w:t>, punti</w:t>
            </w:r>
            <w:r w:rsidR="00440359">
              <w:rPr>
                <w:rFonts w:ascii="Arial" w:hAnsi="Arial"/>
                <w:bCs/>
                <w:iCs/>
                <w:sz w:val="16"/>
                <w:szCs w:val="16"/>
              </w:rPr>
              <w:t xml:space="preserve"> di ricarica per biciclette a pe</w:t>
            </w:r>
            <w:r w:rsidR="00440359" w:rsidRPr="00EE3A87">
              <w:rPr>
                <w:rFonts w:ascii="Arial" w:hAnsi="Arial"/>
                <w:bCs/>
                <w:iCs/>
                <w:sz w:val="16"/>
                <w:szCs w:val="16"/>
              </w:rPr>
              <w:t>dalata assistita, attrezzamento di nodi intermodali per il trasporto di biciclette e turisti, nodi attrezzati per il noleggio di biciclette e attrezzature per il trekking e relativi sport all’aria aperta</w:t>
            </w:r>
            <w:r>
              <w:rPr>
                <w:rFonts w:ascii="Arial" w:hAnsi="Arial"/>
                <w:bCs/>
                <w:iCs/>
                <w:sz w:val="16"/>
                <w:szCs w:val="16"/>
              </w:rPr>
              <w:t xml:space="preserve"> nonché di </w:t>
            </w:r>
            <w:r w:rsidR="00440359" w:rsidRPr="00EE3A87">
              <w:rPr>
                <w:rFonts w:ascii="Arial" w:hAnsi="Arial"/>
                <w:bCs/>
                <w:iCs/>
                <w:sz w:val="16"/>
                <w:szCs w:val="16"/>
              </w:rPr>
              <w:t xml:space="preserve"> punti di vendita di prodotti tipici dell’area.</w:t>
            </w:r>
          </w:p>
          <w:p w:rsidR="00EB028C" w:rsidRDefault="00EB028C" w:rsidP="008E2681">
            <w:pPr>
              <w:autoSpaceDE w:val="0"/>
              <w:autoSpaceDN w:val="0"/>
              <w:adjustRightInd w:val="0"/>
              <w:spacing w:after="16"/>
              <w:ind w:right="151"/>
              <w:jc w:val="both"/>
              <w:rPr>
                <w:rFonts w:ascii="Arial" w:eastAsia="Arial" w:hAnsi="Arial"/>
                <w:b/>
                <w:sz w:val="22"/>
              </w:rPr>
            </w:pPr>
          </w:p>
        </w:tc>
      </w:tr>
      <w:tr w:rsidR="00EB028C" w:rsidTr="008E268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3</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Soggetti beneficiari</w:t>
            </w:r>
          </w:p>
        </w:tc>
        <w:tc>
          <w:tcPr>
            <w:tcW w:w="6237" w:type="dxa"/>
          </w:tcPr>
          <w:p w:rsidR="006F7960" w:rsidRPr="006F7960" w:rsidRDefault="00C27D39" w:rsidP="006F7960">
            <w:pPr>
              <w:pStyle w:val="Default"/>
              <w:rPr>
                <w:rFonts w:ascii="Arial" w:hAnsi="Arial" w:cs="Arial"/>
                <w:color w:val="FF0000"/>
                <w:sz w:val="16"/>
                <w:szCs w:val="16"/>
              </w:rPr>
            </w:pPr>
            <w:r>
              <w:rPr>
                <w:rFonts w:ascii="Arial" w:hAnsi="Arial" w:cs="Arial"/>
                <w:color w:val="FF0000"/>
                <w:sz w:val="16"/>
                <w:szCs w:val="16"/>
              </w:rPr>
              <w:t xml:space="preserve"> </w:t>
            </w:r>
            <w:r w:rsidR="008E2681">
              <w:rPr>
                <w:rFonts w:ascii="Arial" w:hAnsi="Arial" w:cs="Arial"/>
                <w:color w:val="FF0000"/>
                <w:sz w:val="16"/>
                <w:szCs w:val="16"/>
              </w:rPr>
              <w:t xml:space="preserve"> </w:t>
            </w:r>
            <w:r w:rsidR="006F7960" w:rsidRPr="006F7960">
              <w:rPr>
                <w:rFonts w:ascii="Arial" w:hAnsi="Arial" w:cs="Arial"/>
                <w:color w:val="auto"/>
                <w:sz w:val="16"/>
                <w:szCs w:val="16"/>
              </w:rPr>
              <w:t>Microimprese e piccole imprese, persone fisiche</w:t>
            </w:r>
          </w:p>
          <w:p w:rsidR="00EB028C" w:rsidRPr="005563BE" w:rsidRDefault="00EB028C" w:rsidP="005563BE">
            <w:pPr>
              <w:pStyle w:val="Default"/>
              <w:rPr>
                <w:rFonts w:ascii="Arial" w:hAnsi="Arial" w:cs="Arial"/>
                <w:color w:val="FF0000"/>
                <w:sz w:val="16"/>
                <w:szCs w:val="16"/>
              </w:rPr>
            </w:pPr>
          </w:p>
        </w:tc>
      </w:tr>
      <w:tr w:rsidR="00EB028C" w:rsidTr="008E268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4</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CUP</w:t>
            </w:r>
          </w:p>
        </w:tc>
        <w:tc>
          <w:tcPr>
            <w:tcW w:w="6237" w:type="dxa"/>
          </w:tcPr>
          <w:p w:rsidR="00EB028C" w:rsidRDefault="00C5778E" w:rsidP="00ED5EC1">
            <w:pPr>
              <w:spacing w:line="232" w:lineRule="auto"/>
              <w:ind w:left="113" w:right="113"/>
              <w:rPr>
                <w:rFonts w:ascii="Arial" w:eastAsia="Arial" w:hAnsi="Arial"/>
                <w:b/>
                <w:sz w:val="22"/>
              </w:rPr>
            </w:pPr>
            <w:r>
              <w:rPr>
                <w:rFonts w:ascii="Arial" w:eastAsia="Arial" w:hAnsi="Arial"/>
                <w:b/>
                <w:sz w:val="22"/>
              </w:rPr>
              <w:t>/</w:t>
            </w:r>
          </w:p>
        </w:tc>
      </w:tr>
      <w:tr w:rsidR="00EB028C" w:rsidTr="008E2681">
        <w:trPr>
          <w:trHeight w:val="410"/>
        </w:trPr>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5</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Dotazione finanziaria</w:t>
            </w:r>
          </w:p>
        </w:tc>
        <w:tc>
          <w:tcPr>
            <w:tcW w:w="6237" w:type="dxa"/>
          </w:tcPr>
          <w:p w:rsidR="00EB028C" w:rsidRDefault="006F7960" w:rsidP="00ED5EC1">
            <w:pPr>
              <w:spacing w:line="232" w:lineRule="auto"/>
              <w:ind w:left="113" w:right="113"/>
              <w:rPr>
                <w:rFonts w:ascii="Arial" w:eastAsia="Arial" w:hAnsi="Arial"/>
                <w:b/>
                <w:sz w:val="22"/>
              </w:rPr>
            </w:pPr>
            <w:r>
              <w:rPr>
                <w:rFonts w:ascii="Arial" w:hAnsi="Arial"/>
                <w:color w:val="000000"/>
                <w:sz w:val="16"/>
                <w:szCs w:val="16"/>
              </w:rPr>
              <w:t>Fino a €1.000.000</w:t>
            </w:r>
            <w:r w:rsidR="00EE3A87">
              <w:rPr>
                <w:rFonts w:ascii="Arial" w:hAnsi="Arial"/>
                <w:color w:val="000000"/>
                <w:sz w:val="16"/>
                <w:szCs w:val="16"/>
              </w:rPr>
              <w:t>,00</w:t>
            </w:r>
            <w:r w:rsidR="007345FD" w:rsidRPr="007345FD">
              <w:rPr>
                <w:rFonts w:ascii="Arial" w:hAnsi="Arial"/>
                <w:color w:val="000000"/>
                <w:sz w:val="16"/>
                <w:szCs w:val="16"/>
              </w:rPr>
              <w:t xml:space="preserve"> quale quota parte dei € 4.366.979,16 messi a disposizione dell’area interna nell’ambito delle misure del PSR</w:t>
            </w:r>
          </w:p>
        </w:tc>
      </w:tr>
      <w:tr w:rsidR="00EB028C" w:rsidTr="008E268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6</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Fonte finanziaria</w:t>
            </w:r>
          </w:p>
        </w:tc>
        <w:tc>
          <w:tcPr>
            <w:tcW w:w="6237" w:type="dxa"/>
          </w:tcPr>
          <w:p w:rsidR="00EB028C" w:rsidRDefault="006F7960" w:rsidP="008E2681">
            <w:pPr>
              <w:spacing w:after="120" w:line="233" w:lineRule="auto"/>
              <w:ind w:left="113" w:right="113"/>
              <w:rPr>
                <w:rFonts w:ascii="Arial" w:eastAsia="Arial" w:hAnsi="Arial"/>
                <w:b/>
                <w:sz w:val="22"/>
              </w:rPr>
            </w:pPr>
            <w:r>
              <w:rPr>
                <w:rFonts w:ascii="Arial" w:hAnsi="Arial"/>
                <w:color w:val="000000"/>
                <w:sz w:val="16"/>
                <w:szCs w:val="16"/>
              </w:rPr>
              <w:t>PSR 2014-2020 Misura 19</w:t>
            </w:r>
            <w:r w:rsidR="00EE3A87">
              <w:rPr>
                <w:rFonts w:ascii="Arial" w:hAnsi="Arial"/>
                <w:color w:val="000000"/>
                <w:sz w:val="16"/>
                <w:szCs w:val="16"/>
              </w:rPr>
              <w:t>.2</w:t>
            </w:r>
          </w:p>
        </w:tc>
      </w:tr>
      <w:tr w:rsidR="00EB028C" w:rsidTr="008E2681">
        <w:trPr>
          <w:trHeight w:val="2261"/>
        </w:trPr>
        <w:tc>
          <w:tcPr>
            <w:tcW w:w="567"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7</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Contenuti dei progetti cantierabili</w:t>
            </w:r>
          </w:p>
        </w:tc>
        <w:tc>
          <w:tcPr>
            <w:tcW w:w="6237" w:type="dxa"/>
            <w:vAlign w:val="center"/>
          </w:tcPr>
          <w:p w:rsidR="00440359" w:rsidRDefault="008E2681" w:rsidP="008E2681">
            <w:pPr>
              <w:autoSpaceDE w:val="0"/>
              <w:autoSpaceDN w:val="0"/>
              <w:adjustRightInd w:val="0"/>
              <w:spacing w:before="120" w:after="16"/>
              <w:ind w:right="153"/>
              <w:jc w:val="both"/>
              <w:rPr>
                <w:rFonts w:ascii="Arial" w:hAnsi="Arial"/>
                <w:bCs/>
                <w:iCs/>
                <w:sz w:val="16"/>
                <w:szCs w:val="16"/>
              </w:rPr>
            </w:pPr>
            <w:r>
              <w:rPr>
                <w:rFonts w:ascii="Arial" w:hAnsi="Arial"/>
                <w:bCs/>
                <w:iCs/>
                <w:sz w:val="16"/>
                <w:szCs w:val="16"/>
              </w:rPr>
              <w:t xml:space="preserve">  </w:t>
            </w:r>
            <w:r w:rsidR="00440359">
              <w:rPr>
                <w:rFonts w:ascii="Arial" w:hAnsi="Arial"/>
                <w:bCs/>
                <w:iCs/>
                <w:sz w:val="16"/>
                <w:szCs w:val="16"/>
              </w:rPr>
              <w:t>Le progettualità candidabili a valere sui bandi del PSR potranno riguardare:</w:t>
            </w:r>
          </w:p>
          <w:p w:rsidR="00440359" w:rsidRPr="00440359" w:rsidRDefault="00440359" w:rsidP="00440359">
            <w:pPr>
              <w:pStyle w:val="Paragrafoelenco"/>
              <w:numPr>
                <w:ilvl w:val="0"/>
                <w:numId w:val="2"/>
              </w:numPr>
              <w:autoSpaceDE w:val="0"/>
              <w:autoSpaceDN w:val="0"/>
              <w:adjustRightInd w:val="0"/>
              <w:spacing w:after="16"/>
              <w:ind w:left="274" w:right="151" w:hanging="142"/>
              <w:jc w:val="both"/>
              <w:rPr>
                <w:rFonts w:ascii="Arial" w:hAnsi="Arial"/>
                <w:bCs/>
                <w:iCs/>
                <w:sz w:val="16"/>
                <w:szCs w:val="16"/>
              </w:rPr>
            </w:pPr>
            <w:proofErr w:type="gramStart"/>
            <w:r w:rsidRPr="00440359">
              <w:rPr>
                <w:rFonts w:ascii="Arial" w:hAnsi="Arial"/>
                <w:bCs/>
                <w:iCs/>
                <w:sz w:val="16"/>
                <w:szCs w:val="16"/>
              </w:rPr>
              <w:t>attività</w:t>
            </w:r>
            <w:proofErr w:type="gramEnd"/>
            <w:r w:rsidRPr="00440359">
              <w:rPr>
                <w:rFonts w:ascii="Arial" w:hAnsi="Arial"/>
                <w:bCs/>
                <w:iCs/>
                <w:sz w:val="16"/>
                <w:szCs w:val="16"/>
              </w:rPr>
              <w:t xml:space="preserve"> di turismo rurale e dei connessi servizi;</w:t>
            </w:r>
          </w:p>
          <w:p w:rsidR="00440359" w:rsidRPr="00440359" w:rsidRDefault="00440359" w:rsidP="00440359">
            <w:pPr>
              <w:pStyle w:val="Paragrafoelenco"/>
              <w:numPr>
                <w:ilvl w:val="0"/>
                <w:numId w:val="2"/>
              </w:numPr>
              <w:autoSpaceDE w:val="0"/>
              <w:autoSpaceDN w:val="0"/>
              <w:adjustRightInd w:val="0"/>
              <w:spacing w:after="16"/>
              <w:ind w:left="274" w:right="151" w:hanging="142"/>
              <w:jc w:val="both"/>
              <w:rPr>
                <w:rFonts w:ascii="Arial" w:hAnsi="Arial"/>
                <w:bCs/>
                <w:iCs/>
                <w:sz w:val="16"/>
                <w:szCs w:val="16"/>
              </w:rPr>
            </w:pPr>
            <w:proofErr w:type="gramStart"/>
            <w:r w:rsidRPr="00440359">
              <w:rPr>
                <w:rFonts w:ascii="Arial" w:hAnsi="Arial"/>
                <w:bCs/>
                <w:iCs/>
                <w:sz w:val="16"/>
                <w:szCs w:val="16"/>
              </w:rPr>
              <w:t>creazione</w:t>
            </w:r>
            <w:proofErr w:type="gramEnd"/>
            <w:r w:rsidRPr="00440359">
              <w:rPr>
                <w:rFonts w:ascii="Arial" w:hAnsi="Arial"/>
                <w:bCs/>
                <w:iCs/>
                <w:sz w:val="16"/>
                <w:szCs w:val="16"/>
              </w:rPr>
              <w:t xml:space="preserve"> o riqualificazione di esercizi commerciali esistenti, anche attraverso l’adozione di</w:t>
            </w:r>
            <w:r>
              <w:rPr>
                <w:rFonts w:ascii="Arial" w:hAnsi="Arial"/>
                <w:bCs/>
                <w:iCs/>
                <w:sz w:val="16"/>
                <w:szCs w:val="16"/>
              </w:rPr>
              <w:t xml:space="preserve"> </w:t>
            </w:r>
            <w:r w:rsidRPr="00440359">
              <w:rPr>
                <w:rFonts w:ascii="Arial" w:hAnsi="Arial"/>
                <w:bCs/>
                <w:iCs/>
                <w:sz w:val="16"/>
                <w:szCs w:val="16"/>
              </w:rPr>
              <w:t>formule innovative (es. e-commerce) favorendo la specializzazione per i prodotti alimentari o</w:t>
            </w:r>
            <w:r>
              <w:rPr>
                <w:rFonts w:ascii="Arial" w:hAnsi="Arial"/>
                <w:bCs/>
                <w:iCs/>
                <w:sz w:val="16"/>
                <w:szCs w:val="16"/>
              </w:rPr>
              <w:t xml:space="preserve"> </w:t>
            </w:r>
            <w:r w:rsidRPr="00440359">
              <w:rPr>
                <w:rFonts w:ascii="Arial" w:hAnsi="Arial"/>
                <w:bCs/>
                <w:iCs/>
                <w:sz w:val="16"/>
                <w:szCs w:val="16"/>
              </w:rPr>
              <w:t>artigianali tipici, prodotti biologici e/o di qualità certificata;</w:t>
            </w:r>
          </w:p>
          <w:p w:rsidR="00440359" w:rsidRPr="00440359" w:rsidRDefault="00440359" w:rsidP="00440359">
            <w:pPr>
              <w:pStyle w:val="Paragrafoelenco"/>
              <w:numPr>
                <w:ilvl w:val="0"/>
                <w:numId w:val="2"/>
              </w:numPr>
              <w:autoSpaceDE w:val="0"/>
              <w:autoSpaceDN w:val="0"/>
              <w:adjustRightInd w:val="0"/>
              <w:spacing w:after="16"/>
              <w:ind w:left="274" w:right="151" w:hanging="142"/>
              <w:jc w:val="both"/>
              <w:rPr>
                <w:rFonts w:ascii="Arial" w:hAnsi="Arial"/>
                <w:bCs/>
                <w:iCs/>
                <w:sz w:val="16"/>
                <w:szCs w:val="16"/>
              </w:rPr>
            </w:pPr>
            <w:proofErr w:type="gramStart"/>
            <w:r w:rsidRPr="00440359">
              <w:rPr>
                <w:rFonts w:ascii="Arial" w:hAnsi="Arial"/>
                <w:bCs/>
                <w:iCs/>
                <w:sz w:val="16"/>
                <w:szCs w:val="16"/>
              </w:rPr>
              <w:t>attività</w:t>
            </w:r>
            <w:proofErr w:type="gramEnd"/>
            <w:r w:rsidRPr="00440359">
              <w:rPr>
                <w:rFonts w:ascii="Arial" w:hAnsi="Arial"/>
                <w:bCs/>
                <w:iCs/>
                <w:sz w:val="16"/>
                <w:szCs w:val="16"/>
              </w:rPr>
              <w:t xml:space="preserve"> artigianali per il recupero delle attività e dei prodotti della tradizione rurale locale;</w:t>
            </w:r>
          </w:p>
          <w:p w:rsidR="00440359" w:rsidRPr="00440359" w:rsidRDefault="00440359" w:rsidP="00440359">
            <w:pPr>
              <w:pStyle w:val="Paragrafoelenco"/>
              <w:numPr>
                <w:ilvl w:val="0"/>
                <w:numId w:val="2"/>
              </w:numPr>
              <w:autoSpaceDE w:val="0"/>
              <w:autoSpaceDN w:val="0"/>
              <w:adjustRightInd w:val="0"/>
              <w:spacing w:after="16"/>
              <w:ind w:left="274" w:right="151" w:hanging="142"/>
              <w:jc w:val="both"/>
              <w:rPr>
                <w:rFonts w:ascii="Arial" w:hAnsi="Arial"/>
                <w:bCs/>
                <w:iCs/>
                <w:sz w:val="16"/>
                <w:szCs w:val="16"/>
              </w:rPr>
            </w:pPr>
            <w:proofErr w:type="gramStart"/>
            <w:r w:rsidRPr="00440359">
              <w:rPr>
                <w:rFonts w:ascii="Arial" w:hAnsi="Arial"/>
                <w:bCs/>
                <w:iCs/>
                <w:sz w:val="16"/>
                <w:szCs w:val="16"/>
              </w:rPr>
              <w:t>attività</w:t>
            </w:r>
            <w:proofErr w:type="gramEnd"/>
            <w:r w:rsidRPr="00440359">
              <w:rPr>
                <w:rFonts w:ascii="Arial" w:hAnsi="Arial"/>
                <w:bCs/>
                <w:iCs/>
                <w:sz w:val="16"/>
                <w:szCs w:val="16"/>
              </w:rPr>
              <w:t xml:space="preserve"> di produzione e servizio nel campo dell’ innovazione tecnologica con particolare</w:t>
            </w:r>
            <w:r>
              <w:rPr>
                <w:rFonts w:ascii="Arial" w:hAnsi="Arial"/>
                <w:bCs/>
                <w:iCs/>
                <w:sz w:val="16"/>
                <w:szCs w:val="16"/>
              </w:rPr>
              <w:t xml:space="preserve"> </w:t>
            </w:r>
            <w:r w:rsidRPr="00440359">
              <w:rPr>
                <w:rFonts w:ascii="Arial" w:hAnsi="Arial"/>
                <w:bCs/>
                <w:iCs/>
                <w:sz w:val="16"/>
                <w:szCs w:val="16"/>
              </w:rPr>
              <w:t>riferimento alle attività volte a favorire l’accessibilità alle tecnologie di informazione e</w:t>
            </w:r>
            <w:r>
              <w:rPr>
                <w:rFonts w:ascii="Arial" w:hAnsi="Arial"/>
                <w:bCs/>
                <w:iCs/>
                <w:sz w:val="16"/>
                <w:szCs w:val="16"/>
              </w:rPr>
              <w:t xml:space="preserve"> </w:t>
            </w:r>
            <w:r w:rsidRPr="00440359">
              <w:rPr>
                <w:rFonts w:ascii="Arial" w:hAnsi="Arial"/>
                <w:bCs/>
                <w:iCs/>
                <w:sz w:val="16"/>
                <w:szCs w:val="16"/>
              </w:rPr>
              <w:t>comunicazione</w:t>
            </w:r>
          </w:p>
          <w:p w:rsidR="00440359" w:rsidRPr="00440359" w:rsidRDefault="00440359" w:rsidP="00440359">
            <w:pPr>
              <w:pStyle w:val="Paragrafoelenco"/>
              <w:numPr>
                <w:ilvl w:val="0"/>
                <w:numId w:val="2"/>
              </w:numPr>
              <w:autoSpaceDE w:val="0"/>
              <w:autoSpaceDN w:val="0"/>
              <w:adjustRightInd w:val="0"/>
              <w:spacing w:after="16"/>
              <w:ind w:left="274" w:right="151" w:hanging="142"/>
              <w:jc w:val="both"/>
              <w:rPr>
                <w:rFonts w:ascii="Arial" w:hAnsi="Arial"/>
                <w:bCs/>
                <w:iCs/>
                <w:sz w:val="16"/>
                <w:szCs w:val="16"/>
              </w:rPr>
            </w:pPr>
            <w:proofErr w:type="gramStart"/>
            <w:r w:rsidRPr="00440359">
              <w:rPr>
                <w:rFonts w:ascii="Arial" w:hAnsi="Arial"/>
                <w:bCs/>
                <w:iCs/>
                <w:sz w:val="16"/>
                <w:szCs w:val="16"/>
              </w:rPr>
              <w:t>attività</w:t>
            </w:r>
            <w:proofErr w:type="gramEnd"/>
            <w:r w:rsidRPr="00440359">
              <w:rPr>
                <w:rFonts w:ascii="Arial" w:hAnsi="Arial"/>
                <w:bCs/>
                <w:iCs/>
                <w:sz w:val="16"/>
                <w:szCs w:val="16"/>
              </w:rPr>
              <w:t xml:space="preserve"> di servizi collettivi rivolti alle popolazioni rurali (trasporti, interventi per tutela del</w:t>
            </w:r>
            <w:r>
              <w:rPr>
                <w:rFonts w:ascii="Arial" w:hAnsi="Arial"/>
                <w:bCs/>
                <w:iCs/>
                <w:sz w:val="16"/>
                <w:szCs w:val="16"/>
              </w:rPr>
              <w:t xml:space="preserve"> </w:t>
            </w:r>
            <w:r w:rsidRPr="00440359">
              <w:rPr>
                <w:rFonts w:ascii="Arial" w:hAnsi="Arial"/>
                <w:bCs/>
                <w:iCs/>
                <w:sz w:val="16"/>
                <w:szCs w:val="16"/>
              </w:rPr>
              <w:t>territorio)</w:t>
            </w:r>
          </w:p>
          <w:p w:rsidR="00E44414" w:rsidRPr="00770055" w:rsidRDefault="00E44414" w:rsidP="00440359">
            <w:pPr>
              <w:autoSpaceDE w:val="0"/>
              <w:autoSpaceDN w:val="0"/>
              <w:adjustRightInd w:val="0"/>
              <w:spacing w:after="16"/>
              <w:ind w:right="151"/>
              <w:jc w:val="both"/>
              <w:rPr>
                <w:rFonts w:ascii="Arial" w:hAnsi="Arial"/>
                <w:bCs/>
                <w:iCs/>
                <w:sz w:val="16"/>
                <w:szCs w:val="16"/>
              </w:rPr>
            </w:pPr>
          </w:p>
        </w:tc>
      </w:tr>
      <w:tr w:rsidR="00EB028C" w:rsidTr="008E2681">
        <w:trPr>
          <w:trHeight w:val="4327"/>
        </w:trPr>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8</w:t>
            </w:r>
          </w:p>
        </w:tc>
        <w:tc>
          <w:tcPr>
            <w:tcW w:w="2835" w:type="dxa"/>
          </w:tcPr>
          <w:p w:rsidR="00EB028C" w:rsidRDefault="00EB028C" w:rsidP="00ED5EC1">
            <w:pPr>
              <w:spacing w:line="232" w:lineRule="auto"/>
              <w:ind w:left="113" w:right="113"/>
              <w:rPr>
                <w:rFonts w:ascii="Arial" w:eastAsia="Arial" w:hAnsi="Arial"/>
                <w:b/>
                <w:sz w:val="22"/>
              </w:rPr>
            </w:pPr>
            <w:r w:rsidRPr="00EE3A87">
              <w:rPr>
                <w:rFonts w:ascii="Arial" w:eastAsia="Arial" w:hAnsi="Arial"/>
                <w:b/>
                <w:sz w:val="16"/>
              </w:rPr>
              <w:t>Tipologia di spesa</w:t>
            </w:r>
          </w:p>
        </w:tc>
        <w:tc>
          <w:tcPr>
            <w:tcW w:w="6237" w:type="dxa"/>
          </w:tcPr>
          <w:p w:rsidR="00770055" w:rsidRPr="00855316" w:rsidRDefault="00770055" w:rsidP="00623077">
            <w:pPr>
              <w:spacing w:before="120"/>
              <w:ind w:left="45" w:right="151"/>
              <w:jc w:val="both"/>
              <w:rPr>
                <w:rFonts w:ascii="Arial" w:hAnsi="Arial"/>
                <w:bCs/>
                <w:iCs/>
                <w:sz w:val="16"/>
                <w:szCs w:val="16"/>
              </w:rPr>
            </w:pPr>
            <w:r w:rsidRPr="00855316">
              <w:rPr>
                <w:rFonts w:ascii="Arial" w:hAnsi="Arial"/>
                <w:bCs/>
                <w:iCs/>
                <w:sz w:val="16"/>
                <w:szCs w:val="16"/>
              </w:rPr>
              <w:t>I singoli bandi indicheranno le specifiche voci di spesa ammissibili e comunque nel rispetto di quanto previsto dall’art. 45 paragrafo 2 del Reg. (UE) n. 1305/2013 di seguito riportato:</w:t>
            </w:r>
          </w:p>
          <w:p w:rsidR="00770055" w:rsidRPr="00855316" w:rsidRDefault="00770055" w:rsidP="00623077">
            <w:pPr>
              <w:ind w:left="45" w:right="151"/>
              <w:jc w:val="both"/>
              <w:rPr>
                <w:rFonts w:ascii="Arial" w:hAnsi="Arial"/>
                <w:bCs/>
                <w:iCs/>
                <w:sz w:val="16"/>
                <w:szCs w:val="16"/>
              </w:rPr>
            </w:pPr>
            <w:r w:rsidRPr="00855316">
              <w:rPr>
                <w:rFonts w:ascii="Arial" w:hAnsi="Arial"/>
                <w:bCs/>
                <w:iCs/>
                <w:sz w:val="16"/>
                <w:szCs w:val="16"/>
              </w:rPr>
              <w:t>a) costruzione, acquisizione, incluso il leasing, o miglioramento di beni immobili (con le specifiche contenute nei bandi in particolare per terreni e fabbricati);</w:t>
            </w:r>
          </w:p>
          <w:p w:rsidR="00770055" w:rsidRPr="00855316" w:rsidRDefault="00770055" w:rsidP="00623077">
            <w:pPr>
              <w:ind w:left="45" w:right="151"/>
              <w:jc w:val="both"/>
              <w:rPr>
                <w:rFonts w:ascii="Arial" w:hAnsi="Arial"/>
                <w:bCs/>
                <w:iCs/>
                <w:sz w:val="16"/>
                <w:szCs w:val="16"/>
              </w:rPr>
            </w:pPr>
            <w:r w:rsidRPr="00855316">
              <w:rPr>
                <w:rFonts w:ascii="Arial" w:hAnsi="Arial"/>
                <w:bCs/>
                <w:iCs/>
                <w:sz w:val="16"/>
                <w:szCs w:val="16"/>
              </w:rPr>
              <w:t xml:space="preserve"> b) acquisto o leasing di nuovi macchinari e attrezzature fino a copertura del valore di mercato del bene;</w:t>
            </w:r>
          </w:p>
          <w:p w:rsidR="00770055" w:rsidRPr="00855316" w:rsidRDefault="00770055" w:rsidP="00623077">
            <w:pPr>
              <w:ind w:left="45" w:right="151"/>
              <w:jc w:val="both"/>
              <w:rPr>
                <w:rFonts w:ascii="Arial" w:hAnsi="Arial"/>
                <w:bCs/>
                <w:iCs/>
                <w:sz w:val="16"/>
                <w:szCs w:val="16"/>
              </w:rPr>
            </w:pPr>
            <w:r w:rsidRPr="00855316">
              <w:rPr>
                <w:rFonts w:ascii="Arial" w:hAnsi="Arial"/>
                <w:bCs/>
                <w:iCs/>
                <w:sz w:val="16"/>
                <w:szCs w:val="16"/>
              </w:rPr>
              <w:t>c) spese generali collegate alle spese di cui alle lettere a) e b), come onorari di architetti, ingegneri e consulenti, compensi per consulenze in materia di sostenibilità ambientale ed economica, inclusi studi di fattibilità. Gli studi di fattibilità rimangono spese ammissibili anche quando, in base ai loro risultati, non sono effettuate spese a titolo delle lettere a) e b);</w:t>
            </w:r>
          </w:p>
          <w:p w:rsidR="00770055" w:rsidRPr="00855316" w:rsidRDefault="00770055" w:rsidP="00623077">
            <w:pPr>
              <w:ind w:left="45" w:right="151"/>
              <w:jc w:val="both"/>
              <w:rPr>
                <w:rFonts w:ascii="Arial" w:hAnsi="Arial"/>
                <w:bCs/>
                <w:iCs/>
                <w:sz w:val="16"/>
                <w:szCs w:val="16"/>
              </w:rPr>
            </w:pPr>
            <w:r w:rsidRPr="00855316">
              <w:rPr>
                <w:rFonts w:ascii="Arial" w:hAnsi="Arial"/>
                <w:bCs/>
                <w:iCs/>
                <w:sz w:val="16"/>
                <w:szCs w:val="16"/>
              </w:rPr>
              <w:t>d) i seguenti investimenti immateriali: acquisizione o sviluppo di programmi informatici e acquisizione di brevetti, licenze, diritti d'autore, marchi commerciali;</w:t>
            </w:r>
          </w:p>
          <w:p w:rsidR="00EB028C" w:rsidRDefault="00770055" w:rsidP="00623077">
            <w:pPr>
              <w:ind w:left="45" w:right="151"/>
              <w:jc w:val="both"/>
              <w:rPr>
                <w:rFonts w:ascii="Arial" w:hAnsi="Arial"/>
                <w:bCs/>
                <w:iCs/>
                <w:sz w:val="16"/>
                <w:szCs w:val="16"/>
              </w:rPr>
            </w:pPr>
            <w:r w:rsidRPr="00855316">
              <w:rPr>
                <w:rFonts w:ascii="Arial" w:hAnsi="Arial"/>
                <w:bCs/>
                <w:iCs/>
                <w:sz w:val="16"/>
                <w:szCs w:val="16"/>
              </w:rPr>
              <w:t>e) i costi di elaborazione di piani di gestione e loro equivalenti</w:t>
            </w:r>
          </w:p>
          <w:p w:rsidR="00317829" w:rsidRPr="00770055" w:rsidRDefault="00317829" w:rsidP="00623077">
            <w:pPr>
              <w:ind w:left="45" w:right="151"/>
              <w:jc w:val="both"/>
              <w:rPr>
                <w:rFonts w:ascii="Arial" w:hAnsi="Arial"/>
                <w:bCs/>
                <w:iCs/>
                <w:sz w:val="16"/>
                <w:szCs w:val="16"/>
              </w:rPr>
            </w:pPr>
            <w:r>
              <w:rPr>
                <w:rFonts w:ascii="Arial" w:hAnsi="Arial"/>
                <w:bCs/>
                <w:iCs/>
                <w:sz w:val="16"/>
                <w:szCs w:val="16"/>
              </w:rPr>
              <w:t xml:space="preserve">Saranno concesse sovvenzioni a fondo perduto in regime de </w:t>
            </w:r>
            <w:proofErr w:type="spellStart"/>
            <w:r>
              <w:rPr>
                <w:rFonts w:ascii="Arial" w:hAnsi="Arial"/>
                <w:bCs/>
                <w:iCs/>
                <w:sz w:val="16"/>
                <w:szCs w:val="16"/>
              </w:rPr>
              <w:t>minimis</w:t>
            </w:r>
            <w:proofErr w:type="spellEnd"/>
            <w:r>
              <w:rPr>
                <w:rFonts w:ascii="Arial" w:hAnsi="Arial"/>
                <w:bCs/>
                <w:iCs/>
                <w:sz w:val="16"/>
                <w:szCs w:val="16"/>
              </w:rPr>
              <w:t xml:space="preserve"> (</w:t>
            </w:r>
            <w:proofErr w:type="spellStart"/>
            <w:r>
              <w:rPr>
                <w:rFonts w:ascii="Arial" w:hAnsi="Arial"/>
                <w:bCs/>
                <w:iCs/>
                <w:sz w:val="16"/>
                <w:szCs w:val="16"/>
              </w:rPr>
              <w:t>Reg.UE</w:t>
            </w:r>
            <w:proofErr w:type="spellEnd"/>
            <w:r>
              <w:rPr>
                <w:rFonts w:ascii="Arial" w:hAnsi="Arial"/>
                <w:bCs/>
                <w:iCs/>
                <w:sz w:val="16"/>
                <w:szCs w:val="16"/>
              </w:rPr>
              <w:t xml:space="preserve"> 1407/2013), con percentuali di contribuzione pari al 60% della spesa ammissibile con elevazione al 70% in zone svantaggiate o per imprenditori giovani e/o donne. Per aree svantaggiare si intendono le zone montane e le zone soggette a vincoli naturali significativi, diverse dalle zone montane, di cui all’art.32 del Reg. UE 1305/2013. Nelle more del completamento della delimitazione prevista dal regolamento stesso, le suddette zone sono da intendersi quelle individuate ai sensi della direttiva CE 75/268.</w:t>
            </w:r>
          </w:p>
        </w:tc>
      </w:tr>
      <w:tr w:rsidR="00EB028C" w:rsidTr="008E2681">
        <w:trPr>
          <w:trHeight w:val="561"/>
        </w:trPr>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9</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Tempi di realizzazione</w:t>
            </w:r>
          </w:p>
        </w:tc>
        <w:tc>
          <w:tcPr>
            <w:tcW w:w="6237" w:type="dxa"/>
          </w:tcPr>
          <w:p w:rsidR="00EB028C" w:rsidRPr="0022211C" w:rsidRDefault="005563BE" w:rsidP="00ED5EC1">
            <w:pPr>
              <w:spacing w:line="232" w:lineRule="auto"/>
              <w:ind w:left="113" w:right="113"/>
              <w:rPr>
                <w:rFonts w:ascii="Arial" w:hAnsi="Arial"/>
                <w:sz w:val="16"/>
                <w:szCs w:val="16"/>
              </w:rPr>
            </w:pPr>
            <w:r w:rsidRPr="0022211C">
              <w:rPr>
                <w:rFonts w:ascii="Arial" w:hAnsi="Arial"/>
                <w:sz w:val="16"/>
                <w:szCs w:val="16"/>
              </w:rPr>
              <w:t>Data inizio intervento:</w:t>
            </w:r>
            <w:r w:rsidR="00A339F9" w:rsidRPr="0022211C">
              <w:rPr>
                <w:rFonts w:ascii="Arial" w:hAnsi="Arial"/>
                <w:sz w:val="16"/>
                <w:szCs w:val="16"/>
              </w:rPr>
              <w:t xml:space="preserve"> </w:t>
            </w:r>
            <w:r w:rsidR="00EE3A87" w:rsidRPr="0022211C">
              <w:rPr>
                <w:rFonts w:ascii="Arial" w:hAnsi="Arial"/>
                <w:sz w:val="16"/>
                <w:szCs w:val="16"/>
              </w:rPr>
              <w:t>16</w:t>
            </w:r>
            <w:r w:rsidR="00486C90">
              <w:rPr>
                <w:rFonts w:ascii="Arial" w:hAnsi="Arial"/>
                <w:sz w:val="16"/>
                <w:szCs w:val="16"/>
              </w:rPr>
              <w:t>/05/</w:t>
            </w:r>
            <w:r w:rsidR="00EE3A87" w:rsidRPr="0022211C">
              <w:rPr>
                <w:rFonts w:ascii="Arial" w:hAnsi="Arial"/>
                <w:sz w:val="16"/>
                <w:szCs w:val="16"/>
              </w:rPr>
              <w:t>2019</w:t>
            </w:r>
          </w:p>
          <w:p w:rsidR="005563BE" w:rsidRDefault="005563BE" w:rsidP="00486C90">
            <w:pPr>
              <w:spacing w:line="232" w:lineRule="auto"/>
              <w:ind w:left="113" w:right="113"/>
              <w:rPr>
                <w:rFonts w:ascii="Arial" w:eastAsia="Arial" w:hAnsi="Arial"/>
                <w:b/>
                <w:sz w:val="22"/>
              </w:rPr>
            </w:pPr>
            <w:r w:rsidRPr="0022211C">
              <w:rPr>
                <w:rFonts w:ascii="Arial" w:hAnsi="Arial"/>
                <w:sz w:val="16"/>
                <w:szCs w:val="16"/>
              </w:rPr>
              <w:t>Data fine intervento:</w:t>
            </w:r>
            <w:r w:rsidR="00486C90">
              <w:rPr>
                <w:rFonts w:ascii="Arial" w:hAnsi="Arial"/>
                <w:sz w:val="16"/>
                <w:szCs w:val="16"/>
              </w:rPr>
              <w:t xml:space="preserve"> 31/12/</w:t>
            </w:r>
            <w:r w:rsidR="0022211C" w:rsidRPr="0022211C">
              <w:rPr>
                <w:rFonts w:ascii="Arial" w:hAnsi="Arial"/>
                <w:sz w:val="16"/>
                <w:szCs w:val="16"/>
              </w:rPr>
              <w:t>2021</w:t>
            </w:r>
          </w:p>
        </w:tc>
      </w:tr>
      <w:tr w:rsidR="00EB028C" w:rsidTr="008E268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10</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Indicatori di realizzazione e di risultato</w:t>
            </w:r>
          </w:p>
        </w:tc>
        <w:tc>
          <w:tcPr>
            <w:tcW w:w="6237" w:type="dxa"/>
          </w:tcPr>
          <w:p w:rsidR="00A339F9" w:rsidRPr="00AC70B3" w:rsidRDefault="00A339F9" w:rsidP="00991E4C">
            <w:pPr>
              <w:pStyle w:val="Default"/>
              <w:ind w:left="113" w:right="113"/>
              <w:rPr>
                <w:rFonts w:ascii="Arial" w:hAnsi="Arial" w:cs="Arial"/>
                <w:b/>
                <w:color w:val="auto"/>
                <w:sz w:val="16"/>
                <w:szCs w:val="16"/>
              </w:rPr>
            </w:pPr>
            <w:r w:rsidRPr="00AC70B3">
              <w:rPr>
                <w:rFonts w:ascii="Arial" w:hAnsi="Arial" w:cs="Arial"/>
                <w:b/>
                <w:color w:val="auto"/>
                <w:sz w:val="16"/>
                <w:szCs w:val="16"/>
              </w:rPr>
              <w:t>Indicatore di realizzazione:</w:t>
            </w:r>
          </w:p>
          <w:p w:rsidR="004E0FE5" w:rsidRPr="00AC70B3" w:rsidRDefault="00E932C0" w:rsidP="00991E4C">
            <w:pPr>
              <w:pStyle w:val="Default"/>
              <w:ind w:left="113" w:right="113"/>
              <w:rPr>
                <w:rFonts w:ascii="Arial" w:hAnsi="Arial" w:cs="Arial"/>
                <w:color w:val="auto"/>
                <w:sz w:val="16"/>
                <w:szCs w:val="16"/>
              </w:rPr>
            </w:pPr>
            <w:r>
              <w:rPr>
                <w:rFonts w:ascii="Arial" w:hAnsi="Arial" w:cs="Arial"/>
                <w:color w:val="auto"/>
                <w:sz w:val="16"/>
                <w:szCs w:val="16"/>
              </w:rPr>
              <w:t>(ID CO</w:t>
            </w:r>
            <w:proofErr w:type="gramStart"/>
            <w:r>
              <w:rPr>
                <w:rFonts w:ascii="Arial" w:hAnsi="Arial" w:cs="Arial"/>
                <w:color w:val="auto"/>
                <w:sz w:val="16"/>
                <w:szCs w:val="16"/>
              </w:rPr>
              <w:t>01)</w:t>
            </w:r>
            <w:r w:rsidR="0023310E" w:rsidRPr="00AC70B3">
              <w:rPr>
                <w:rFonts w:ascii="Arial" w:hAnsi="Arial" w:cs="Arial"/>
                <w:color w:val="auto"/>
                <w:sz w:val="16"/>
                <w:szCs w:val="16"/>
              </w:rPr>
              <w:t>Numero</w:t>
            </w:r>
            <w:proofErr w:type="gramEnd"/>
            <w:r w:rsidR="0023310E" w:rsidRPr="00AC70B3">
              <w:rPr>
                <w:rFonts w:ascii="Arial" w:hAnsi="Arial" w:cs="Arial"/>
                <w:color w:val="auto"/>
                <w:sz w:val="16"/>
                <w:szCs w:val="16"/>
              </w:rPr>
              <w:t xml:space="preserve"> di imprese </w:t>
            </w:r>
            <w:r w:rsidR="009237B5" w:rsidRPr="00AC70B3">
              <w:rPr>
                <w:rFonts w:ascii="Arial" w:hAnsi="Arial" w:cs="Arial"/>
                <w:color w:val="auto"/>
                <w:sz w:val="16"/>
                <w:szCs w:val="16"/>
              </w:rPr>
              <w:t>che ricevono un sostegno</w:t>
            </w:r>
          </w:p>
          <w:p w:rsidR="004E0FE5" w:rsidRPr="00AC70B3" w:rsidRDefault="00EE3A87" w:rsidP="00991E4C">
            <w:pPr>
              <w:pStyle w:val="Default"/>
              <w:ind w:left="113" w:right="113"/>
              <w:rPr>
                <w:rFonts w:ascii="Arial" w:hAnsi="Arial" w:cs="Arial"/>
                <w:color w:val="auto"/>
                <w:sz w:val="16"/>
                <w:szCs w:val="16"/>
              </w:rPr>
            </w:pPr>
            <w:r w:rsidRPr="00AC70B3">
              <w:rPr>
                <w:rFonts w:ascii="Arial" w:hAnsi="Arial" w:cs="Arial"/>
                <w:color w:val="auto"/>
                <w:sz w:val="16"/>
                <w:szCs w:val="16"/>
              </w:rPr>
              <w:t xml:space="preserve">Baseline: </w:t>
            </w:r>
            <w:r w:rsidR="0023310E" w:rsidRPr="00AC70B3">
              <w:rPr>
                <w:rFonts w:ascii="Arial" w:hAnsi="Arial" w:cs="Arial"/>
                <w:color w:val="auto"/>
                <w:sz w:val="16"/>
                <w:szCs w:val="16"/>
              </w:rPr>
              <w:t>0</w:t>
            </w:r>
          </w:p>
          <w:p w:rsidR="00EB028C" w:rsidRPr="00AC70B3" w:rsidRDefault="00EE3A87" w:rsidP="00991E4C">
            <w:pPr>
              <w:pStyle w:val="Default"/>
              <w:ind w:left="113" w:right="113"/>
              <w:rPr>
                <w:rFonts w:ascii="Arial" w:hAnsi="Arial" w:cs="Arial"/>
                <w:color w:val="auto"/>
                <w:sz w:val="16"/>
                <w:szCs w:val="16"/>
              </w:rPr>
            </w:pPr>
            <w:r w:rsidRPr="00AC70B3">
              <w:rPr>
                <w:rFonts w:ascii="Arial" w:hAnsi="Arial" w:cs="Arial"/>
                <w:color w:val="auto"/>
                <w:sz w:val="16"/>
                <w:szCs w:val="16"/>
              </w:rPr>
              <w:t xml:space="preserve">Target: </w:t>
            </w:r>
            <w:r w:rsidR="0023310E" w:rsidRPr="00AC70B3">
              <w:rPr>
                <w:rFonts w:ascii="Arial" w:hAnsi="Arial" w:cs="Arial"/>
                <w:color w:val="auto"/>
                <w:sz w:val="16"/>
                <w:szCs w:val="16"/>
              </w:rPr>
              <w:t>30</w:t>
            </w:r>
          </w:p>
          <w:p w:rsidR="004E0FE5" w:rsidRPr="00AC70B3" w:rsidRDefault="004E0FE5" w:rsidP="00991E4C">
            <w:pPr>
              <w:pStyle w:val="Default"/>
              <w:ind w:left="113" w:right="113"/>
              <w:rPr>
                <w:rFonts w:ascii="Arial" w:hAnsi="Arial" w:cs="Arial"/>
                <w:color w:val="auto"/>
                <w:sz w:val="16"/>
                <w:szCs w:val="16"/>
              </w:rPr>
            </w:pPr>
            <w:r w:rsidRPr="00AC70B3">
              <w:rPr>
                <w:rFonts w:ascii="Arial" w:hAnsi="Arial" w:cs="Arial"/>
                <w:color w:val="auto"/>
                <w:sz w:val="16"/>
                <w:szCs w:val="16"/>
              </w:rPr>
              <w:lastRenderedPageBreak/>
              <w:t>Fonte dati: Sistema di monitoraggio PSR Umbria</w:t>
            </w:r>
          </w:p>
          <w:p w:rsidR="004E0FE5" w:rsidRPr="00245888" w:rsidRDefault="004E0FE5" w:rsidP="00991E4C">
            <w:pPr>
              <w:pStyle w:val="Default"/>
              <w:ind w:left="113" w:right="113"/>
              <w:rPr>
                <w:rFonts w:ascii="Arial" w:hAnsi="Arial" w:cs="Arial"/>
                <w:b/>
                <w:color w:val="FF0000"/>
                <w:sz w:val="16"/>
                <w:szCs w:val="16"/>
              </w:rPr>
            </w:pPr>
          </w:p>
          <w:p w:rsidR="004E0FE5" w:rsidRPr="00AC70B3" w:rsidRDefault="004E0FE5" w:rsidP="00991E4C">
            <w:pPr>
              <w:pStyle w:val="Default"/>
              <w:ind w:left="113" w:right="113"/>
              <w:rPr>
                <w:rFonts w:ascii="Arial" w:hAnsi="Arial" w:cs="Arial"/>
                <w:b/>
                <w:color w:val="auto"/>
                <w:sz w:val="16"/>
                <w:szCs w:val="16"/>
              </w:rPr>
            </w:pPr>
            <w:r w:rsidRPr="00AC70B3">
              <w:rPr>
                <w:rFonts w:ascii="Arial" w:hAnsi="Arial" w:cs="Arial"/>
                <w:b/>
                <w:color w:val="auto"/>
                <w:sz w:val="16"/>
                <w:szCs w:val="16"/>
              </w:rPr>
              <w:t>Indicatore di risultato:</w:t>
            </w:r>
          </w:p>
          <w:p w:rsidR="0023310E" w:rsidRPr="00AC70B3" w:rsidRDefault="00AC70B3" w:rsidP="00991E4C">
            <w:pPr>
              <w:pStyle w:val="Default"/>
              <w:ind w:left="113" w:right="113"/>
              <w:rPr>
                <w:rFonts w:ascii="Arial" w:hAnsi="Arial" w:cs="Arial"/>
                <w:color w:val="auto"/>
                <w:sz w:val="16"/>
                <w:szCs w:val="16"/>
              </w:rPr>
            </w:pPr>
            <w:r w:rsidRPr="00AC70B3">
              <w:rPr>
                <w:rFonts w:ascii="Arial" w:hAnsi="Arial" w:cs="Arial"/>
                <w:color w:val="auto"/>
                <w:sz w:val="16"/>
                <w:szCs w:val="16"/>
              </w:rPr>
              <w:t xml:space="preserve">(ID398) </w:t>
            </w:r>
            <w:r w:rsidR="0023310E" w:rsidRPr="00AC70B3">
              <w:rPr>
                <w:rFonts w:ascii="Arial" w:hAnsi="Arial" w:cs="Arial"/>
                <w:color w:val="auto"/>
                <w:sz w:val="16"/>
                <w:szCs w:val="16"/>
              </w:rPr>
              <w:t>Addetti delle nuove imprese (nate nell’ultimo triennio in percentuale su addetti totali)</w:t>
            </w:r>
          </w:p>
          <w:p w:rsidR="00331F00" w:rsidRPr="00AC70B3" w:rsidRDefault="00331F00" w:rsidP="00991E4C">
            <w:pPr>
              <w:pStyle w:val="Default"/>
              <w:ind w:left="113" w:right="113"/>
              <w:rPr>
                <w:rFonts w:ascii="Arial" w:hAnsi="Arial" w:cs="Arial"/>
                <w:color w:val="auto"/>
                <w:sz w:val="16"/>
                <w:szCs w:val="16"/>
              </w:rPr>
            </w:pPr>
            <w:r w:rsidRPr="00AC70B3">
              <w:rPr>
                <w:rFonts w:ascii="Arial" w:hAnsi="Arial" w:cs="Arial"/>
                <w:color w:val="auto"/>
                <w:sz w:val="16"/>
                <w:szCs w:val="16"/>
              </w:rPr>
              <w:t>Baseline:</w:t>
            </w:r>
            <w:r w:rsidR="0023310E" w:rsidRPr="00AC70B3">
              <w:rPr>
                <w:rFonts w:ascii="Arial" w:hAnsi="Arial" w:cs="Arial"/>
                <w:color w:val="auto"/>
                <w:sz w:val="16"/>
                <w:szCs w:val="16"/>
              </w:rPr>
              <w:t xml:space="preserve"> </w:t>
            </w:r>
            <w:proofErr w:type="spellStart"/>
            <w:r w:rsidR="0023310E" w:rsidRPr="00AC70B3">
              <w:rPr>
                <w:rFonts w:ascii="Arial" w:hAnsi="Arial" w:cs="Arial"/>
                <w:color w:val="auto"/>
                <w:sz w:val="16"/>
                <w:szCs w:val="16"/>
              </w:rPr>
              <w:t>n.d.</w:t>
            </w:r>
            <w:proofErr w:type="spellEnd"/>
            <w:r w:rsidRPr="00AC70B3">
              <w:rPr>
                <w:rFonts w:ascii="Arial" w:hAnsi="Arial" w:cs="Arial"/>
                <w:color w:val="auto"/>
                <w:sz w:val="16"/>
                <w:szCs w:val="16"/>
              </w:rPr>
              <w:t xml:space="preserve"> </w:t>
            </w:r>
          </w:p>
          <w:p w:rsidR="00331F00" w:rsidRPr="00AC70B3" w:rsidRDefault="00331F00" w:rsidP="00991E4C">
            <w:pPr>
              <w:pStyle w:val="Default"/>
              <w:ind w:left="113" w:right="113"/>
              <w:rPr>
                <w:rFonts w:ascii="Arial" w:hAnsi="Arial" w:cs="Arial"/>
                <w:color w:val="auto"/>
                <w:sz w:val="16"/>
                <w:szCs w:val="16"/>
              </w:rPr>
            </w:pPr>
            <w:r w:rsidRPr="00AC70B3">
              <w:rPr>
                <w:rFonts w:ascii="Arial" w:hAnsi="Arial" w:cs="Arial"/>
                <w:color w:val="auto"/>
                <w:sz w:val="16"/>
                <w:szCs w:val="16"/>
              </w:rPr>
              <w:t xml:space="preserve">Target: </w:t>
            </w:r>
            <w:r w:rsidR="0023310E" w:rsidRPr="00AC70B3">
              <w:rPr>
                <w:rFonts w:ascii="Arial" w:hAnsi="Arial" w:cs="Arial"/>
                <w:color w:val="auto"/>
                <w:sz w:val="16"/>
                <w:szCs w:val="16"/>
              </w:rPr>
              <w:t>+10%</w:t>
            </w:r>
          </w:p>
          <w:p w:rsidR="00331F00" w:rsidRPr="00AC70B3" w:rsidRDefault="00D66EA9" w:rsidP="00991E4C">
            <w:pPr>
              <w:pStyle w:val="Default"/>
              <w:ind w:left="113" w:right="113"/>
              <w:rPr>
                <w:rFonts w:ascii="Arial" w:hAnsi="Arial" w:cs="Arial"/>
                <w:color w:val="auto"/>
                <w:sz w:val="16"/>
                <w:szCs w:val="16"/>
              </w:rPr>
            </w:pPr>
            <w:r w:rsidRPr="00AC70B3">
              <w:rPr>
                <w:rFonts w:ascii="Arial" w:hAnsi="Arial" w:cs="Arial"/>
                <w:color w:val="auto"/>
                <w:sz w:val="16"/>
                <w:szCs w:val="16"/>
              </w:rPr>
              <w:t xml:space="preserve">Fonte dati: </w:t>
            </w:r>
            <w:r w:rsidR="0023310E" w:rsidRPr="00AC70B3">
              <w:rPr>
                <w:rFonts w:ascii="Arial" w:hAnsi="Arial" w:cs="Arial"/>
                <w:color w:val="auto"/>
                <w:sz w:val="16"/>
                <w:szCs w:val="16"/>
              </w:rPr>
              <w:t>ISTAT-ASIA</w:t>
            </w:r>
          </w:p>
          <w:p w:rsidR="004E0FE5" w:rsidRDefault="004E0FE5" w:rsidP="004E0FE5">
            <w:pPr>
              <w:pStyle w:val="Default"/>
              <w:rPr>
                <w:rFonts w:ascii="Arial" w:eastAsia="Arial" w:hAnsi="Arial"/>
                <w:b/>
                <w:sz w:val="22"/>
              </w:rPr>
            </w:pPr>
          </w:p>
        </w:tc>
      </w:tr>
      <w:tr w:rsidR="00EB028C" w:rsidTr="008E268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lastRenderedPageBreak/>
              <w:t>11</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Soggetto gestore del bando</w:t>
            </w:r>
          </w:p>
        </w:tc>
        <w:tc>
          <w:tcPr>
            <w:tcW w:w="6237" w:type="dxa"/>
          </w:tcPr>
          <w:p w:rsidR="00837BBE" w:rsidRDefault="00837BBE" w:rsidP="00ED5EC1">
            <w:pPr>
              <w:spacing w:line="232" w:lineRule="auto"/>
              <w:ind w:left="113" w:right="113"/>
              <w:rPr>
                <w:rFonts w:ascii="Arial" w:hAnsi="Arial"/>
                <w:color w:val="000000"/>
                <w:sz w:val="16"/>
                <w:szCs w:val="16"/>
              </w:rPr>
            </w:pPr>
            <w:r>
              <w:rPr>
                <w:rFonts w:ascii="Arial" w:hAnsi="Arial"/>
                <w:color w:val="000000"/>
                <w:sz w:val="16"/>
                <w:szCs w:val="16"/>
              </w:rPr>
              <w:t>Direttore</w:t>
            </w:r>
            <w:r w:rsidR="00B217C3">
              <w:rPr>
                <w:rFonts w:ascii="Arial" w:hAnsi="Arial"/>
                <w:color w:val="000000"/>
                <w:sz w:val="16"/>
                <w:szCs w:val="16"/>
              </w:rPr>
              <w:t xml:space="preserve"> pro-tempore </w:t>
            </w:r>
            <w:proofErr w:type="gramStart"/>
            <w:r w:rsidR="00B217C3">
              <w:rPr>
                <w:rFonts w:ascii="Arial" w:hAnsi="Arial"/>
                <w:color w:val="000000"/>
                <w:sz w:val="16"/>
                <w:szCs w:val="16"/>
              </w:rPr>
              <w:t xml:space="preserve">del </w:t>
            </w:r>
            <w:r>
              <w:rPr>
                <w:rFonts w:ascii="Arial" w:hAnsi="Arial"/>
                <w:color w:val="000000"/>
                <w:sz w:val="16"/>
                <w:szCs w:val="16"/>
              </w:rPr>
              <w:t xml:space="preserve"> </w:t>
            </w:r>
            <w:proofErr w:type="spellStart"/>
            <w:r>
              <w:rPr>
                <w:rFonts w:ascii="Arial" w:hAnsi="Arial"/>
                <w:color w:val="000000"/>
                <w:sz w:val="16"/>
                <w:szCs w:val="16"/>
              </w:rPr>
              <w:t>Gal</w:t>
            </w:r>
            <w:proofErr w:type="spellEnd"/>
            <w:proofErr w:type="gramEnd"/>
            <w:r>
              <w:rPr>
                <w:rFonts w:ascii="Arial" w:hAnsi="Arial"/>
                <w:color w:val="000000"/>
                <w:sz w:val="16"/>
                <w:szCs w:val="16"/>
              </w:rPr>
              <w:t xml:space="preserve"> Ternano </w:t>
            </w:r>
          </w:p>
          <w:p w:rsidR="00EB028C" w:rsidRDefault="00837BBE" w:rsidP="00ED5EC1">
            <w:pPr>
              <w:spacing w:line="232" w:lineRule="auto"/>
              <w:ind w:left="113" w:right="113"/>
              <w:rPr>
                <w:rFonts w:ascii="Arial" w:eastAsia="Arial" w:hAnsi="Arial"/>
                <w:b/>
                <w:sz w:val="22"/>
              </w:rPr>
            </w:pPr>
            <w:r>
              <w:rPr>
                <w:rFonts w:ascii="Arial" w:hAnsi="Arial"/>
                <w:color w:val="000000"/>
                <w:sz w:val="16"/>
                <w:szCs w:val="16"/>
              </w:rPr>
              <w:t>Direttore</w:t>
            </w:r>
            <w:r w:rsidR="00B217C3">
              <w:rPr>
                <w:rFonts w:ascii="Arial" w:hAnsi="Arial"/>
                <w:color w:val="000000"/>
                <w:sz w:val="16"/>
                <w:szCs w:val="16"/>
              </w:rPr>
              <w:t xml:space="preserve"> pro-tempore del </w:t>
            </w:r>
            <w:bookmarkStart w:id="0" w:name="_GoBack"/>
            <w:bookmarkEnd w:id="0"/>
            <w:r>
              <w:rPr>
                <w:rFonts w:ascii="Arial" w:hAnsi="Arial"/>
                <w:color w:val="000000"/>
                <w:sz w:val="16"/>
                <w:szCs w:val="16"/>
              </w:rPr>
              <w:t xml:space="preserve"> </w:t>
            </w:r>
            <w:proofErr w:type="spellStart"/>
            <w:r w:rsidR="00EE3A87">
              <w:rPr>
                <w:rFonts w:ascii="Arial" w:hAnsi="Arial"/>
                <w:color w:val="000000"/>
                <w:sz w:val="16"/>
                <w:szCs w:val="16"/>
              </w:rPr>
              <w:t>Gal</w:t>
            </w:r>
            <w:proofErr w:type="spellEnd"/>
            <w:r w:rsidR="00EE3A87">
              <w:rPr>
                <w:rFonts w:ascii="Arial" w:hAnsi="Arial"/>
                <w:color w:val="000000"/>
                <w:sz w:val="16"/>
                <w:szCs w:val="16"/>
              </w:rPr>
              <w:t xml:space="preserve"> Valle Umbra e Sibillini</w:t>
            </w:r>
          </w:p>
        </w:tc>
      </w:tr>
    </w:tbl>
    <w:p w:rsidR="00275B7F" w:rsidRDefault="00B217C3"/>
    <w:sectPr w:rsidR="00275B7F" w:rsidSect="00002E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250CC4A"/>
    <w:multiLevelType w:val="hybridMultilevel"/>
    <w:tmpl w:val="A9C279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15E16AF"/>
    <w:multiLevelType w:val="hybridMultilevel"/>
    <w:tmpl w:val="6824C8BC"/>
    <w:lvl w:ilvl="0" w:tplc="959C26A8">
      <w:start w:val="5"/>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54F"/>
    <w:rsid w:val="00002EDF"/>
    <w:rsid w:val="000F30E0"/>
    <w:rsid w:val="001812DC"/>
    <w:rsid w:val="00185C0D"/>
    <w:rsid w:val="0022211C"/>
    <w:rsid w:val="0023310E"/>
    <w:rsid w:val="00245888"/>
    <w:rsid w:val="00317829"/>
    <w:rsid w:val="00331F00"/>
    <w:rsid w:val="00396591"/>
    <w:rsid w:val="00440359"/>
    <w:rsid w:val="00486C90"/>
    <w:rsid w:val="004C1993"/>
    <w:rsid w:val="004E0FE5"/>
    <w:rsid w:val="00507ED4"/>
    <w:rsid w:val="005563BE"/>
    <w:rsid w:val="0057754F"/>
    <w:rsid w:val="00623077"/>
    <w:rsid w:val="006F7960"/>
    <w:rsid w:val="00705D5A"/>
    <w:rsid w:val="00711A39"/>
    <w:rsid w:val="007345FD"/>
    <w:rsid w:val="00770055"/>
    <w:rsid w:val="00787140"/>
    <w:rsid w:val="00837BBE"/>
    <w:rsid w:val="008E2681"/>
    <w:rsid w:val="009237B5"/>
    <w:rsid w:val="009519B8"/>
    <w:rsid w:val="00991E4C"/>
    <w:rsid w:val="00A339F9"/>
    <w:rsid w:val="00AC70B3"/>
    <w:rsid w:val="00B217C3"/>
    <w:rsid w:val="00B64753"/>
    <w:rsid w:val="00BF1082"/>
    <w:rsid w:val="00C27D39"/>
    <w:rsid w:val="00C5778E"/>
    <w:rsid w:val="00CA1283"/>
    <w:rsid w:val="00D24191"/>
    <w:rsid w:val="00D66EA9"/>
    <w:rsid w:val="00E22D2C"/>
    <w:rsid w:val="00E44414"/>
    <w:rsid w:val="00E932C0"/>
    <w:rsid w:val="00EB028C"/>
    <w:rsid w:val="00EE3A87"/>
    <w:rsid w:val="00F428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8F4F73-E67F-4BD9-81C4-E5A658DC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E3A87"/>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autoRedefine/>
    <w:uiPriority w:val="9"/>
    <w:qFormat/>
    <w:rsid w:val="00EB028C"/>
    <w:pPr>
      <w:keepNext/>
      <w:spacing w:before="240" w:after="60"/>
      <w:outlineLvl w:val="0"/>
    </w:pPr>
    <w:rPr>
      <w:rFonts w:ascii="Arial" w:eastAsia="Times New Roman" w:hAnsi="Arial" w:cs="Times New Roman"/>
      <w:b/>
      <w:bCs/>
      <w:kern w:val="32"/>
      <w:sz w:val="2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028C"/>
    <w:rPr>
      <w:rFonts w:ascii="Arial" w:eastAsia="Times New Roman" w:hAnsi="Arial" w:cs="Times New Roman"/>
      <w:b/>
      <w:bCs/>
      <w:kern w:val="32"/>
      <w:szCs w:val="32"/>
      <w:lang w:eastAsia="it-IT"/>
    </w:rPr>
  </w:style>
  <w:style w:type="table" w:styleId="Grigliatabella">
    <w:name w:val="Table Grid"/>
    <w:basedOn w:val="Tabellanormale"/>
    <w:uiPriority w:val="59"/>
    <w:rsid w:val="00EB028C"/>
    <w:pPr>
      <w:spacing w:after="0" w:line="240" w:lineRule="auto"/>
    </w:pPr>
    <w:rPr>
      <w:rFonts w:ascii="Calibri" w:eastAsia="Calibri" w:hAnsi="Calibri" w:cs="Arial"/>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7345FD"/>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4403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Pages>2</Pages>
  <Words>711</Words>
  <Characters>4055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Moretti</dc:creator>
  <cp:keywords/>
  <dc:description/>
  <cp:lastModifiedBy>Cecilia Moretti</cp:lastModifiedBy>
  <cp:revision>19</cp:revision>
  <dcterms:created xsi:type="dcterms:W3CDTF">2019-08-02T08:33:00Z</dcterms:created>
  <dcterms:modified xsi:type="dcterms:W3CDTF">2020-11-05T07:46:00Z</dcterms:modified>
</cp:coreProperties>
</file>