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6237"/>
      </w:tblGrid>
      <w:tr w:rsidR="00EB028C" w:rsidTr="00ED5EC1">
        <w:trPr>
          <w:trHeight w:val="25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B028C" w:rsidRPr="00214691" w:rsidRDefault="00EB028C" w:rsidP="003272B0">
            <w:pPr>
              <w:pStyle w:val="Titolo1"/>
              <w:outlineLvl w:val="0"/>
              <w:rPr>
                <w:rFonts w:eastAsia="Arial"/>
              </w:rPr>
            </w:pPr>
            <w:r w:rsidRPr="005B0ADA">
              <w:rPr>
                <w:rFonts w:eastAsia="Arial"/>
                <w:sz w:val="24"/>
                <w:szCs w:val="24"/>
              </w:rPr>
              <w:t xml:space="preserve">Scheda </w:t>
            </w:r>
            <w:r>
              <w:rPr>
                <w:rFonts w:eastAsia="Arial"/>
                <w:sz w:val="24"/>
                <w:szCs w:val="24"/>
              </w:rPr>
              <w:t>bando</w:t>
            </w:r>
            <w:r w:rsidRPr="00214691">
              <w:rPr>
                <w:rFonts w:eastAsia="Arial"/>
              </w:rPr>
              <w:t xml:space="preserve"> </w:t>
            </w:r>
            <w:r w:rsidR="00EE687A">
              <w:rPr>
                <w:rFonts w:eastAsia="Arial"/>
                <w:sz w:val="24"/>
                <w:szCs w:val="24"/>
              </w:rPr>
              <w:t>SS.</w:t>
            </w:r>
            <w:r w:rsidR="008A6C3E">
              <w:rPr>
                <w:rFonts w:eastAsia="Arial"/>
                <w:sz w:val="24"/>
                <w:szCs w:val="24"/>
              </w:rPr>
              <w:t>0</w:t>
            </w:r>
            <w:r w:rsidR="00803F38">
              <w:rPr>
                <w:rFonts w:eastAsia="Arial"/>
                <w:sz w:val="24"/>
                <w:szCs w:val="24"/>
              </w:rPr>
              <w:t>8</w:t>
            </w:r>
          </w:p>
        </w:tc>
      </w:tr>
      <w:tr w:rsidR="00EB028C" w:rsidTr="00ED5EC1">
        <w:trPr>
          <w:trHeight w:val="3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B028C" w:rsidTr="00ED5EC1">
        <w:tc>
          <w:tcPr>
            <w:tcW w:w="567" w:type="dxa"/>
            <w:tcBorders>
              <w:top w:val="single" w:sz="4" w:space="0" w:color="auto"/>
            </w:tcBorders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B028C" w:rsidRPr="007345FD" w:rsidRDefault="00EE687A" w:rsidP="003272B0">
            <w:pPr>
              <w:spacing w:line="232" w:lineRule="auto"/>
              <w:ind w:left="113" w:right="113"/>
              <w:jc w:val="both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SS.</w:t>
            </w:r>
            <w:r w:rsidR="008A6C3E">
              <w:rPr>
                <w:rFonts w:ascii="Arial" w:hAnsi="Arial"/>
                <w:b/>
                <w:color w:val="000000"/>
                <w:sz w:val="16"/>
                <w:szCs w:val="16"/>
              </w:rPr>
              <w:t>0</w:t>
            </w:r>
            <w:r w:rsidR="00803F38">
              <w:rPr>
                <w:rFonts w:ascii="Arial" w:hAnsi="Arial"/>
                <w:b/>
                <w:color w:val="000000"/>
                <w:sz w:val="16"/>
                <w:szCs w:val="16"/>
              </w:rPr>
              <w:t>8</w:t>
            </w:r>
            <w:r w:rsidR="003272B0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Interventi di rafforzamento dell’economia sociale. Azioni innovative di welfare territoriale – Progetti sperimentali del terzo settore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Obiettivo</w:t>
            </w:r>
          </w:p>
        </w:tc>
        <w:tc>
          <w:tcPr>
            <w:tcW w:w="6237" w:type="dxa"/>
          </w:tcPr>
          <w:p w:rsidR="003272B0" w:rsidRPr="003272B0" w:rsidRDefault="003272B0" w:rsidP="003272B0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L’intervento consiste nella realizzazione di azioni innovative dirette a promuovere un’economia sociale più competitiva attraverso la promozione del welfare territoriale e il supporto ad attività imprenditoriali sociali.</w:t>
            </w:r>
          </w:p>
          <w:p w:rsidR="003272B0" w:rsidRPr="003272B0" w:rsidRDefault="003272B0" w:rsidP="003272B0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In particolare, verranno realizzati progetti di innovazione sociale riferiti al terzo settore che rispondono ai bisogni di persone e famiglie in base alle esigenze rilevate nelle comunità locali volti al miglioramento dell’accesso a servizi sostenibili e di qualità, fruibili anche in condizioni di particolare disagio, finalizzati al rafforzamento della vita di comunità dell’area interna. </w:t>
            </w:r>
          </w:p>
          <w:p w:rsidR="00EB028C" w:rsidRDefault="003272B0" w:rsidP="003272B0">
            <w:pPr>
              <w:ind w:left="132" w:right="151"/>
              <w:jc w:val="both"/>
              <w:rPr>
                <w:rFonts w:ascii="Arial" w:eastAsia="Arial" w:hAnsi="Arial"/>
                <w:b/>
                <w:sz w:val="22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Si prevede l’attivazione di processi, su scala locale, di innovazione sociale basata sulla definizione e realizzazione di progetti a carattere sperimentale (azioni di innovazione sociale). L’innovazione deve essere rivolta a superare gli schemi tradizionali di welfare a fronte della crescita qualitativa e quantitativa dei bisogni sociali accompagnata dalla decrescita delle risorse economiche a base delle politiche pubbliche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Soggetti beneficiari</w:t>
            </w:r>
          </w:p>
        </w:tc>
        <w:tc>
          <w:tcPr>
            <w:tcW w:w="6237" w:type="dxa"/>
          </w:tcPr>
          <w:p w:rsidR="003272B0" w:rsidRPr="005563BE" w:rsidRDefault="00C27D39" w:rsidP="003272B0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3272B0" w:rsidRPr="003272B0">
              <w:rPr>
                <w:rFonts w:ascii="Arial" w:hAnsi="Arial" w:cs="Arial"/>
                <w:bCs/>
                <w:iCs/>
                <w:color w:val="auto"/>
                <w:sz w:val="16"/>
                <w:szCs w:val="16"/>
              </w:rPr>
              <w:t>Imprese sociali e organizzazioni/soggetti del terzo settore costituiti in ATI/ATS</w:t>
            </w:r>
          </w:p>
          <w:p w:rsidR="00EB028C" w:rsidRPr="005563BE" w:rsidRDefault="00EB028C" w:rsidP="005563BE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37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Dotazione finanziaria</w:t>
            </w:r>
          </w:p>
        </w:tc>
        <w:tc>
          <w:tcPr>
            <w:tcW w:w="6237" w:type="dxa"/>
          </w:tcPr>
          <w:p w:rsidR="00EB028C" w:rsidRDefault="00D44A75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€ 6</w:t>
            </w:r>
            <w:r w:rsidR="003272B0" w:rsidRPr="003272B0">
              <w:rPr>
                <w:rFonts w:ascii="Arial" w:hAnsi="Arial"/>
                <w:bCs/>
                <w:iCs/>
                <w:sz w:val="16"/>
                <w:szCs w:val="16"/>
              </w:rPr>
              <w:t>00.000,00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6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Fonte finanziaria</w:t>
            </w:r>
          </w:p>
        </w:tc>
        <w:tc>
          <w:tcPr>
            <w:tcW w:w="6237" w:type="dxa"/>
          </w:tcPr>
          <w:p w:rsidR="003272B0" w:rsidRPr="003272B0" w:rsidRDefault="003272B0" w:rsidP="003272B0">
            <w:pPr>
              <w:spacing w:line="232" w:lineRule="auto"/>
              <w:ind w:left="113" w:right="113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Bando regionale multi fondo con dotazione finanziaria riservata per l’area interna Nord-Est Umbria così ripartita:</w:t>
            </w:r>
          </w:p>
          <w:p w:rsidR="003272B0" w:rsidRPr="003272B0" w:rsidRDefault="00D44A75" w:rsidP="003272B0">
            <w:pPr>
              <w:spacing w:line="232" w:lineRule="auto"/>
              <w:ind w:left="113" w:right="113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€ 20</w:t>
            </w:r>
            <w:r w:rsidR="003272B0" w:rsidRPr="003272B0">
              <w:rPr>
                <w:rFonts w:ascii="Arial" w:hAnsi="Arial"/>
                <w:bCs/>
                <w:iCs/>
                <w:sz w:val="16"/>
                <w:szCs w:val="16"/>
              </w:rPr>
              <w:t>0.000,00 POR FESR 2014</w:t>
            </w:r>
            <w:r w:rsidR="003272B0">
              <w:rPr>
                <w:rFonts w:ascii="Arial" w:hAnsi="Arial"/>
                <w:bCs/>
                <w:iCs/>
                <w:sz w:val="16"/>
                <w:szCs w:val="16"/>
              </w:rPr>
              <w:t>-2020 - Asse III - Azione 3.5.1</w:t>
            </w:r>
          </w:p>
          <w:p w:rsidR="00EB028C" w:rsidRDefault="00D44A75" w:rsidP="003272B0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€ 40</w:t>
            </w:r>
            <w:r w:rsidR="003272B0" w:rsidRPr="003272B0">
              <w:rPr>
                <w:rFonts w:ascii="Arial" w:hAnsi="Arial"/>
                <w:bCs/>
                <w:iCs/>
                <w:sz w:val="16"/>
                <w:szCs w:val="16"/>
              </w:rPr>
              <w:t>0.000,00 POR FSE 2014-2020 - Asse II - Azione 9.7.5</w:t>
            </w:r>
          </w:p>
        </w:tc>
      </w:tr>
      <w:tr w:rsidR="00EB028C" w:rsidTr="00623077">
        <w:trPr>
          <w:trHeight w:val="3450"/>
        </w:trPr>
        <w:tc>
          <w:tcPr>
            <w:tcW w:w="567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Contenuti dei progetti cantierabili</w:t>
            </w:r>
          </w:p>
        </w:tc>
        <w:tc>
          <w:tcPr>
            <w:tcW w:w="6237" w:type="dxa"/>
            <w:vAlign w:val="center"/>
          </w:tcPr>
          <w:p w:rsidR="003272B0" w:rsidRPr="003272B0" w:rsidRDefault="003272B0" w:rsidP="00FB6F8D">
            <w:p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Realizzazione di </w:t>
            </w: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progetti e azioni innovative di welfare territoriale al fine di sperimentare modelli di servizi e di interventi che mirino: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allo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sviluppo di un welfare di prossimità;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al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sostegno di sperimentazioni di innovazione sociale che valorizzino le connessioni territoriali;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alla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creazione di un processo di innovazione che consenta di generare un cambiamento nelle relazioni sociali e risponda a nuovi bisogni ancora non soddisfatti dal mercato o crei risposte più soddisfacenti a bisogni esistenti;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alla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sostenibilità e all’integrazione nell'amministrazione ordinaria dei servizi;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stimolare processi collaborativi, agendo sulla domanda di innovazione, sulla generazione di idee, sulla creazione di ecosistemi territoriali fertili;</w:t>
            </w:r>
          </w:p>
          <w:p w:rsidR="003272B0" w:rsidRPr="003272B0" w:rsidRDefault="003272B0" w:rsidP="00FB6F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allo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sviluppo di nuove sperimentazioni di servizi, iniziative, attività, prodotti o soggetti.</w:t>
            </w:r>
          </w:p>
          <w:p w:rsidR="003272B0" w:rsidRPr="003272B0" w:rsidRDefault="003272B0" w:rsidP="00FB6F8D">
            <w:p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A mero titolo esemplificativo e non esaustivo si riportano alcuni ambiti progettuali di</w:t>
            </w:r>
          </w:p>
          <w:p w:rsidR="003272B0" w:rsidRPr="003272B0" w:rsidRDefault="003272B0" w:rsidP="00FB6F8D">
            <w:pPr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riferimento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ai fini della realizzazione degli obiettivi del bando:</w:t>
            </w:r>
          </w:p>
          <w:p w:rsidR="003272B0" w:rsidRPr="003272B0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servizi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di welfare innovativi anche rivolti al recupero e alla rigenerazione di spazi fisici;</w:t>
            </w:r>
          </w:p>
          <w:p w:rsidR="003272B0" w:rsidRPr="003272B0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sperimentazione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di modelli innovativi di servizi collaborativi rivolti a cittadini con fragilità sociale;</w:t>
            </w:r>
          </w:p>
          <w:p w:rsidR="003272B0" w:rsidRPr="003272B0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servizi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di assistenza leggera di prossimità e di accompagnamento verso l’autonomia e il lavoro;</w:t>
            </w:r>
          </w:p>
          <w:p w:rsidR="003272B0" w:rsidRPr="003272B0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servizi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di orientamento e benessere per le persone con fragilità sociale;</w:t>
            </w:r>
          </w:p>
          <w:p w:rsidR="003272B0" w:rsidRPr="00FB6F8D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sperimentazioni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di utilizzo di tecnologie funzionali alle emergenze sociali o all'accesso</w:t>
            </w:r>
            <w:r w:rsidR="00FB6F8D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FB6F8D">
              <w:rPr>
                <w:rFonts w:ascii="Arial" w:hAnsi="Arial"/>
                <w:bCs/>
                <w:iCs/>
                <w:sz w:val="16"/>
                <w:szCs w:val="16"/>
              </w:rPr>
              <w:t>ai servizi;</w:t>
            </w:r>
          </w:p>
          <w:p w:rsidR="003272B0" w:rsidRPr="003272B0" w:rsidRDefault="003272B0" w:rsidP="00FB6F8D">
            <w:pPr>
              <w:numPr>
                <w:ilvl w:val="0"/>
                <w:numId w:val="4"/>
              </w:numPr>
              <w:tabs>
                <w:tab w:val="clear" w:pos="170"/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 w:firstLine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valorizzazione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delle pratiche dell'economia civile.</w:t>
            </w:r>
          </w:p>
          <w:p w:rsidR="00EB028C" w:rsidRPr="00770055" w:rsidRDefault="003272B0" w:rsidP="00FB6F8D">
            <w:pPr>
              <w:tabs>
                <w:tab w:val="num" w:pos="274"/>
              </w:tabs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Gli interventi candidabili dovranno essere realizzati esclusivamente nel territorio dei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comuni dell’area interna “</w:t>
            </w:r>
            <w:proofErr w:type="spellStart"/>
            <w:r>
              <w:rPr>
                <w:rFonts w:ascii="Arial" w:hAnsi="Arial"/>
                <w:bCs/>
                <w:iCs/>
                <w:sz w:val="16"/>
                <w:szCs w:val="16"/>
              </w:rPr>
              <w:t>Valnerina</w:t>
            </w:r>
            <w:proofErr w:type="spell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” da soggetti ivi aventi sede operativa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EB028C" w:rsidTr="003272B0">
        <w:trPr>
          <w:trHeight w:val="425"/>
        </w:trPr>
        <w:tc>
          <w:tcPr>
            <w:tcW w:w="567" w:type="dxa"/>
          </w:tcPr>
          <w:p w:rsidR="00EB028C" w:rsidRPr="003272B0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3272B0"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35" w:type="dxa"/>
          </w:tcPr>
          <w:p w:rsidR="00EB028C" w:rsidRPr="003272B0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 w:rsidRPr="003272B0">
              <w:rPr>
                <w:rFonts w:ascii="Arial" w:eastAsia="Arial" w:hAnsi="Arial"/>
                <w:b/>
                <w:sz w:val="16"/>
              </w:rPr>
              <w:t>Tipologia di spesa</w:t>
            </w:r>
          </w:p>
        </w:tc>
        <w:tc>
          <w:tcPr>
            <w:tcW w:w="6237" w:type="dxa"/>
          </w:tcPr>
          <w:p w:rsidR="003272B0" w:rsidRPr="003272B0" w:rsidRDefault="003272B0" w:rsidP="003272B0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>La tipologia di spesa è suddivisa in base alle risorse:</w:t>
            </w:r>
          </w:p>
          <w:p w:rsidR="003272B0" w:rsidRPr="00FB6F8D" w:rsidRDefault="00FB6F8D" w:rsidP="00FB6F8D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FB6F8D">
              <w:rPr>
                <w:rFonts w:ascii="Arial" w:hAnsi="Arial"/>
                <w:b/>
                <w:bCs/>
                <w:iCs/>
                <w:sz w:val="16"/>
                <w:szCs w:val="16"/>
              </w:rPr>
              <w:t>R</w:t>
            </w:r>
            <w:r w:rsidR="003272B0" w:rsidRPr="00FB6F8D">
              <w:rPr>
                <w:rFonts w:ascii="Arial" w:hAnsi="Arial"/>
                <w:b/>
                <w:bCs/>
                <w:iCs/>
                <w:sz w:val="16"/>
                <w:szCs w:val="16"/>
              </w:rPr>
              <w:t>isorse FESR: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consulenze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specialistiche e servizi esterni di business;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promozione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delle imprese;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spese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di investimento (acquisto macchinari, attrezzature, impianti specifici e arredi funzionali, mezzi di trasporto, acquisto hardware e software funzionali all’attività d’impresa, ecc.);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leasing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o noleggio attrezzature limitatamente al periodo di ammissibilità delle spese;</w:t>
            </w:r>
          </w:p>
          <w:p w:rsidR="003272B0" w:rsidRPr="00FB6F8D" w:rsidRDefault="00FB6F8D" w:rsidP="00FB6F8D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FB6F8D">
              <w:rPr>
                <w:rFonts w:ascii="Arial" w:hAnsi="Arial"/>
                <w:b/>
                <w:bCs/>
                <w:iCs/>
                <w:sz w:val="16"/>
                <w:szCs w:val="16"/>
              </w:rPr>
              <w:t>R</w:t>
            </w:r>
            <w:r w:rsidR="003272B0" w:rsidRPr="00FB6F8D">
              <w:rPr>
                <w:rFonts w:ascii="Arial" w:hAnsi="Arial"/>
                <w:b/>
                <w:bCs/>
                <w:iCs/>
                <w:sz w:val="16"/>
                <w:szCs w:val="16"/>
              </w:rPr>
              <w:t>isorse FSE: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progettazione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dell’intervento;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pubblicizzazione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e promozione dell’intervento;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costituzione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ATI/ATS;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</w:pPr>
            <w:proofErr w:type="gramStart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>personale</w:t>
            </w:r>
            <w:proofErr w:type="gramEnd"/>
            <w:r w:rsidRPr="003272B0">
              <w:rPr>
                <w:rFonts w:ascii="Arial" w:hAnsi="Arial" w:cs="Arial"/>
                <w:bCs/>
                <w:iCs/>
                <w:sz w:val="16"/>
                <w:szCs w:val="16"/>
                <w:lang w:eastAsia="it-IT"/>
              </w:rPr>
              <w:t xml:space="preserve"> per attività di coordinamento, personale per il monitoraggio e rendicontazione;</w:t>
            </w:r>
          </w:p>
          <w:p w:rsid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proofErr w:type="gramStart"/>
            <w:r w:rsidRPr="00B62E13">
              <w:rPr>
                <w:iCs/>
                <w:sz w:val="18"/>
                <w:szCs w:val="18"/>
              </w:rPr>
              <w:t>fruizione</w:t>
            </w:r>
            <w:proofErr w:type="gramEnd"/>
            <w:r w:rsidRPr="00B62E13">
              <w:rPr>
                <w:iCs/>
                <w:sz w:val="18"/>
                <w:szCs w:val="18"/>
              </w:rPr>
              <w:t xml:space="preserve"> da parte di destinatari finali di servizi nell’ambito inclusione sociale;</w:t>
            </w:r>
          </w:p>
          <w:p w:rsidR="003272B0" w:rsidRPr="00DE08EC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incontri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e seminari, report e pubblicazioni;</w:t>
            </w:r>
          </w:p>
          <w:p w:rsidR="003272B0" w:rsidRPr="00DE08EC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quote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di ammortamento e canoni di locazione di unità immobiliari;</w:t>
            </w:r>
          </w:p>
          <w:p w:rsidR="003272B0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acquisti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di beni per attività rivolte a destinatari finali;</w:t>
            </w:r>
          </w:p>
          <w:p w:rsidR="00EB028C" w:rsidRPr="003272B0" w:rsidRDefault="003272B0" w:rsidP="003272B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proofErr w:type="gramStart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lastRenderedPageBreak/>
              <w:t>costi</w:t>
            </w:r>
            <w:proofErr w:type="gramEnd"/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indiretti a tasso forfettario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lastRenderedPageBreak/>
              <w:t>9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Tempi di realizzazione</w:t>
            </w:r>
          </w:p>
        </w:tc>
        <w:tc>
          <w:tcPr>
            <w:tcW w:w="6237" w:type="dxa"/>
          </w:tcPr>
          <w:p w:rsidR="003272B0" w:rsidRPr="003272B0" w:rsidRDefault="003272B0" w:rsidP="003272B0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Data inizio intervento: 25 maggio 2018</w:t>
            </w:r>
          </w:p>
          <w:p w:rsidR="005563BE" w:rsidRDefault="00C80A5F" w:rsidP="00C80A5F">
            <w:pPr>
              <w:spacing w:line="232" w:lineRule="auto"/>
              <w:ind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 </w:t>
            </w:r>
            <w:r w:rsidR="003272B0" w:rsidRPr="003272B0">
              <w:rPr>
                <w:rFonts w:ascii="Arial" w:hAnsi="Arial"/>
                <w:bCs/>
                <w:iCs/>
                <w:sz w:val="16"/>
                <w:szCs w:val="16"/>
              </w:rPr>
              <w:t>Data fine intervento: 31 marzo 2021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 di risultato</w:t>
            </w:r>
          </w:p>
        </w:tc>
        <w:tc>
          <w:tcPr>
            <w:tcW w:w="6237" w:type="dxa"/>
          </w:tcPr>
          <w:p w:rsidR="003272B0" w:rsidRPr="003272B0" w:rsidRDefault="003272B0" w:rsidP="00374215">
            <w:pPr>
              <w:spacing w:after="120"/>
              <w:ind w:left="130" w:right="151"/>
              <w:jc w:val="both"/>
              <w:rPr>
                <w:rFonts w:ascii="Arial" w:hAnsi="Arial"/>
                <w:b/>
                <w:noProof/>
                <w:sz w:val="16"/>
                <w:szCs w:val="16"/>
                <w:u w:val="single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  <w:u w:val="single"/>
              </w:rPr>
              <w:t>Indicatore di realizzazione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Indicatore FSE:</w:t>
            </w:r>
            <w:r w:rsidR="001775F9">
              <w:rPr>
                <w:rFonts w:ascii="Arial" w:hAnsi="Arial"/>
                <w:b/>
                <w:noProof/>
                <w:sz w:val="16"/>
                <w:szCs w:val="16"/>
              </w:rPr>
              <w:t xml:space="preserve"> (ID - )</w:t>
            </w: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numero di progetti supportati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b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Baseline: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0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b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Target: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1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Fonte dati: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Regione Umbria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Indicatore FESR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 xml:space="preserve">: </w:t>
            </w:r>
            <w:r w:rsidR="007715FD">
              <w:rPr>
                <w:rFonts w:ascii="Arial" w:hAnsi="Arial"/>
                <w:noProof/>
                <w:sz w:val="16"/>
                <w:szCs w:val="16"/>
              </w:rPr>
              <w:t xml:space="preserve">(ID CO01)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numero di imprese che ricevono un sostegno.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Baseline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: 0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Target: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 xml:space="preserve"> </w:t>
            </w:r>
            <w:r w:rsidR="00374215">
              <w:rPr>
                <w:rFonts w:ascii="Arial" w:hAnsi="Arial"/>
                <w:noProof/>
                <w:sz w:val="16"/>
                <w:szCs w:val="16"/>
              </w:rPr>
              <w:t>1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Fonte dati: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Regione Umbria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sz w:val="16"/>
                <w:szCs w:val="16"/>
              </w:rPr>
            </w:pPr>
          </w:p>
          <w:p w:rsidR="003272B0" w:rsidRPr="007937F6" w:rsidRDefault="003272B0" w:rsidP="00374215">
            <w:pPr>
              <w:spacing w:after="120"/>
              <w:ind w:left="130" w:right="151"/>
              <w:jc w:val="both"/>
              <w:rPr>
                <w:rFonts w:ascii="Arial" w:hAnsi="Arial"/>
                <w:b/>
                <w:noProof/>
                <w:sz w:val="16"/>
                <w:szCs w:val="16"/>
                <w:u w:val="single"/>
              </w:rPr>
            </w:pPr>
            <w:r w:rsidRPr="007937F6">
              <w:rPr>
                <w:rFonts w:ascii="Arial" w:hAnsi="Arial"/>
                <w:b/>
                <w:noProof/>
                <w:sz w:val="16"/>
                <w:szCs w:val="16"/>
                <w:u w:val="single"/>
              </w:rPr>
              <w:t>Indicatore di risultato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b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Indicatore FSE:</w:t>
            </w:r>
            <w:r w:rsidR="008A6C3E">
              <w:rPr>
                <w:rFonts w:ascii="Arial" w:hAnsi="Arial"/>
                <w:b/>
                <w:noProof/>
                <w:sz w:val="16"/>
                <w:szCs w:val="16"/>
              </w:rPr>
              <w:t xml:space="preserve"> (ID SR04)</w:t>
            </w: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imprese destinatarie degli interventi sul totale delle imprese sociali di forma cooperativa</w:t>
            </w: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 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b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Baseline: </w:t>
            </w:r>
            <w:r w:rsidR="00D97EAB">
              <w:rPr>
                <w:rFonts w:ascii="Arial" w:hAnsi="Arial"/>
                <w:noProof/>
                <w:sz w:val="16"/>
                <w:szCs w:val="16"/>
              </w:rPr>
              <w:t>18,02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Target: </w:t>
            </w:r>
            <w:r w:rsidR="00D97EAB" w:rsidRPr="007937F6">
              <w:rPr>
                <w:rFonts w:ascii="Arial" w:hAnsi="Arial"/>
                <w:noProof/>
                <w:sz w:val="16"/>
                <w:szCs w:val="16"/>
              </w:rPr>
              <w:t>19,82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Fonte dati: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Regione Umbria</w:t>
            </w:r>
            <w:r w:rsidR="00D97EAB">
              <w:rPr>
                <w:rFonts w:ascii="Arial" w:hAnsi="Arial"/>
                <w:noProof/>
                <w:sz w:val="16"/>
                <w:szCs w:val="16"/>
              </w:rPr>
              <w:t xml:space="preserve"> (riparametrato)</w:t>
            </w:r>
          </w:p>
          <w:p w:rsidR="003272B0" w:rsidRDefault="003272B0" w:rsidP="00374215">
            <w:pPr>
              <w:ind w:left="132" w:right="151"/>
              <w:jc w:val="both"/>
              <w:rPr>
                <w:rFonts w:ascii="Arial" w:hAnsi="Arial"/>
                <w:b/>
                <w:noProof/>
                <w:sz w:val="16"/>
                <w:szCs w:val="16"/>
              </w:rPr>
            </w:pP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Indicatore FESR:</w:t>
            </w:r>
            <w:r w:rsidR="008A6C3E">
              <w:rPr>
                <w:rFonts w:ascii="Arial" w:hAnsi="Arial"/>
                <w:b/>
                <w:noProof/>
                <w:sz w:val="16"/>
                <w:szCs w:val="16"/>
              </w:rPr>
              <w:t xml:space="preserve"> (ID 399)</w:t>
            </w: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 xml:space="preserve"> 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addetti alle imprese e alle istituzioni non profit che svolgono attività a contenuto sociale</w:t>
            </w:r>
            <w:r w:rsidR="008A6C3E">
              <w:rPr>
                <w:rFonts w:ascii="Arial" w:hAnsi="Arial"/>
                <w:noProof/>
                <w:sz w:val="16"/>
                <w:szCs w:val="16"/>
              </w:rPr>
              <w:t xml:space="preserve"> (</w:t>
            </w:r>
            <w:r w:rsidR="008A6C3E" w:rsidRPr="008A6C3E">
              <w:rPr>
                <w:rFonts w:ascii="Arial" w:hAnsi="Arial"/>
                <w:noProof/>
                <w:sz w:val="16"/>
                <w:szCs w:val="16"/>
              </w:rPr>
              <w:t>Numero di addetti per 1000 abitanti</w:t>
            </w:r>
            <w:r w:rsidR="008A6C3E">
              <w:rPr>
                <w:rFonts w:ascii="Arial" w:hAnsi="Arial"/>
                <w:noProof/>
                <w:sz w:val="16"/>
                <w:szCs w:val="16"/>
              </w:rPr>
              <w:t>)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Baseline: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 xml:space="preserve"> 16,02%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Target:</w:t>
            </w:r>
            <w:r w:rsidR="00A739C0">
              <w:rPr>
                <w:rFonts w:ascii="Arial" w:hAnsi="Arial"/>
                <w:noProof/>
                <w:sz w:val="16"/>
                <w:szCs w:val="16"/>
              </w:rPr>
              <w:t xml:space="preserve"> 17,69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>%</w:t>
            </w:r>
          </w:p>
          <w:p w:rsidR="003272B0" w:rsidRPr="003272B0" w:rsidRDefault="003272B0" w:rsidP="00374215">
            <w:pPr>
              <w:ind w:left="132" w:right="151"/>
              <w:jc w:val="both"/>
              <w:rPr>
                <w:rFonts w:ascii="Arial" w:hAnsi="Arial"/>
                <w:noProof/>
                <w:sz w:val="16"/>
                <w:szCs w:val="16"/>
              </w:rPr>
            </w:pPr>
            <w:r w:rsidRPr="003272B0">
              <w:rPr>
                <w:rFonts w:ascii="Arial" w:hAnsi="Arial"/>
                <w:b/>
                <w:noProof/>
                <w:sz w:val="16"/>
                <w:szCs w:val="16"/>
              </w:rPr>
              <w:t>Fonte dati:</w:t>
            </w:r>
            <w:r w:rsidRPr="003272B0">
              <w:rPr>
                <w:rFonts w:ascii="Arial" w:hAnsi="Arial"/>
                <w:noProof/>
                <w:sz w:val="16"/>
                <w:szCs w:val="16"/>
              </w:rPr>
              <w:t xml:space="preserve"> ISTAT – Censimento dell’Industria e dei servizi (riparametrato).</w:t>
            </w:r>
          </w:p>
          <w:p w:rsidR="004E0FE5" w:rsidRDefault="004E0FE5" w:rsidP="003272B0">
            <w:pPr>
              <w:pStyle w:val="Default"/>
              <w:ind w:left="113" w:right="113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Soggetto gestore del bando</w:t>
            </w:r>
          </w:p>
        </w:tc>
        <w:tc>
          <w:tcPr>
            <w:tcW w:w="6237" w:type="dxa"/>
          </w:tcPr>
          <w:p w:rsidR="00EB028C" w:rsidRDefault="00331F00" w:rsidP="0064173F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 w:rsidRPr="00331F00">
              <w:rPr>
                <w:rFonts w:ascii="Arial" w:hAnsi="Arial"/>
                <w:color w:val="000000"/>
                <w:sz w:val="16"/>
                <w:szCs w:val="16"/>
              </w:rPr>
              <w:t xml:space="preserve">Regione Umbria: </w:t>
            </w:r>
            <w:r w:rsidR="008120BE">
              <w:rPr>
                <w:rFonts w:ascii="Arial" w:hAnsi="Arial"/>
                <w:color w:val="000000"/>
                <w:sz w:val="16"/>
                <w:szCs w:val="16"/>
              </w:rPr>
              <w:t xml:space="preserve">Dirigente </w:t>
            </w:r>
            <w:r w:rsidR="0032233C">
              <w:rPr>
                <w:rFonts w:ascii="Arial" w:hAnsi="Arial"/>
                <w:color w:val="000000"/>
                <w:sz w:val="16"/>
                <w:szCs w:val="16"/>
              </w:rPr>
              <w:t xml:space="preserve">pro-tempore </w:t>
            </w:r>
            <w:bookmarkStart w:id="0" w:name="_GoBack"/>
            <w:bookmarkEnd w:id="0"/>
            <w:r w:rsidR="008120BE">
              <w:rPr>
                <w:rFonts w:ascii="Arial" w:hAnsi="Arial"/>
                <w:color w:val="000000"/>
                <w:sz w:val="16"/>
                <w:szCs w:val="16"/>
              </w:rPr>
              <w:t xml:space="preserve">del Servizio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Programmazione della rete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dei servizi sociali,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integrazione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sociosanitaria.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Economia sociale e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="0064173F" w:rsidRPr="0064173F">
              <w:rPr>
                <w:rFonts w:ascii="Arial" w:hAnsi="Arial"/>
                <w:color w:val="000000"/>
                <w:sz w:val="16"/>
                <w:szCs w:val="16"/>
              </w:rPr>
              <w:t>terzo settore</w:t>
            </w:r>
            <w:r w:rsidR="0064173F">
              <w:rPr>
                <w:rFonts w:ascii="Arial" w:hAnsi="Arial"/>
                <w:color w:val="000000"/>
                <w:sz w:val="16"/>
                <w:szCs w:val="16"/>
              </w:rPr>
              <w:t>.</w:t>
            </w:r>
          </w:p>
        </w:tc>
      </w:tr>
    </w:tbl>
    <w:p w:rsidR="00275B7F" w:rsidRDefault="0032233C"/>
    <w:sectPr w:rsidR="00275B7F" w:rsidSect="00002E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250CC4A"/>
    <w:multiLevelType w:val="hybridMultilevel"/>
    <w:tmpl w:val="A9C27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4B1C69"/>
    <w:multiLevelType w:val="hybridMultilevel"/>
    <w:tmpl w:val="3718FFF4"/>
    <w:lvl w:ilvl="0" w:tplc="EC24D6AC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81ADD"/>
    <w:multiLevelType w:val="hybridMultilevel"/>
    <w:tmpl w:val="A0F09D78"/>
    <w:lvl w:ilvl="0" w:tplc="9398D71E">
      <w:start w:val="1"/>
      <w:numFmt w:val="lowerLetter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175BCE"/>
    <w:multiLevelType w:val="hybridMultilevel"/>
    <w:tmpl w:val="6D2CC50A"/>
    <w:lvl w:ilvl="0" w:tplc="2D268100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D156F"/>
    <w:multiLevelType w:val="hybridMultilevel"/>
    <w:tmpl w:val="D0CC9CEC"/>
    <w:lvl w:ilvl="0" w:tplc="A08C9058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C2F08"/>
    <w:multiLevelType w:val="hybridMultilevel"/>
    <w:tmpl w:val="1670262A"/>
    <w:lvl w:ilvl="0" w:tplc="BBEE4932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2266E"/>
    <w:multiLevelType w:val="hybridMultilevel"/>
    <w:tmpl w:val="1A406ABA"/>
    <w:lvl w:ilvl="0" w:tplc="9866F0A0">
      <w:start w:val="1"/>
      <w:numFmt w:val="lowerLetter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6A7F57"/>
    <w:multiLevelType w:val="hybridMultilevel"/>
    <w:tmpl w:val="851E3AC8"/>
    <w:lvl w:ilvl="0" w:tplc="B0EAA234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50902CB4">
      <w:start w:val="2"/>
      <w:numFmt w:val="lowerLetter"/>
      <w:lvlText w:val="%2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4F"/>
    <w:rsid w:val="00002EDF"/>
    <w:rsid w:val="001775F9"/>
    <w:rsid w:val="001812DC"/>
    <w:rsid w:val="00245888"/>
    <w:rsid w:val="0032233C"/>
    <w:rsid w:val="003272B0"/>
    <w:rsid w:val="00331F00"/>
    <w:rsid w:val="00374215"/>
    <w:rsid w:val="004E0FE5"/>
    <w:rsid w:val="005563BE"/>
    <w:rsid w:val="00557E9E"/>
    <w:rsid w:val="0057754F"/>
    <w:rsid w:val="00623077"/>
    <w:rsid w:val="0064173F"/>
    <w:rsid w:val="00705D5A"/>
    <w:rsid w:val="00711A39"/>
    <w:rsid w:val="007345FD"/>
    <w:rsid w:val="00770055"/>
    <w:rsid w:val="007715FD"/>
    <w:rsid w:val="00787140"/>
    <w:rsid w:val="007937F6"/>
    <w:rsid w:val="00803F38"/>
    <w:rsid w:val="008120BE"/>
    <w:rsid w:val="008A6C3E"/>
    <w:rsid w:val="009519B8"/>
    <w:rsid w:val="00991E4C"/>
    <w:rsid w:val="00A339F9"/>
    <w:rsid w:val="00A739C0"/>
    <w:rsid w:val="00B64753"/>
    <w:rsid w:val="00BF1082"/>
    <w:rsid w:val="00C27D39"/>
    <w:rsid w:val="00C80A5F"/>
    <w:rsid w:val="00D24191"/>
    <w:rsid w:val="00D44A75"/>
    <w:rsid w:val="00D66EA9"/>
    <w:rsid w:val="00D97EAB"/>
    <w:rsid w:val="00E22D2C"/>
    <w:rsid w:val="00EB028C"/>
    <w:rsid w:val="00EE687A"/>
    <w:rsid w:val="00F42832"/>
    <w:rsid w:val="00F665FF"/>
    <w:rsid w:val="00FB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4B3CD-E30A-442E-A9D6-975A03E1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028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EB028C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2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028C"/>
    <w:rPr>
      <w:rFonts w:ascii="Arial" w:eastAsia="Times New Roman" w:hAnsi="Arial" w:cs="Times New Roman"/>
      <w:b/>
      <w:bCs/>
      <w:kern w:val="32"/>
      <w:szCs w:val="32"/>
      <w:lang w:eastAsia="it-IT"/>
    </w:rPr>
  </w:style>
  <w:style w:type="table" w:styleId="Grigliatabella">
    <w:name w:val="Table Grid"/>
    <w:basedOn w:val="Tabellanormale"/>
    <w:uiPriority w:val="59"/>
    <w:rsid w:val="00EB028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345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272B0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Moretti</dc:creator>
  <cp:keywords/>
  <dc:description/>
  <cp:lastModifiedBy>Cecilia Moretti</cp:lastModifiedBy>
  <cp:revision>19</cp:revision>
  <dcterms:created xsi:type="dcterms:W3CDTF">2019-08-02T08:33:00Z</dcterms:created>
  <dcterms:modified xsi:type="dcterms:W3CDTF">2020-11-05T07:50:00Z</dcterms:modified>
</cp:coreProperties>
</file>