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C9E" w:rsidRPr="00D42B51" w:rsidRDefault="00FB5C9E" w:rsidP="00FB5C9E">
      <w:pPr>
        <w:jc w:val="center"/>
        <w:rPr>
          <w:b/>
          <w:u w:val="single"/>
        </w:rPr>
      </w:pPr>
      <w:bookmarkStart w:id="0" w:name="_GoBack"/>
    </w:p>
    <w:bookmarkEnd w:id="0"/>
    <w:p w:rsidR="00FB5C9E" w:rsidRPr="00D42B51" w:rsidRDefault="00FB5C9E" w:rsidP="00FB5C9E">
      <w:pPr>
        <w:jc w:val="center"/>
        <w:rPr>
          <w:b/>
          <w:u w:val="single"/>
        </w:rPr>
      </w:pPr>
      <w:r w:rsidRPr="00D42B51">
        <w:rPr>
          <w:b/>
          <w:u w:val="single"/>
        </w:rPr>
        <w:t xml:space="preserve">AFFIDAMENTO DEI SERVIZI CIMITERIALI COMUNALI E FUNEBRI AI SENSI DEL D. LGS. 50/2016 - RELAZIONE AI SENSI DELL’ART. 34, COMMA 20, D.L. 179/2012 CONVERTITO IN LEGGE 221/2012 CONCERNENTE LE MODALITÀ DI AFFIDAMENTO DEI SERVIZI PUBBLICI </w:t>
      </w:r>
      <w:proofErr w:type="gramStart"/>
      <w:r w:rsidRPr="00D42B51">
        <w:rPr>
          <w:b/>
          <w:u w:val="single"/>
        </w:rPr>
        <w:t>A  RILEVANZA</w:t>
      </w:r>
      <w:proofErr w:type="gramEnd"/>
      <w:r w:rsidRPr="00D42B51">
        <w:rPr>
          <w:b/>
          <w:u w:val="single"/>
        </w:rPr>
        <w:t xml:space="preserve"> ECONOMICA</w:t>
      </w:r>
    </w:p>
    <w:p w:rsidR="00FB5C9E" w:rsidRPr="00D42B51" w:rsidRDefault="00FB5C9E" w:rsidP="00FB5C9E">
      <w:pPr>
        <w:jc w:val="center"/>
        <w:rPr>
          <w:b/>
          <w:u w:val="single"/>
        </w:rPr>
      </w:pPr>
    </w:p>
    <w:p w:rsidR="00FB5C9E" w:rsidRDefault="00FB5C9E" w:rsidP="00FB5C9E">
      <w:pPr>
        <w:jc w:val="center"/>
      </w:pPr>
    </w:p>
    <w:p w:rsidR="00FB5C9E" w:rsidRDefault="00FB5C9E" w:rsidP="00FB5C9E">
      <w:pPr>
        <w:jc w:val="both"/>
      </w:pPr>
      <w:r>
        <w:t>L’art.34, comma 20, della Legge n. 221/2012 di conversione con modificazioni del Decreto Legge</w:t>
      </w:r>
    </w:p>
    <w:p w:rsidR="00FB5C9E" w:rsidRDefault="00FB5C9E" w:rsidP="00FB5C9E">
      <w:pPr>
        <w:jc w:val="both"/>
      </w:pPr>
      <w:r>
        <w:t>n. 179/2012, recante ulteriori misure urgenti per la crescita del Paese, dispone che “Per i servizi pubblici locali di rilevanza economica, al fine di assicurare il rispetto della disciplina europea, la parità tra gli operatori, l’economicità della gestione e di garantire adeguata informazione alla collettività di riferimento, l’affidamento del servizio è effettuato sulla base di apposita relazione, pubblicata sul sito internet dell’Ente affidante, che dà conto delle ragioni e della sussistenza dei requisiti previsti dall’ordinamento europeo per le forme di affidamento prescelto e che definisce i contenuti specifici degli obblighi di servizio pubblico e servizio universale, indicando le compensazioni economiche se previste”.</w:t>
      </w:r>
    </w:p>
    <w:p w:rsidR="00FB5C9E" w:rsidRDefault="00FB5C9E" w:rsidP="00FB5C9E">
      <w:pPr>
        <w:jc w:val="both"/>
      </w:pPr>
    </w:p>
    <w:p w:rsidR="00FB5C9E" w:rsidRPr="002C0C5E" w:rsidRDefault="00FB5C9E" w:rsidP="00FB5C9E">
      <w:pPr>
        <w:jc w:val="both"/>
        <w:rPr>
          <w:b/>
          <w:bCs/>
        </w:rPr>
      </w:pPr>
      <w:r w:rsidRPr="002C0C5E">
        <w:rPr>
          <w:b/>
          <w:bCs/>
        </w:rPr>
        <w:t>I SERVIZI CIMITERIALI E FUNEBRI (TUMULAZIONE, INUMAZIONE, ESUMAZIONE, ESTUMULAZIONE, TRASFERIMENTO E/O TRASLOCAZIONE SALME E RELATIVI SERVIZI ANALOGHI E COLLEGATI)</w:t>
      </w:r>
    </w:p>
    <w:p w:rsidR="00FB5C9E" w:rsidRDefault="00FB5C9E" w:rsidP="00FB5C9E">
      <w:pPr>
        <w:jc w:val="both"/>
      </w:pPr>
    </w:p>
    <w:p w:rsidR="00FB5C9E" w:rsidRDefault="00FB5C9E" w:rsidP="00FB5C9E">
      <w:pPr>
        <w:jc w:val="both"/>
      </w:pPr>
      <w:r>
        <w:t xml:space="preserve">I servizi cimiteriali e funebri rientrano tra i servizi a domanda individuale resi su specifica richiesta degli utenti. </w:t>
      </w:r>
    </w:p>
    <w:p w:rsidR="00FB5C9E" w:rsidRDefault="00FB5C9E" w:rsidP="00FB5C9E">
      <w:pPr>
        <w:jc w:val="both"/>
      </w:pPr>
      <w:r>
        <w:t>Costituisce presupposto essenziale per l’esternalizzazione del servizio</w:t>
      </w:r>
    </w:p>
    <w:p w:rsidR="00FB5C9E" w:rsidRDefault="00FB5C9E" w:rsidP="00FB5C9E">
      <w:pPr>
        <w:numPr>
          <w:ilvl w:val="0"/>
          <w:numId w:val="1"/>
        </w:numPr>
        <w:jc w:val="both"/>
      </w:pPr>
      <w:r w:rsidRPr="001513D0">
        <w:t xml:space="preserve">l’impossibilità, per carenza di personale ed impossibilità di superamento del tetto di spesa di personale, di assicurare la gestione </w:t>
      </w:r>
      <w:r>
        <w:t xml:space="preserve">di detti servizi in via diretta; </w:t>
      </w:r>
    </w:p>
    <w:p w:rsidR="00FB5C9E" w:rsidRDefault="00FB5C9E" w:rsidP="00FB5C9E">
      <w:pPr>
        <w:numPr>
          <w:ilvl w:val="0"/>
          <w:numId w:val="1"/>
        </w:numPr>
        <w:jc w:val="both"/>
      </w:pPr>
      <w:r>
        <w:t xml:space="preserve">La forte dispersione dei 15 cimiteri sull’intero territorio Comunale che non consente, alle due unità di personale operaio del Comune di Cascia, di riuscire ad espletare tutte le mansioni relative alla loro qualifica in tempo utile; </w:t>
      </w:r>
    </w:p>
    <w:p w:rsidR="00FB5C9E" w:rsidRDefault="00FB5C9E" w:rsidP="00FB5C9E">
      <w:pPr>
        <w:jc w:val="both"/>
      </w:pPr>
      <w:r>
        <w:t xml:space="preserve">Il Comune di Cascia ha la disponibilità </w:t>
      </w:r>
      <w:proofErr w:type="gramStart"/>
      <w:r>
        <w:t>dei n.</w:t>
      </w:r>
      <w:proofErr w:type="gramEnd"/>
      <w:r>
        <w:t xml:space="preserve"> 15 cimiteri comunali in appresso indicati: </w:t>
      </w:r>
    </w:p>
    <w:p w:rsidR="00FB5C9E" w:rsidRDefault="00FB5C9E" w:rsidP="00FB5C9E">
      <w:pPr>
        <w:numPr>
          <w:ilvl w:val="0"/>
          <w:numId w:val="2"/>
        </w:numPr>
        <w:jc w:val="both"/>
      </w:pPr>
      <w:r>
        <w:t>Cimitero di Cascia capoluogo;</w:t>
      </w:r>
    </w:p>
    <w:p w:rsidR="00FB5C9E" w:rsidRDefault="00FB5C9E" w:rsidP="00FB5C9E">
      <w:pPr>
        <w:numPr>
          <w:ilvl w:val="0"/>
          <w:numId w:val="2"/>
        </w:numPr>
        <w:jc w:val="both"/>
      </w:pPr>
      <w:r>
        <w:t>Cimitero di Avendita;</w:t>
      </w:r>
    </w:p>
    <w:p w:rsidR="00FB5C9E" w:rsidRDefault="00FB5C9E" w:rsidP="00FB5C9E">
      <w:pPr>
        <w:numPr>
          <w:ilvl w:val="0"/>
          <w:numId w:val="2"/>
        </w:numPr>
        <w:jc w:val="both"/>
      </w:pPr>
      <w:r>
        <w:t>Cimitero di Colforcella;</w:t>
      </w:r>
    </w:p>
    <w:p w:rsidR="00FB5C9E" w:rsidRDefault="00FB5C9E" w:rsidP="00FB5C9E">
      <w:pPr>
        <w:numPr>
          <w:ilvl w:val="0"/>
          <w:numId w:val="2"/>
        </w:numPr>
        <w:jc w:val="both"/>
      </w:pPr>
      <w:r>
        <w:t>Cimitero di S. Giorgio;</w:t>
      </w:r>
    </w:p>
    <w:p w:rsidR="00FB5C9E" w:rsidRDefault="00FB5C9E" w:rsidP="00FB5C9E">
      <w:pPr>
        <w:numPr>
          <w:ilvl w:val="0"/>
          <w:numId w:val="2"/>
        </w:numPr>
        <w:jc w:val="both"/>
      </w:pPr>
      <w:r>
        <w:t xml:space="preserve">Cimitero di </w:t>
      </w:r>
      <w:proofErr w:type="spellStart"/>
      <w:r>
        <w:t>Logna</w:t>
      </w:r>
      <w:proofErr w:type="spellEnd"/>
      <w:r>
        <w:t>;</w:t>
      </w:r>
    </w:p>
    <w:p w:rsidR="00FB5C9E" w:rsidRDefault="00FB5C9E" w:rsidP="00FB5C9E">
      <w:pPr>
        <w:numPr>
          <w:ilvl w:val="0"/>
          <w:numId w:val="2"/>
        </w:numPr>
        <w:jc w:val="both"/>
      </w:pPr>
      <w:r>
        <w:t xml:space="preserve">Cimitero di </w:t>
      </w:r>
      <w:proofErr w:type="spellStart"/>
      <w:r>
        <w:t>Poggioprimocaso</w:t>
      </w:r>
      <w:proofErr w:type="spellEnd"/>
      <w:r>
        <w:t>;</w:t>
      </w:r>
    </w:p>
    <w:p w:rsidR="00FB5C9E" w:rsidRDefault="00FB5C9E" w:rsidP="00FB5C9E">
      <w:pPr>
        <w:numPr>
          <w:ilvl w:val="0"/>
          <w:numId w:val="2"/>
        </w:numPr>
        <w:jc w:val="both"/>
      </w:pPr>
      <w:r>
        <w:t>Cimitero di Onelli;</w:t>
      </w:r>
    </w:p>
    <w:p w:rsidR="00FB5C9E" w:rsidRDefault="00FB5C9E" w:rsidP="00FB5C9E">
      <w:pPr>
        <w:numPr>
          <w:ilvl w:val="0"/>
          <w:numId w:val="2"/>
        </w:numPr>
        <w:jc w:val="both"/>
      </w:pPr>
      <w:r>
        <w:t>Cimitero di Cerasola;</w:t>
      </w:r>
    </w:p>
    <w:p w:rsidR="00FB5C9E" w:rsidRDefault="00FB5C9E" w:rsidP="00FB5C9E">
      <w:pPr>
        <w:numPr>
          <w:ilvl w:val="0"/>
          <w:numId w:val="2"/>
        </w:numPr>
        <w:jc w:val="both"/>
      </w:pPr>
      <w:r>
        <w:t>Cimitero di Castel S. Maria;</w:t>
      </w:r>
    </w:p>
    <w:p w:rsidR="00FB5C9E" w:rsidRDefault="00FB5C9E" w:rsidP="00FB5C9E">
      <w:pPr>
        <w:numPr>
          <w:ilvl w:val="0"/>
          <w:numId w:val="2"/>
        </w:numPr>
        <w:jc w:val="both"/>
      </w:pPr>
      <w:r>
        <w:t>Cimitero di Civita;</w:t>
      </w:r>
    </w:p>
    <w:p w:rsidR="00FB5C9E" w:rsidRDefault="00FB5C9E" w:rsidP="00FB5C9E">
      <w:pPr>
        <w:numPr>
          <w:ilvl w:val="0"/>
          <w:numId w:val="2"/>
        </w:numPr>
        <w:jc w:val="both"/>
      </w:pPr>
      <w:r>
        <w:t xml:space="preserve">Cimitero di </w:t>
      </w:r>
      <w:proofErr w:type="spellStart"/>
      <w:r>
        <w:t>Opagna</w:t>
      </w:r>
      <w:proofErr w:type="spellEnd"/>
      <w:r>
        <w:t>;</w:t>
      </w:r>
    </w:p>
    <w:p w:rsidR="00FB5C9E" w:rsidRDefault="00FB5C9E" w:rsidP="00FB5C9E">
      <w:pPr>
        <w:numPr>
          <w:ilvl w:val="0"/>
          <w:numId w:val="2"/>
        </w:numPr>
        <w:jc w:val="both"/>
      </w:pPr>
      <w:r>
        <w:t>Cimitero di Coronella;</w:t>
      </w:r>
    </w:p>
    <w:p w:rsidR="00FB5C9E" w:rsidRDefault="00FB5C9E" w:rsidP="00FB5C9E">
      <w:pPr>
        <w:numPr>
          <w:ilvl w:val="0"/>
          <w:numId w:val="2"/>
        </w:numPr>
        <w:jc w:val="both"/>
      </w:pPr>
      <w:r>
        <w:t>Cimitero di Trognano;</w:t>
      </w:r>
    </w:p>
    <w:p w:rsidR="00FB5C9E" w:rsidRDefault="00FB5C9E" w:rsidP="00FB5C9E">
      <w:pPr>
        <w:numPr>
          <w:ilvl w:val="0"/>
          <w:numId w:val="2"/>
        </w:numPr>
        <w:jc w:val="both"/>
      </w:pPr>
      <w:r>
        <w:t>Cimitero di Maltignano;</w:t>
      </w:r>
    </w:p>
    <w:p w:rsidR="00FB5C9E" w:rsidRDefault="00FB5C9E" w:rsidP="00FB5C9E">
      <w:pPr>
        <w:numPr>
          <w:ilvl w:val="0"/>
          <w:numId w:val="2"/>
        </w:numPr>
        <w:jc w:val="both"/>
      </w:pPr>
      <w:r>
        <w:t xml:space="preserve">Cimitero di </w:t>
      </w:r>
      <w:proofErr w:type="spellStart"/>
      <w:r>
        <w:t>Roccaporena</w:t>
      </w:r>
      <w:proofErr w:type="spellEnd"/>
      <w:r>
        <w:t xml:space="preserve">. </w:t>
      </w:r>
    </w:p>
    <w:p w:rsidR="00FB5C9E" w:rsidRDefault="00FB5C9E" w:rsidP="00FB5C9E">
      <w:pPr>
        <w:jc w:val="both"/>
      </w:pPr>
      <w:r>
        <w:t xml:space="preserve">Il Comune di Cascia intende pertanto affidare i servizi relativi alle operazioni di </w:t>
      </w:r>
      <w:r w:rsidRPr="002C0C5E">
        <w:t>tumulazione, inumazione, esumazione, estumulazione, trasferimento e/o traslocazione salme e relativi servizi analoghi e collegati)</w:t>
      </w:r>
      <w:r>
        <w:t xml:space="preserve">; </w:t>
      </w:r>
    </w:p>
    <w:p w:rsidR="00FB5C9E" w:rsidRDefault="00FB5C9E" w:rsidP="00FB5C9E">
      <w:pPr>
        <w:jc w:val="both"/>
      </w:pPr>
      <w:r>
        <w:lastRenderedPageBreak/>
        <w:t xml:space="preserve">Il Comune di Cascia continuerà a gestire in via diretta i restanti servizi cimiteriali ivi inclusi quelli relativi all’accettazione delle salme, alla riscossione degli oneri collegati, la vendita e la concessione di aree cimiteriali e dei loculi, etc. </w:t>
      </w:r>
    </w:p>
    <w:p w:rsidR="00FB5C9E" w:rsidRDefault="00FB5C9E" w:rsidP="00FB5C9E">
      <w:pPr>
        <w:jc w:val="both"/>
      </w:pPr>
      <w:r>
        <w:t xml:space="preserve">Il pagamento dei compensi dovuti all’aggiudicatario contraente avverrà sulla base dei servizi effettivamente resi ed accertati dal competente ufficio comunale; </w:t>
      </w:r>
    </w:p>
    <w:p w:rsidR="00FB5C9E" w:rsidRDefault="00FB5C9E" w:rsidP="00FB5C9E">
      <w:pPr>
        <w:jc w:val="both"/>
      </w:pPr>
    </w:p>
    <w:p w:rsidR="00FB5C9E" w:rsidRPr="002C0C5E" w:rsidRDefault="00FB5C9E" w:rsidP="00FB5C9E">
      <w:pPr>
        <w:jc w:val="both"/>
        <w:rPr>
          <w:b/>
          <w:bCs/>
        </w:rPr>
      </w:pPr>
      <w:r w:rsidRPr="002C0C5E">
        <w:rPr>
          <w:b/>
          <w:bCs/>
        </w:rPr>
        <w:t>CO</w:t>
      </w:r>
      <w:r>
        <w:rPr>
          <w:b/>
          <w:bCs/>
        </w:rPr>
        <w:t>NT</w:t>
      </w:r>
      <w:r w:rsidRPr="002C0C5E">
        <w:rPr>
          <w:b/>
          <w:bCs/>
        </w:rPr>
        <w:t>ESTO GIURIDICO DI RIFERIMENTO</w:t>
      </w:r>
    </w:p>
    <w:p w:rsidR="00FB5C9E" w:rsidRPr="002C0C5E" w:rsidRDefault="00FB5C9E" w:rsidP="00FB5C9E">
      <w:pPr>
        <w:jc w:val="both"/>
      </w:pPr>
      <w:r w:rsidRPr="002C0C5E">
        <w:t>Le operazioni cimiteriali saranno svolte in conformità a quanto stabilito dal:</w:t>
      </w:r>
    </w:p>
    <w:p w:rsidR="00FB5C9E" w:rsidRPr="002C0C5E" w:rsidRDefault="00FB5C9E" w:rsidP="00FB5C9E">
      <w:pPr>
        <w:numPr>
          <w:ilvl w:val="0"/>
          <w:numId w:val="3"/>
        </w:numPr>
        <w:jc w:val="both"/>
      </w:pPr>
      <w:r w:rsidRPr="002C0C5E">
        <w:t xml:space="preserve">Titolo VI del Testo Unico delle Leggi Sanitarie n. 1265/34 e </w:t>
      </w:r>
      <w:proofErr w:type="spellStart"/>
      <w:r w:rsidRPr="002C0C5E">
        <w:t>s.m.i.</w:t>
      </w:r>
      <w:proofErr w:type="spellEnd"/>
      <w:r w:rsidRPr="002C0C5E">
        <w:t>;</w:t>
      </w:r>
    </w:p>
    <w:p w:rsidR="00FB5C9E" w:rsidRPr="002C0C5E" w:rsidRDefault="00FB5C9E" w:rsidP="00FB5C9E">
      <w:pPr>
        <w:numPr>
          <w:ilvl w:val="0"/>
          <w:numId w:val="3"/>
        </w:numPr>
        <w:jc w:val="both"/>
      </w:pPr>
      <w:r w:rsidRPr="002C0C5E">
        <w:t>D.P.R. n. 285/90 (Regolamento di Polizia Mortuaria);</w:t>
      </w:r>
    </w:p>
    <w:p w:rsidR="00FB5C9E" w:rsidRPr="002C0C5E" w:rsidRDefault="00FB5C9E" w:rsidP="00FB5C9E">
      <w:pPr>
        <w:numPr>
          <w:ilvl w:val="0"/>
          <w:numId w:val="3"/>
        </w:numPr>
        <w:jc w:val="both"/>
      </w:pPr>
      <w:r w:rsidRPr="002C0C5E">
        <w:t>Circolari del Ministero della Sanità n. 24/93 e n. 10/98;</w:t>
      </w:r>
    </w:p>
    <w:p w:rsidR="00FB5C9E" w:rsidRPr="002C0C5E" w:rsidRDefault="00FB5C9E" w:rsidP="00FB5C9E">
      <w:pPr>
        <w:numPr>
          <w:ilvl w:val="0"/>
          <w:numId w:val="3"/>
        </w:numPr>
        <w:jc w:val="both"/>
      </w:pPr>
      <w:r w:rsidRPr="002C0C5E">
        <w:t>Legge 130/2001;</w:t>
      </w:r>
    </w:p>
    <w:p w:rsidR="00FB5C9E" w:rsidRPr="002C0C5E" w:rsidRDefault="00FB5C9E" w:rsidP="00FB5C9E">
      <w:pPr>
        <w:numPr>
          <w:ilvl w:val="0"/>
          <w:numId w:val="3"/>
        </w:numPr>
        <w:jc w:val="both"/>
      </w:pPr>
      <w:r w:rsidRPr="002C0C5E">
        <w:t>Legislazione regionale in materia;</w:t>
      </w:r>
    </w:p>
    <w:p w:rsidR="00FB5C9E" w:rsidRPr="002C0C5E" w:rsidRDefault="00FB5C9E" w:rsidP="00FB5C9E">
      <w:pPr>
        <w:numPr>
          <w:ilvl w:val="0"/>
          <w:numId w:val="3"/>
        </w:numPr>
        <w:jc w:val="both"/>
      </w:pPr>
      <w:r w:rsidRPr="002C0C5E">
        <w:tab/>
        <w:t>Regolamento Comunale.</w:t>
      </w:r>
    </w:p>
    <w:p w:rsidR="00FB5C9E" w:rsidRDefault="00FB5C9E" w:rsidP="00FB5C9E">
      <w:pPr>
        <w:jc w:val="both"/>
        <w:rPr>
          <w:b/>
          <w:bCs/>
        </w:rPr>
      </w:pPr>
    </w:p>
    <w:p w:rsidR="00FB5C9E" w:rsidRPr="002C0C5E" w:rsidRDefault="00FB5C9E" w:rsidP="00FB5C9E">
      <w:pPr>
        <w:jc w:val="both"/>
      </w:pPr>
      <w:r w:rsidRPr="002C0C5E">
        <w:t>Al fine di ottemperare alle disposizioni d’igiene pubblica e di sicurezza, e nel rispetto del defunto e dei suoi familiari l’aggiudicatario contraente provvederà di norma all’esecuzione della sepoltura immediatamente o comunque nel più breve tempo possibile (es. subito dopo il ricevimento del defunto al cimitero) salvo casi eccezionali documentabili.</w:t>
      </w:r>
    </w:p>
    <w:p w:rsidR="00FB5C9E" w:rsidRPr="002C0C5E" w:rsidRDefault="00FB5C9E" w:rsidP="00FB5C9E">
      <w:pPr>
        <w:jc w:val="both"/>
      </w:pPr>
      <w:r w:rsidRPr="002C0C5E">
        <w:t xml:space="preserve">Ogni operazione </w:t>
      </w:r>
      <w:r>
        <w:t>sarà</w:t>
      </w:r>
      <w:r w:rsidRPr="002C0C5E">
        <w:t xml:space="preserve"> svolta:</w:t>
      </w:r>
    </w:p>
    <w:p w:rsidR="00FB5C9E" w:rsidRPr="002C0C5E" w:rsidRDefault="00FB5C9E" w:rsidP="00FB5C9E">
      <w:pPr>
        <w:numPr>
          <w:ilvl w:val="0"/>
          <w:numId w:val="4"/>
        </w:numPr>
        <w:jc w:val="both"/>
      </w:pPr>
      <w:r w:rsidRPr="002C0C5E">
        <w:t>garantendo la possibilità ai familiari di assistere alla sepoltura, in condizioni di sicurezza e decoro;</w:t>
      </w:r>
    </w:p>
    <w:p w:rsidR="00FB5C9E" w:rsidRPr="002C0C5E" w:rsidRDefault="00FB5C9E" w:rsidP="00FB5C9E">
      <w:pPr>
        <w:numPr>
          <w:ilvl w:val="0"/>
          <w:numId w:val="4"/>
        </w:numPr>
        <w:jc w:val="both"/>
      </w:pPr>
      <w:r w:rsidRPr="002C0C5E">
        <w:t>evitando esecuzioni frettolose;</w:t>
      </w:r>
    </w:p>
    <w:p w:rsidR="00FB5C9E" w:rsidRDefault="00FB5C9E" w:rsidP="00FB5C9E">
      <w:pPr>
        <w:numPr>
          <w:ilvl w:val="0"/>
          <w:numId w:val="4"/>
        </w:numPr>
        <w:jc w:val="both"/>
        <w:rPr>
          <w:b/>
          <w:bCs/>
        </w:rPr>
      </w:pPr>
      <w:r w:rsidRPr="002C0C5E">
        <w:t>rispettando le esigenze di raccoglimento dei familiari</w:t>
      </w:r>
      <w:r w:rsidRPr="002C0C5E">
        <w:rPr>
          <w:b/>
          <w:bCs/>
        </w:rPr>
        <w:t>.</w:t>
      </w:r>
    </w:p>
    <w:p w:rsidR="00FB5C9E" w:rsidRDefault="00FB5C9E" w:rsidP="00FB5C9E">
      <w:pPr>
        <w:jc w:val="both"/>
        <w:rPr>
          <w:b/>
          <w:bCs/>
        </w:rPr>
      </w:pPr>
    </w:p>
    <w:p w:rsidR="00FB5C9E" w:rsidRDefault="00FB5C9E" w:rsidP="00FB5C9E">
      <w:pPr>
        <w:jc w:val="both"/>
        <w:rPr>
          <w:b/>
          <w:bCs/>
        </w:rPr>
      </w:pPr>
      <w:r>
        <w:rPr>
          <w:b/>
          <w:bCs/>
        </w:rPr>
        <w:t xml:space="preserve">PROSPETTO ECONOMICO – PIANO FINANZIARIO </w:t>
      </w:r>
    </w:p>
    <w:p w:rsidR="00FB5C9E" w:rsidRDefault="00FB5C9E" w:rsidP="00FB5C9E">
      <w:pPr>
        <w:jc w:val="both"/>
      </w:pPr>
      <w:r>
        <w:t xml:space="preserve">La durata dell’appalto prevista è di anni tre, con decorrenza prevista dal mese di </w:t>
      </w:r>
      <w:proofErr w:type="gramStart"/>
      <w:r>
        <w:t>Settembre</w:t>
      </w:r>
      <w:proofErr w:type="gramEnd"/>
      <w:r>
        <w:t xml:space="preserve"> 2020 al mese di Agosto 2023. </w:t>
      </w:r>
    </w:p>
    <w:p w:rsidR="00FB5C9E" w:rsidRDefault="00FB5C9E" w:rsidP="00FB5C9E">
      <w:pPr>
        <w:jc w:val="both"/>
      </w:pPr>
      <w:r>
        <w:t xml:space="preserve">Il rapporto di affidamento dei servizi prevede che l’importo corrisposto all’aggiudicatario contraente sarà calcolato sulla base del numero e dalla tipologia delle operazioni cimiteriali effettuate, nonché sulla base della tabella “tariffe” in appresso riportata; </w:t>
      </w:r>
    </w:p>
    <w:p w:rsidR="00FB5C9E" w:rsidRDefault="00FB5C9E" w:rsidP="00FB5C9E">
      <w:pPr>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1679"/>
        <w:gridCol w:w="3493"/>
        <w:gridCol w:w="1261"/>
      </w:tblGrid>
      <w:tr w:rsidR="00FB5C9E" w:rsidRPr="0072742C" w:rsidTr="00A8185C">
        <w:tc>
          <w:tcPr>
            <w:tcW w:w="4536" w:type="dxa"/>
            <w:gridSpan w:val="2"/>
            <w:shd w:val="clear" w:color="auto" w:fill="BFBFBF"/>
          </w:tcPr>
          <w:p w:rsidR="00FB5C9E" w:rsidRPr="00C05F07" w:rsidRDefault="00FB5C9E" w:rsidP="00A8185C">
            <w:pPr>
              <w:autoSpaceDE w:val="0"/>
              <w:autoSpaceDN w:val="0"/>
              <w:adjustRightInd w:val="0"/>
              <w:jc w:val="center"/>
              <w:rPr>
                <w:sz w:val="22"/>
                <w:szCs w:val="22"/>
              </w:rPr>
            </w:pPr>
            <w:r w:rsidRPr="00C05F07">
              <w:rPr>
                <w:sz w:val="22"/>
                <w:szCs w:val="22"/>
              </w:rPr>
              <w:t>ELENCO TARIFFE</w:t>
            </w:r>
          </w:p>
          <w:p w:rsidR="00FB5C9E" w:rsidRPr="00C05F07" w:rsidRDefault="00FB5C9E" w:rsidP="00A8185C">
            <w:pPr>
              <w:autoSpaceDE w:val="0"/>
              <w:autoSpaceDN w:val="0"/>
              <w:adjustRightInd w:val="0"/>
              <w:jc w:val="center"/>
              <w:rPr>
                <w:sz w:val="22"/>
                <w:szCs w:val="22"/>
              </w:rPr>
            </w:pPr>
            <w:r w:rsidRPr="00C05F07">
              <w:rPr>
                <w:sz w:val="22"/>
                <w:szCs w:val="22"/>
              </w:rPr>
              <w:t>Per operazioni necroscopiche</w:t>
            </w:r>
          </w:p>
        </w:tc>
        <w:tc>
          <w:tcPr>
            <w:tcW w:w="4819" w:type="dxa"/>
            <w:gridSpan w:val="2"/>
            <w:shd w:val="clear" w:color="auto" w:fill="BFBFBF"/>
          </w:tcPr>
          <w:p w:rsidR="00FB5C9E" w:rsidRPr="00C05F07" w:rsidRDefault="00FB5C9E" w:rsidP="00A8185C">
            <w:pPr>
              <w:autoSpaceDE w:val="0"/>
              <w:autoSpaceDN w:val="0"/>
              <w:adjustRightInd w:val="0"/>
              <w:jc w:val="center"/>
              <w:rPr>
                <w:sz w:val="22"/>
                <w:szCs w:val="22"/>
              </w:rPr>
            </w:pPr>
            <w:r w:rsidRPr="00C05F07">
              <w:rPr>
                <w:sz w:val="22"/>
                <w:szCs w:val="22"/>
              </w:rPr>
              <w:t>ELENCO TARIFFE</w:t>
            </w:r>
          </w:p>
          <w:p w:rsidR="00FB5C9E" w:rsidRPr="00C05F07" w:rsidRDefault="00FB5C9E" w:rsidP="00A8185C">
            <w:pPr>
              <w:autoSpaceDE w:val="0"/>
              <w:autoSpaceDN w:val="0"/>
              <w:adjustRightInd w:val="0"/>
              <w:jc w:val="center"/>
              <w:rPr>
                <w:sz w:val="22"/>
                <w:szCs w:val="22"/>
              </w:rPr>
            </w:pPr>
            <w:r w:rsidRPr="00C05F07">
              <w:rPr>
                <w:sz w:val="22"/>
                <w:szCs w:val="22"/>
              </w:rPr>
              <w:t>Per trasporto e smaltimento rifiuti</w:t>
            </w:r>
          </w:p>
        </w:tc>
      </w:tr>
      <w:tr w:rsidR="00FB5C9E" w:rsidRPr="0072742C" w:rsidTr="00A8185C">
        <w:tc>
          <w:tcPr>
            <w:tcW w:w="2835" w:type="dxa"/>
          </w:tcPr>
          <w:p w:rsidR="00FB5C9E" w:rsidRPr="00C05F07" w:rsidRDefault="00FB5C9E" w:rsidP="00A8185C">
            <w:pPr>
              <w:autoSpaceDE w:val="0"/>
              <w:autoSpaceDN w:val="0"/>
              <w:adjustRightInd w:val="0"/>
              <w:jc w:val="both"/>
              <w:rPr>
                <w:sz w:val="22"/>
                <w:szCs w:val="22"/>
              </w:rPr>
            </w:pPr>
            <w:r w:rsidRPr="00C05F07">
              <w:rPr>
                <w:bCs/>
                <w:sz w:val="22"/>
                <w:szCs w:val="22"/>
              </w:rPr>
              <w:t>Scavo fossa, Inumazione e riempimento</w:t>
            </w:r>
          </w:p>
        </w:tc>
        <w:tc>
          <w:tcPr>
            <w:tcW w:w="1701" w:type="dxa"/>
          </w:tcPr>
          <w:p w:rsidR="00FB5C9E" w:rsidRPr="00C05F07" w:rsidRDefault="00FB5C9E" w:rsidP="00A8185C">
            <w:pPr>
              <w:autoSpaceDE w:val="0"/>
              <w:autoSpaceDN w:val="0"/>
              <w:adjustRightInd w:val="0"/>
              <w:jc w:val="both"/>
              <w:rPr>
                <w:sz w:val="22"/>
                <w:szCs w:val="22"/>
              </w:rPr>
            </w:pPr>
            <w:r w:rsidRPr="00C05F07">
              <w:rPr>
                <w:sz w:val="22"/>
                <w:szCs w:val="22"/>
              </w:rPr>
              <w:t>€ 300,00</w:t>
            </w:r>
          </w:p>
        </w:tc>
        <w:tc>
          <w:tcPr>
            <w:tcW w:w="3544" w:type="dxa"/>
          </w:tcPr>
          <w:p w:rsidR="00FB5C9E" w:rsidRPr="00C05F07" w:rsidRDefault="00FB5C9E" w:rsidP="00A8185C">
            <w:pPr>
              <w:autoSpaceDE w:val="0"/>
              <w:autoSpaceDN w:val="0"/>
              <w:adjustRightInd w:val="0"/>
              <w:jc w:val="both"/>
              <w:rPr>
                <w:sz w:val="22"/>
                <w:szCs w:val="22"/>
              </w:rPr>
            </w:pPr>
            <w:r w:rsidRPr="00C05F07">
              <w:rPr>
                <w:sz w:val="22"/>
                <w:szCs w:val="22"/>
              </w:rPr>
              <w:t>Rifiuti da Inumazione, (raccolta e stoccaggio in BAG)</w:t>
            </w:r>
          </w:p>
        </w:tc>
        <w:tc>
          <w:tcPr>
            <w:tcW w:w="1275" w:type="dxa"/>
          </w:tcPr>
          <w:p w:rsidR="00FB5C9E" w:rsidRPr="00C05F07" w:rsidRDefault="00FB5C9E" w:rsidP="00A8185C">
            <w:pPr>
              <w:autoSpaceDE w:val="0"/>
              <w:autoSpaceDN w:val="0"/>
              <w:adjustRightInd w:val="0"/>
              <w:jc w:val="both"/>
              <w:rPr>
                <w:sz w:val="22"/>
                <w:szCs w:val="22"/>
              </w:rPr>
            </w:pPr>
            <w:r w:rsidRPr="00C05F07">
              <w:rPr>
                <w:sz w:val="22"/>
                <w:szCs w:val="22"/>
              </w:rPr>
              <w:t>€ 10,00</w:t>
            </w:r>
          </w:p>
        </w:tc>
      </w:tr>
      <w:tr w:rsidR="00FB5C9E" w:rsidRPr="0072742C" w:rsidTr="00A8185C">
        <w:tc>
          <w:tcPr>
            <w:tcW w:w="2835" w:type="dxa"/>
          </w:tcPr>
          <w:p w:rsidR="00FB5C9E" w:rsidRPr="00C05F07" w:rsidRDefault="00FB5C9E" w:rsidP="00A8185C">
            <w:pPr>
              <w:autoSpaceDE w:val="0"/>
              <w:autoSpaceDN w:val="0"/>
              <w:adjustRightInd w:val="0"/>
              <w:jc w:val="both"/>
              <w:rPr>
                <w:sz w:val="22"/>
                <w:szCs w:val="22"/>
              </w:rPr>
            </w:pPr>
            <w:r w:rsidRPr="00C05F07">
              <w:rPr>
                <w:bCs/>
                <w:sz w:val="22"/>
                <w:szCs w:val="22"/>
              </w:rPr>
              <w:t>L’esumazione da fossa</w:t>
            </w:r>
          </w:p>
        </w:tc>
        <w:tc>
          <w:tcPr>
            <w:tcW w:w="1701" w:type="dxa"/>
          </w:tcPr>
          <w:p w:rsidR="00FB5C9E" w:rsidRPr="00C05F07" w:rsidRDefault="00FB5C9E" w:rsidP="00A8185C">
            <w:pPr>
              <w:autoSpaceDE w:val="0"/>
              <w:autoSpaceDN w:val="0"/>
              <w:adjustRightInd w:val="0"/>
              <w:jc w:val="both"/>
              <w:rPr>
                <w:sz w:val="22"/>
                <w:szCs w:val="22"/>
              </w:rPr>
            </w:pPr>
            <w:r w:rsidRPr="00C05F07">
              <w:rPr>
                <w:sz w:val="22"/>
                <w:szCs w:val="22"/>
              </w:rPr>
              <w:t>€ 190,00</w:t>
            </w:r>
          </w:p>
        </w:tc>
        <w:tc>
          <w:tcPr>
            <w:tcW w:w="3544" w:type="dxa"/>
          </w:tcPr>
          <w:p w:rsidR="00FB5C9E" w:rsidRPr="00C05F07" w:rsidRDefault="00FB5C9E" w:rsidP="00A8185C">
            <w:pPr>
              <w:autoSpaceDE w:val="0"/>
              <w:autoSpaceDN w:val="0"/>
              <w:adjustRightInd w:val="0"/>
              <w:jc w:val="both"/>
              <w:rPr>
                <w:sz w:val="22"/>
                <w:szCs w:val="22"/>
              </w:rPr>
            </w:pPr>
            <w:r w:rsidRPr="00C05F07">
              <w:rPr>
                <w:sz w:val="22"/>
                <w:szCs w:val="22"/>
              </w:rPr>
              <w:t>Rifiuti da esumazione (raccolta e stoccaggio in BAG)</w:t>
            </w:r>
          </w:p>
        </w:tc>
        <w:tc>
          <w:tcPr>
            <w:tcW w:w="1275" w:type="dxa"/>
          </w:tcPr>
          <w:p w:rsidR="00FB5C9E" w:rsidRPr="00C05F07" w:rsidRDefault="00FB5C9E" w:rsidP="00A8185C">
            <w:pPr>
              <w:autoSpaceDE w:val="0"/>
              <w:autoSpaceDN w:val="0"/>
              <w:adjustRightInd w:val="0"/>
              <w:jc w:val="both"/>
              <w:rPr>
                <w:sz w:val="22"/>
                <w:szCs w:val="22"/>
              </w:rPr>
            </w:pPr>
            <w:r w:rsidRPr="00C05F07">
              <w:rPr>
                <w:sz w:val="22"/>
                <w:szCs w:val="22"/>
              </w:rPr>
              <w:t>€ 10,00</w:t>
            </w:r>
          </w:p>
        </w:tc>
      </w:tr>
      <w:tr w:rsidR="00FB5C9E" w:rsidRPr="0072742C" w:rsidTr="00A8185C">
        <w:tc>
          <w:tcPr>
            <w:tcW w:w="2835" w:type="dxa"/>
          </w:tcPr>
          <w:p w:rsidR="00FB5C9E" w:rsidRPr="00C05F07" w:rsidRDefault="00FB5C9E" w:rsidP="00A8185C">
            <w:pPr>
              <w:autoSpaceDE w:val="0"/>
              <w:autoSpaceDN w:val="0"/>
              <w:adjustRightInd w:val="0"/>
              <w:jc w:val="both"/>
              <w:rPr>
                <w:sz w:val="22"/>
                <w:szCs w:val="22"/>
              </w:rPr>
            </w:pPr>
            <w:r w:rsidRPr="00C05F07">
              <w:rPr>
                <w:bCs/>
                <w:sz w:val="22"/>
                <w:szCs w:val="22"/>
              </w:rPr>
              <w:t>Tumulazione (loculo piccolo)</w:t>
            </w:r>
          </w:p>
        </w:tc>
        <w:tc>
          <w:tcPr>
            <w:tcW w:w="1701" w:type="dxa"/>
          </w:tcPr>
          <w:p w:rsidR="00FB5C9E" w:rsidRPr="00C05F07" w:rsidRDefault="00FB5C9E" w:rsidP="00A8185C">
            <w:pPr>
              <w:autoSpaceDE w:val="0"/>
              <w:autoSpaceDN w:val="0"/>
              <w:adjustRightInd w:val="0"/>
              <w:jc w:val="both"/>
              <w:rPr>
                <w:sz w:val="22"/>
                <w:szCs w:val="22"/>
              </w:rPr>
            </w:pPr>
            <w:r w:rsidRPr="00C05F07">
              <w:rPr>
                <w:sz w:val="22"/>
                <w:szCs w:val="22"/>
              </w:rPr>
              <w:t>€ 130,00</w:t>
            </w:r>
          </w:p>
        </w:tc>
        <w:tc>
          <w:tcPr>
            <w:tcW w:w="3544" w:type="dxa"/>
          </w:tcPr>
          <w:p w:rsidR="00FB5C9E" w:rsidRPr="00C05F07" w:rsidRDefault="00FB5C9E" w:rsidP="00A8185C">
            <w:pPr>
              <w:autoSpaceDE w:val="0"/>
              <w:autoSpaceDN w:val="0"/>
              <w:adjustRightInd w:val="0"/>
              <w:jc w:val="both"/>
              <w:rPr>
                <w:sz w:val="22"/>
                <w:szCs w:val="22"/>
              </w:rPr>
            </w:pPr>
            <w:r w:rsidRPr="00C05F07">
              <w:rPr>
                <w:sz w:val="22"/>
                <w:szCs w:val="22"/>
              </w:rPr>
              <w:t>Rifiuti da tumulazione</w:t>
            </w:r>
            <w:r>
              <w:rPr>
                <w:sz w:val="22"/>
                <w:szCs w:val="22"/>
              </w:rPr>
              <w:t xml:space="preserve"> </w:t>
            </w:r>
            <w:r w:rsidRPr="00C05F07">
              <w:rPr>
                <w:sz w:val="22"/>
                <w:szCs w:val="22"/>
              </w:rPr>
              <w:t>(raccolta e stoccaggio in BAG)</w:t>
            </w:r>
          </w:p>
        </w:tc>
        <w:tc>
          <w:tcPr>
            <w:tcW w:w="1275" w:type="dxa"/>
          </w:tcPr>
          <w:p w:rsidR="00FB5C9E" w:rsidRPr="00C05F07" w:rsidRDefault="00FB5C9E" w:rsidP="00A8185C">
            <w:pPr>
              <w:autoSpaceDE w:val="0"/>
              <w:autoSpaceDN w:val="0"/>
              <w:adjustRightInd w:val="0"/>
              <w:jc w:val="both"/>
              <w:rPr>
                <w:sz w:val="22"/>
                <w:szCs w:val="22"/>
              </w:rPr>
            </w:pPr>
            <w:r w:rsidRPr="00C05F07">
              <w:rPr>
                <w:sz w:val="22"/>
                <w:szCs w:val="22"/>
              </w:rPr>
              <w:t>€ 7,00</w:t>
            </w:r>
          </w:p>
        </w:tc>
      </w:tr>
      <w:tr w:rsidR="00FB5C9E" w:rsidRPr="0072742C" w:rsidTr="00A8185C">
        <w:tc>
          <w:tcPr>
            <w:tcW w:w="2835" w:type="dxa"/>
          </w:tcPr>
          <w:p w:rsidR="00FB5C9E" w:rsidRPr="00C05F07" w:rsidRDefault="00FB5C9E" w:rsidP="00A8185C">
            <w:pPr>
              <w:autoSpaceDE w:val="0"/>
              <w:autoSpaceDN w:val="0"/>
              <w:adjustRightInd w:val="0"/>
              <w:jc w:val="both"/>
              <w:rPr>
                <w:sz w:val="22"/>
                <w:szCs w:val="22"/>
              </w:rPr>
            </w:pPr>
            <w:r w:rsidRPr="00C05F07">
              <w:rPr>
                <w:bCs/>
                <w:sz w:val="22"/>
                <w:szCs w:val="22"/>
              </w:rPr>
              <w:t>Tumulazione (TOMBA)</w:t>
            </w:r>
          </w:p>
        </w:tc>
        <w:tc>
          <w:tcPr>
            <w:tcW w:w="1701" w:type="dxa"/>
          </w:tcPr>
          <w:p w:rsidR="00FB5C9E" w:rsidRPr="00C05F07" w:rsidRDefault="00FB5C9E" w:rsidP="00A8185C">
            <w:pPr>
              <w:autoSpaceDE w:val="0"/>
              <w:autoSpaceDN w:val="0"/>
              <w:adjustRightInd w:val="0"/>
              <w:jc w:val="both"/>
              <w:rPr>
                <w:sz w:val="22"/>
                <w:szCs w:val="22"/>
              </w:rPr>
            </w:pPr>
            <w:r w:rsidRPr="00C05F07">
              <w:rPr>
                <w:sz w:val="22"/>
                <w:szCs w:val="22"/>
              </w:rPr>
              <w:t>€ 200,00</w:t>
            </w:r>
          </w:p>
        </w:tc>
        <w:tc>
          <w:tcPr>
            <w:tcW w:w="3544" w:type="dxa"/>
          </w:tcPr>
          <w:p w:rsidR="00FB5C9E" w:rsidRPr="00C05F07" w:rsidRDefault="00FB5C9E" w:rsidP="00A8185C">
            <w:pPr>
              <w:autoSpaceDE w:val="0"/>
              <w:autoSpaceDN w:val="0"/>
              <w:adjustRightInd w:val="0"/>
              <w:jc w:val="both"/>
              <w:rPr>
                <w:sz w:val="22"/>
                <w:szCs w:val="22"/>
              </w:rPr>
            </w:pPr>
            <w:r w:rsidRPr="00C05F07">
              <w:rPr>
                <w:sz w:val="22"/>
                <w:szCs w:val="22"/>
              </w:rPr>
              <w:t>Rifiuti da tumulazione</w:t>
            </w:r>
            <w:r>
              <w:rPr>
                <w:sz w:val="22"/>
                <w:szCs w:val="22"/>
              </w:rPr>
              <w:t xml:space="preserve"> </w:t>
            </w:r>
            <w:r w:rsidRPr="00C05F07">
              <w:rPr>
                <w:sz w:val="22"/>
                <w:szCs w:val="22"/>
              </w:rPr>
              <w:t>(raccolta e stoccaggio in BAG)</w:t>
            </w:r>
          </w:p>
        </w:tc>
        <w:tc>
          <w:tcPr>
            <w:tcW w:w="1275" w:type="dxa"/>
          </w:tcPr>
          <w:p w:rsidR="00FB5C9E" w:rsidRPr="00C05F07" w:rsidRDefault="00FB5C9E" w:rsidP="00A8185C">
            <w:pPr>
              <w:rPr>
                <w:sz w:val="22"/>
                <w:szCs w:val="22"/>
              </w:rPr>
            </w:pPr>
            <w:r w:rsidRPr="00C05F07">
              <w:rPr>
                <w:sz w:val="22"/>
                <w:szCs w:val="22"/>
              </w:rPr>
              <w:t>€ 7,00</w:t>
            </w:r>
          </w:p>
        </w:tc>
      </w:tr>
      <w:tr w:rsidR="00FB5C9E" w:rsidRPr="0072742C" w:rsidTr="00A8185C">
        <w:tc>
          <w:tcPr>
            <w:tcW w:w="2835" w:type="dxa"/>
          </w:tcPr>
          <w:p w:rsidR="00FB5C9E" w:rsidRPr="00C05F07" w:rsidRDefault="00FB5C9E" w:rsidP="00A8185C">
            <w:pPr>
              <w:autoSpaceDE w:val="0"/>
              <w:autoSpaceDN w:val="0"/>
              <w:adjustRightInd w:val="0"/>
              <w:jc w:val="both"/>
              <w:rPr>
                <w:sz w:val="22"/>
                <w:szCs w:val="22"/>
              </w:rPr>
            </w:pPr>
            <w:r w:rsidRPr="00C05F07">
              <w:rPr>
                <w:bCs/>
                <w:sz w:val="22"/>
                <w:szCs w:val="22"/>
              </w:rPr>
              <w:t>Estumulazione</w:t>
            </w:r>
          </w:p>
        </w:tc>
        <w:tc>
          <w:tcPr>
            <w:tcW w:w="1701" w:type="dxa"/>
          </w:tcPr>
          <w:p w:rsidR="00FB5C9E" w:rsidRPr="00C05F07" w:rsidRDefault="00FB5C9E" w:rsidP="00A8185C">
            <w:pPr>
              <w:autoSpaceDE w:val="0"/>
              <w:autoSpaceDN w:val="0"/>
              <w:adjustRightInd w:val="0"/>
              <w:jc w:val="both"/>
              <w:rPr>
                <w:sz w:val="22"/>
                <w:szCs w:val="22"/>
              </w:rPr>
            </w:pPr>
            <w:r w:rsidRPr="00C05F07">
              <w:rPr>
                <w:sz w:val="22"/>
                <w:szCs w:val="22"/>
              </w:rPr>
              <w:t>€ 130,00</w:t>
            </w:r>
          </w:p>
        </w:tc>
        <w:tc>
          <w:tcPr>
            <w:tcW w:w="3544" w:type="dxa"/>
          </w:tcPr>
          <w:p w:rsidR="00FB5C9E" w:rsidRPr="00C05F07" w:rsidRDefault="00FB5C9E" w:rsidP="00A8185C">
            <w:pPr>
              <w:autoSpaceDE w:val="0"/>
              <w:autoSpaceDN w:val="0"/>
              <w:adjustRightInd w:val="0"/>
              <w:jc w:val="both"/>
              <w:rPr>
                <w:sz w:val="22"/>
                <w:szCs w:val="22"/>
              </w:rPr>
            </w:pPr>
            <w:r w:rsidRPr="00C05F07">
              <w:rPr>
                <w:sz w:val="22"/>
                <w:szCs w:val="22"/>
              </w:rPr>
              <w:t>Rifiuti da estumulazione</w:t>
            </w:r>
            <w:r>
              <w:rPr>
                <w:sz w:val="22"/>
                <w:szCs w:val="22"/>
              </w:rPr>
              <w:t xml:space="preserve"> </w:t>
            </w:r>
            <w:r w:rsidRPr="00C05F07">
              <w:rPr>
                <w:sz w:val="22"/>
                <w:szCs w:val="22"/>
              </w:rPr>
              <w:t>(raccolta e stoccaggio in BAG)</w:t>
            </w:r>
          </w:p>
        </w:tc>
        <w:tc>
          <w:tcPr>
            <w:tcW w:w="1275" w:type="dxa"/>
          </w:tcPr>
          <w:p w:rsidR="00FB5C9E" w:rsidRPr="00C05F07" w:rsidRDefault="00FB5C9E" w:rsidP="00A8185C">
            <w:pPr>
              <w:rPr>
                <w:sz w:val="22"/>
                <w:szCs w:val="22"/>
              </w:rPr>
            </w:pPr>
            <w:r w:rsidRPr="00C05F07">
              <w:rPr>
                <w:sz w:val="22"/>
                <w:szCs w:val="22"/>
              </w:rPr>
              <w:t>€ 3,00</w:t>
            </w:r>
          </w:p>
        </w:tc>
      </w:tr>
      <w:tr w:rsidR="00FB5C9E" w:rsidRPr="0072742C" w:rsidTr="00A8185C">
        <w:trPr>
          <w:trHeight w:val="383"/>
        </w:trPr>
        <w:tc>
          <w:tcPr>
            <w:tcW w:w="2835" w:type="dxa"/>
            <w:vAlign w:val="center"/>
          </w:tcPr>
          <w:p w:rsidR="00FB5C9E" w:rsidRPr="00C05F07" w:rsidRDefault="00FB5C9E" w:rsidP="00A8185C">
            <w:pPr>
              <w:autoSpaceDE w:val="0"/>
              <w:autoSpaceDN w:val="0"/>
              <w:adjustRightInd w:val="0"/>
              <w:rPr>
                <w:bCs/>
                <w:sz w:val="22"/>
                <w:szCs w:val="22"/>
              </w:rPr>
            </w:pPr>
            <w:r w:rsidRPr="00C05F07">
              <w:rPr>
                <w:bCs/>
                <w:sz w:val="22"/>
                <w:szCs w:val="22"/>
              </w:rPr>
              <w:t>Traslazione</w:t>
            </w:r>
          </w:p>
        </w:tc>
        <w:tc>
          <w:tcPr>
            <w:tcW w:w="1701" w:type="dxa"/>
            <w:vAlign w:val="center"/>
          </w:tcPr>
          <w:p w:rsidR="00FB5C9E" w:rsidRPr="00C05F07" w:rsidRDefault="00FB5C9E" w:rsidP="00A8185C">
            <w:pPr>
              <w:autoSpaceDE w:val="0"/>
              <w:autoSpaceDN w:val="0"/>
              <w:adjustRightInd w:val="0"/>
              <w:rPr>
                <w:sz w:val="22"/>
                <w:szCs w:val="22"/>
              </w:rPr>
            </w:pPr>
            <w:r w:rsidRPr="00C05F07">
              <w:rPr>
                <w:sz w:val="22"/>
                <w:szCs w:val="22"/>
              </w:rPr>
              <w:t>€ 150,00</w:t>
            </w:r>
          </w:p>
        </w:tc>
        <w:tc>
          <w:tcPr>
            <w:tcW w:w="3544" w:type="dxa"/>
            <w:vAlign w:val="center"/>
          </w:tcPr>
          <w:p w:rsidR="00FB5C9E" w:rsidRPr="00C05F07" w:rsidRDefault="00FB5C9E" w:rsidP="00A8185C">
            <w:pPr>
              <w:rPr>
                <w:sz w:val="22"/>
                <w:szCs w:val="22"/>
              </w:rPr>
            </w:pPr>
          </w:p>
        </w:tc>
        <w:tc>
          <w:tcPr>
            <w:tcW w:w="1275" w:type="dxa"/>
            <w:vAlign w:val="center"/>
          </w:tcPr>
          <w:p w:rsidR="00FB5C9E" w:rsidRPr="00C05F07" w:rsidRDefault="00FB5C9E" w:rsidP="00A8185C">
            <w:pPr>
              <w:rPr>
                <w:sz w:val="22"/>
                <w:szCs w:val="22"/>
              </w:rPr>
            </w:pPr>
          </w:p>
        </w:tc>
      </w:tr>
    </w:tbl>
    <w:p w:rsidR="00FB5C9E" w:rsidRDefault="00FB5C9E" w:rsidP="00FB5C9E">
      <w:pPr>
        <w:jc w:val="both"/>
      </w:pPr>
      <w:r>
        <w:t xml:space="preserve">Il valore presunto dell’affidamento ammonta ad Euro </w:t>
      </w:r>
      <w:r w:rsidRPr="00735251">
        <w:t>8.890,00 (di cui Euro 1.955,80 per IVA al 22%)</w:t>
      </w:r>
      <w:r>
        <w:t xml:space="preserve"> annui. Detto importo è però </w:t>
      </w:r>
      <w:r w:rsidRPr="00166DAB">
        <w:t>indicativo e non vincolante per l’Amministrazione Comunale, essendo subordinato a circostanze non prevedibili</w:t>
      </w:r>
      <w:r>
        <w:t xml:space="preserve"> (numero dei decessi, numero delle operazioni effettuate e tipologia delle stesse” ed è stato calcolato sulla base dei dati “storici” in materia in possesso dell’Amministrazione Comunale. </w:t>
      </w:r>
    </w:p>
    <w:p w:rsidR="00FB5C9E" w:rsidRDefault="00FB5C9E" w:rsidP="00FB5C9E">
      <w:pPr>
        <w:jc w:val="both"/>
      </w:pPr>
      <w:r>
        <w:lastRenderedPageBreak/>
        <w:t xml:space="preserve">L’equilibrio economico-finanziario viene garantito essenzialmente dagli oneri posti a carico delle famiglie dei defunti, oneri che continueranno ad essere riscossi direttamente dal Comune di Cascia, il quale, con l’appalto dei servizi cimiteriali e funebri, resta l’unico gestore e concessionario dei Cimiteri Comunali. </w:t>
      </w:r>
    </w:p>
    <w:p w:rsidR="00FB5C9E" w:rsidRDefault="00FB5C9E" w:rsidP="00FB5C9E">
      <w:pPr>
        <w:jc w:val="both"/>
      </w:pPr>
      <w:r>
        <w:t xml:space="preserve">Il rapporto contrattuale che verrà instaurato con l’aggiudicatario contraente sarà disciplinato con apposito contratto di servizio. Detto rapporto giuridico non sarà in alcun modo configurato quale concessione ma sarà configurato come appalto di servizi. </w:t>
      </w:r>
    </w:p>
    <w:p w:rsidR="00FB5C9E" w:rsidRDefault="00FB5C9E" w:rsidP="00FB5C9E">
      <w:pPr>
        <w:jc w:val="both"/>
      </w:pPr>
    </w:p>
    <w:p w:rsidR="00FB5C9E" w:rsidRDefault="00FB5C9E" w:rsidP="00FB5C9E">
      <w:pPr>
        <w:jc w:val="both"/>
        <w:rPr>
          <w:b/>
          <w:bCs/>
        </w:rPr>
      </w:pPr>
      <w:r>
        <w:rPr>
          <w:b/>
          <w:bCs/>
        </w:rPr>
        <w:t>CAPITOLATO SPECIALE D’APPALTO</w:t>
      </w:r>
    </w:p>
    <w:p w:rsidR="00FB5C9E" w:rsidRDefault="00FB5C9E" w:rsidP="00FB5C9E">
      <w:pPr>
        <w:jc w:val="both"/>
      </w:pPr>
      <w:r w:rsidRPr="00DF22A5">
        <w:t>Il capitolato speciale e tutti gli atti di gara saranno predisposti dalle strutture amministrative preposte.</w:t>
      </w:r>
    </w:p>
    <w:p w:rsidR="00FB5C9E" w:rsidRDefault="00FB5C9E" w:rsidP="00FB5C9E">
      <w:pPr>
        <w:jc w:val="both"/>
      </w:pPr>
    </w:p>
    <w:p w:rsidR="00FB5C9E" w:rsidRDefault="00FB5C9E" w:rsidP="00FB5C9E">
      <w:pPr>
        <w:jc w:val="both"/>
        <w:rPr>
          <w:b/>
          <w:bCs/>
        </w:rPr>
      </w:pPr>
      <w:r>
        <w:rPr>
          <w:b/>
          <w:bCs/>
        </w:rPr>
        <w:t>Cascia, lì 23.07.2020</w:t>
      </w:r>
    </w:p>
    <w:p w:rsidR="00FB5C9E" w:rsidRDefault="00FB5C9E" w:rsidP="00FB5C9E">
      <w:pPr>
        <w:jc w:val="both"/>
      </w:pPr>
    </w:p>
    <w:sectPr w:rsidR="00FB5C9E">
      <w:headerReference w:type="default" r:id="rI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620" w:rsidRDefault="00FB5C9E" w:rsidP="00504102"/>
  <w:p w:rsidR="00504102" w:rsidRDefault="00FB5C9E" w:rsidP="00504102"/>
  <w:p w:rsidR="007B585B" w:rsidRDefault="00FB5C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175E"/>
    <w:multiLevelType w:val="hybridMultilevel"/>
    <w:tmpl w:val="6C125A3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1BA25C8A"/>
    <w:multiLevelType w:val="hybridMultilevel"/>
    <w:tmpl w:val="D256D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863809"/>
    <w:multiLevelType w:val="hybridMultilevel"/>
    <w:tmpl w:val="CB7026B4"/>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7D6853E0"/>
    <w:multiLevelType w:val="hybridMultilevel"/>
    <w:tmpl w:val="E552089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A77"/>
    <w:rsid w:val="009449ED"/>
    <w:rsid w:val="00D708BB"/>
    <w:rsid w:val="00F10A77"/>
    <w:rsid w:val="00FB5C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D7FF"/>
  <w15:chartTrackingRefBased/>
  <w15:docId w15:val="{8A600B0E-2981-48E0-8B2A-427DA282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5C9E"/>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B5C9E"/>
    <w:pPr>
      <w:tabs>
        <w:tab w:val="center" w:pos="4819"/>
        <w:tab w:val="right" w:pos="9638"/>
      </w:tabs>
    </w:pPr>
  </w:style>
  <w:style w:type="character" w:customStyle="1" w:styleId="IntestazioneCarattere">
    <w:name w:val="Intestazione Carattere"/>
    <w:basedOn w:val="Carpredefinitoparagrafo"/>
    <w:link w:val="Intestazione"/>
    <w:uiPriority w:val="99"/>
    <w:rsid w:val="00FB5C9E"/>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Nieddu</dc:creator>
  <cp:keywords/>
  <dc:description/>
  <cp:lastModifiedBy>Vincenzo Nieddu</cp:lastModifiedBy>
  <cp:revision>2</cp:revision>
  <dcterms:created xsi:type="dcterms:W3CDTF">2020-07-23T10:33:00Z</dcterms:created>
  <dcterms:modified xsi:type="dcterms:W3CDTF">2020-07-23T10:35:00Z</dcterms:modified>
</cp:coreProperties>
</file>