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E" w:rsidRPr="00E52670" w:rsidRDefault="004657BE" w:rsidP="004657BE">
      <w:pPr>
        <w:spacing w:after="0" w:line="240" w:lineRule="auto"/>
        <w:contextualSpacing/>
        <w:jc w:val="center"/>
        <w:rPr>
          <w:rFonts w:cstheme="minorHAnsi"/>
          <w:b/>
          <w:bCs/>
          <w:u w:val="single"/>
        </w:rPr>
      </w:pPr>
      <w:r w:rsidRPr="00E52670">
        <w:rPr>
          <w:rFonts w:cstheme="minorHAnsi"/>
          <w:b/>
          <w:bCs/>
          <w:u w:val="single"/>
        </w:rPr>
        <w:t>PROTOCOLLO D’INTESA</w:t>
      </w:r>
    </w:p>
    <w:p w:rsidR="004657BE" w:rsidRPr="00E52670" w:rsidRDefault="004657BE" w:rsidP="004657BE">
      <w:pPr>
        <w:spacing w:after="0" w:line="240" w:lineRule="auto"/>
        <w:contextualSpacing/>
        <w:jc w:val="center"/>
        <w:rPr>
          <w:rFonts w:cstheme="minorHAnsi"/>
          <w:b/>
          <w:bCs/>
          <w:u w:val="single"/>
        </w:rPr>
      </w:pPr>
      <w:r w:rsidRPr="00E52670">
        <w:rPr>
          <w:rFonts w:cstheme="minorHAnsi"/>
          <w:b/>
          <w:bCs/>
          <w:u w:val="single"/>
        </w:rPr>
        <w:t xml:space="preserve">PER LA REALIZZAZIONE </w:t>
      </w:r>
      <w:proofErr w:type="spellStart"/>
      <w:r w:rsidRPr="00E52670">
        <w:rPr>
          <w:rFonts w:cstheme="minorHAnsi"/>
          <w:b/>
          <w:bCs/>
          <w:u w:val="single"/>
        </w:rPr>
        <w:t>DI</w:t>
      </w:r>
      <w:proofErr w:type="spellEnd"/>
      <w:r w:rsidRPr="00E52670">
        <w:rPr>
          <w:rFonts w:cstheme="minorHAnsi"/>
          <w:b/>
          <w:bCs/>
          <w:u w:val="single"/>
        </w:rPr>
        <w:t xml:space="preserve"> UNA RETE </w:t>
      </w:r>
      <w:proofErr w:type="spellStart"/>
      <w:r w:rsidRPr="00E52670">
        <w:rPr>
          <w:rFonts w:cstheme="minorHAnsi"/>
          <w:b/>
          <w:bCs/>
          <w:u w:val="single"/>
        </w:rPr>
        <w:t>DI</w:t>
      </w:r>
      <w:proofErr w:type="spellEnd"/>
      <w:r w:rsidRPr="00E52670">
        <w:rPr>
          <w:rFonts w:cstheme="minorHAnsi"/>
          <w:b/>
          <w:bCs/>
          <w:u w:val="single"/>
        </w:rPr>
        <w:t xml:space="preserve"> RICARICA</w:t>
      </w: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4657BE" w:rsidRPr="00E52670" w:rsidRDefault="004657BE" w:rsidP="004657BE">
      <w:pPr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E52670">
        <w:rPr>
          <w:rFonts w:cstheme="minorHAnsi"/>
          <w:b/>
          <w:bCs/>
        </w:rPr>
        <w:t>Tra</w:t>
      </w: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  <w:b/>
          <w:bCs/>
        </w:rPr>
        <w:t xml:space="preserve">Enel X </w:t>
      </w:r>
      <w:proofErr w:type="spellStart"/>
      <w:r w:rsidRPr="00E52670">
        <w:rPr>
          <w:rFonts w:cstheme="minorHAnsi"/>
          <w:b/>
          <w:bCs/>
        </w:rPr>
        <w:t>Mobility</w:t>
      </w:r>
      <w:proofErr w:type="spellEnd"/>
      <w:r w:rsidRPr="00E52670">
        <w:rPr>
          <w:rFonts w:cstheme="minorHAnsi"/>
          <w:b/>
          <w:bCs/>
        </w:rPr>
        <w:t xml:space="preserve"> S.r.l., </w:t>
      </w:r>
      <w:r w:rsidRPr="00E52670">
        <w:rPr>
          <w:rFonts w:cstheme="minorHAnsi"/>
        </w:rPr>
        <w:t xml:space="preserve">sede legale in Roma, Viale di </w:t>
      </w:r>
      <w:proofErr w:type="spellStart"/>
      <w:r w:rsidRPr="00E52670">
        <w:rPr>
          <w:rFonts w:cstheme="minorHAnsi"/>
        </w:rPr>
        <w:t>Tor</w:t>
      </w:r>
      <w:proofErr w:type="spellEnd"/>
      <w:r w:rsidRPr="00E52670">
        <w:rPr>
          <w:rFonts w:cstheme="minorHAnsi"/>
        </w:rPr>
        <w:t xml:space="preserve"> di Quinto 45\47, Codice Fiscale 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Partita IVA 14553401002, avente socio unico Enel X S.r.l., Codice Fiscale e Partita IVA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09945270966, rappresentata da Alberto Piglia in qualità di presidente del consiglio di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amministrazione (di seguito più brevemente denominata “</w:t>
      </w:r>
      <w:r w:rsidRPr="00E52670">
        <w:rPr>
          <w:rFonts w:cstheme="minorHAnsi"/>
          <w:b/>
          <w:bCs/>
        </w:rPr>
        <w:t>Enel</w:t>
      </w:r>
      <w:r w:rsidRPr="00E52670">
        <w:rPr>
          <w:rFonts w:cstheme="minorHAnsi"/>
        </w:rPr>
        <w:t>”), – da una parte –</w:t>
      </w: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4657BE" w:rsidRPr="00E52670" w:rsidRDefault="004657BE" w:rsidP="004657BE">
      <w:pPr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E52670">
        <w:rPr>
          <w:rFonts w:cstheme="minorHAnsi"/>
          <w:b/>
          <w:bCs/>
        </w:rPr>
        <w:t>e</w:t>
      </w: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  <w:b/>
          <w:bCs/>
        </w:rPr>
        <w:t xml:space="preserve">Comune di </w:t>
      </w:r>
      <w:r>
        <w:rPr>
          <w:rFonts w:cstheme="minorHAnsi"/>
          <w:b/>
          <w:bCs/>
        </w:rPr>
        <w:t>Borgo Velino</w:t>
      </w:r>
      <w:r w:rsidRPr="00E52670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con sede legale in Piazza Umberto I 33, codice fiscale </w:t>
      </w:r>
      <w:r w:rsidRPr="00706F48">
        <w:rPr>
          <w:rFonts w:cstheme="minorHAnsi"/>
        </w:rPr>
        <w:t xml:space="preserve">00109190579, </w:t>
      </w:r>
      <w:r>
        <w:rPr>
          <w:rFonts w:cstheme="minorHAnsi"/>
        </w:rPr>
        <w:t xml:space="preserve"> </w:t>
      </w:r>
      <w:r w:rsidRPr="00706F48">
        <w:rPr>
          <w:rFonts w:cstheme="minorHAnsi"/>
        </w:rPr>
        <w:t>in questo atto ra</w:t>
      </w:r>
      <w:r>
        <w:rPr>
          <w:rFonts w:cstheme="minorHAnsi"/>
        </w:rPr>
        <w:t xml:space="preserve">ppresentato dall’Arch. Aldo </w:t>
      </w:r>
      <w:proofErr w:type="spellStart"/>
      <w:r>
        <w:rPr>
          <w:rFonts w:cstheme="minorHAnsi"/>
        </w:rPr>
        <w:t>Langone</w:t>
      </w:r>
      <w:proofErr w:type="spellEnd"/>
      <w:r w:rsidRPr="00706F48">
        <w:rPr>
          <w:rFonts w:cstheme="minorHAnsi"/>
        </w:rPr>
        <w:t xml:space="preserve"> in qualità di Procuratore Speciale domiciliato per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 xml:space="preserve">la carica ed ai fine del presente atto ove sopra (di seguito per brevità </w:t>
      </w:r>
      <w:r w:rsidRPr="00E52670">
        <w:rPr>
          <w:rFonts w:cstheme="minorHAnsi"/>
          <w:b/>
          <w:bCs/>
        </w:rPr>
        <w:t>COMUNE</w:t>
      </w:r>
      <w:r w:rsidRPr="00E52670">
        <w:rPr>
          <w:rFonts w:cstheme="minorHAnsi"/>
        </w:rPr>
        <w:t>) – dall’altra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parte –</w:t>
      </w: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Pr="00E52670" w:rsidRDefault="004657BE" w:rsidP="004657BE">
      <w:pPr>
        <w:spacing w:after="0" w:line="240" w:lineRule="auto"/>
        <w:contextualSpacing/>
        <w:jc w:val="center"/>
        <w:rPr>
          <w:rFonts w:cstheme="minorHAnsi"/>
        </w:rPr>
      </w:pPr>
      <w:r w:rsidRPr="00E52670">
        <w:rPr>
          <w:rFonts w:cstheme="minorHAnsi"/>
        </w:rPr>
        <w:t xml:space="preserve">di seguito definite congiuntamente le </w:t>
      </w:r>
      <w:r w:rsidRPr="00E52670">
        <w:rPr>
          <w:rFonts w:cstheme="minorHAnsi"/>
          <w:b/>
          <w:bCs/>
        </w:rPr>
        <w:t xml:space="preserve">“Parti” </w:t>
      </w:r>
      <w:r w:rsidRPr="00E52670">
        <w:rPr>
          <w:rFonts w:cstheme="minorHAnsi"/>
        </w:rPr>
        <w:t xml:space="preserve">e disgiuntamente la </w:t>
      </w:r>
      <w:r w:rsidRPr="00E52670">
        <w:rPr>
          <w:rFonts w:cstheme="minorHAnsi"/>
          <w:b/>
          <w:bCs/>
        </w:rPr>
        <w:t>“Parte”</w:t>
      </w:r>
      <w:r w:rsidRPr="00E52670">
        <w:rPr>
          <w:rFonts w:cstheme="minorHAnsi"/>
        </w:rPr>
        <w:t>.</w:t>
      </w: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4657BE" w:rsidRDefault="004657BE" w:rsidP="004657BE">
      <w:pPr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E52670">
        <w:rPr>
          <w:rFonts w:cstheme="minorHAnsi"/>
          <w:b/>
          <w:bCs/>
        </w:rPr>
        <w:t>PREMESSO CHE</w:t>
      </w:r>
    </w:p>
    <w:p w:rsidR="004657BE" w:rsidRPr="00E52670" w:rsidRDefault="004657BE" w:rsidP="004657BE">
      <w:pPr>
        <w:spacing w:after="0" w:line="240" w:lineRule="auto"/>
        <w:contextualSpacing/>
        <w:jc w:val="center"/>
        <w:rPr>
          <w:rFonts w:cstheme="minorHAnsi"/>
          <w:b/>
          <w:bCs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La mobilità urbana rappresenta, per l’Unione Europea, un fattore di crescita e occupazione,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oltre che un presupposto indispensabile per una politica di sviluppo sostenibile, tanto che la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Commissione Europea ha adottato nel 2011 il “Libro Bianco - Tabella di marcia verso uno spazio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unico europeo dei trasporti - Per una politica dei trasporti competitiva e sostenibile” allo scopo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di promuovere il dibattito sui grandi temi e criticità della mobilità e ricercare, in collaborazione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con tutte le parti interessate, soluzioni efficaci e percorribili per lo sviluppo di sistemi di mobilità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sostenibile;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In tutta Europa il trasporto continua a contribuire all’inquinamento atmosferico, all’aumento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delle emissioni di gas serra e a numerosi impatti ambientali, come è evidenziato nel rapporto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TERM 2011 (</w:t>
      </w:r>
      <w:proofErr w:type="spellStart"/>
      <w:r w:rsidRPr="00E52670">
        <w:rPr>
          <w:rFonts w:cstheme="minorHAnsi"/>
        </w:rPr>
        <w:t>Transport</w:t>
      </w:r>
      <w:proofErr w:type="spellEnd"/>
      <w:r w:rsidRPr="00E52670">
        <w:rPr>
          <w:rFonts w:cstheme="minorHAnsi"/>
        </w:rPr>
        <w:t xml:space="preserve"> and </w:t>
      </w:r>
      <w:proofErr w:type="spellStart"/>
      <w:r w:rsidRPr="00E52670">
        <w:rPr>
          <w:rFonts w:cstheme="minorHAnsi"/>
        </w:rPr>
        <w:t>Environment</w:t>
      </w:r>
      <w:proofErr w:type="spellEnd"/>
      <w:r w:rsidRPr="00E52670">
        <w:rPr>
          <w:rFonts w:cstheme="minorHAnsi"/>
        </w:rPr>
        <w:t xml:space="preserve"> </w:t>
      </w:r>
      <w:proofErr w:type="spellStart"/>
      <w:r w:rsidRPr="00E52670">
        <w:rPr>
          <w:rFonts w:cstheme="minorHAnsi"/>
        </w:rPr>
        <w:t>Reporting</w:t>
      </w:r>
      <w:proofErr w:type="spellEnd"/>
      <w:r w:rsidRPr="00E52670">
        <w:rPr>
          <w:rFonts w:cstheme="minorHAnsi"/>
        </w:rPr>
        <w:t xml:space="preserve"> </w:t>
      </w:r>
      <w:proofErr w:type="spellStart"/>
      <w:r w:rsidRPr="00E52670">
        <w:rPr>
          <w:rFonts w:cstheme="minorHAnsi"/>
        </w:rPr>
        <w:t>Mechanism</w:t>
      </w:r>
      <w:proofErr w:type="spellEnd"/>
      <w:r w:rsidRPr="00E52670">
        <w:rPr>
          <w:rFonts w:cstheme="minorHAnsi"/>
        </w:rPr>
        <w:t>) “</w:t>
      </w:r>
      <w:proofErr w:type="spellStart"/>
      <w:r w:rsidRPr="00E52670">
        <w:rPr>
          <w:rFonts w:cstheme="minorHAnsi"/>
        </w:rPr>
        <w:t>Transport</w:t>
      </w:r>
      <w:proofErr w:type="spellEnd"/>
      <w:r w:rsidRPr="00E52670">
        <w:rPr>
          <w:rFonts w:cstheme="minorHAnsi"/>
        </w:rPr>
        <w:t xml:space="preserve"> </w:t>
      </w:r>
      <w:proofErr w:type="spellStart"/>
      <w:r w:rsidRPr="00E52670">
        <w:rPr>
          <w:rFonts w:cstheme="minorHAnsi"/>
        </w:rPr>
        <w:t>indicators</w:t>
      </w:r>
      <w:proofErr w:type="spellEnd"/>
      <w:r w:rsidRPr="00E52670">
        <w:rPr>
          <w:rFonts w:cstheme="minorHAnsi"/>
        </w:rPr>
        <w:t xml:space="preserve"> </w:t>
      </w:r>
      <w:proofErr w:type="spellStart"/>
      <w:r w:rsidRPr="00E52670">
        <w:rPr>
          <w:rFonts w:cstheme="minorHAnsi"/>
        </w:rPr>
        <w:t>tracking</w:t>
      </w:r>
      <w:proofErr w:type="spellEnd"/>
      <w:r>
        <w:rPr>
          <w:rFonts w:cstheme="minorHAnsi"/>
        </w:rPr>
        <w:t xml:space="preserve"> </w:t>
      </w:r>
      <w:r w:rsidRPr="00E52670">
        <w:rPr>
          <w:rFonts w:cstheme="minorHAnsi"/>
        </w:rPr>
        <w:t xml:space="preserve">progress </w:t>
      </w:r>
      <w:proofErr w:type="spellStart"/>
      <w:r w:rsidRPr="00E52670">
        <w:rPr>
          <w:rFonts w:cstheme="minorHAnsi"/>
        </w:rPr>
        <w:t>towards</w:t>
      </w:r>
      <w:proofErr w:type="spellEnd"/>
      <w:r w:rsidRPr="00E52670">
        <w:rPr>
          <w:rFonts w:cstheme="minorHAnsi"/>
        </w:rPr>
        <w:t xml:space="preserve"> </w:t>
      </w:r>
      <w:proofErr w:type="spellStart"/>
      <w:r w:rsidRPr="00E52670">
        <w:rPr>
          <w:rFonts w:cstheme="minorHAnsi"/>
        </w:rPr>
        <w:t>environmental</w:t>
      </w:r>
      <w:proofErr w:type="spellEnd"/>
      <w:r w:rsidRPr="00E52670">
        <w:rPr>
          <w:rFonts w:cstheme="minorHAnsi"/>
        </w:rPr>
        <w:t xml:space="preserve"> </w:t>
      </w:r>
      <w:proofErr w:type="spellStart"/>
      <w:r w:rsidRPr="00E52670">
        <w:rPr>
          <w:rFonts w:cstheme="minorHAnsi"/>
        </w:rPr>
        <w:t>targets</w:t>
      </w:r>
      <w:proofErr w:type="spellEnd"/>
      <w:r w:rsidRPr="00E52670">
        <w:rPr>
          <w:rFonts w:cstheme="minorHAnsi"/>
        </w:rPr>
        <w:t xml:space="preserve"> in </w:t>
      </w:r>
      <w:proofErr w:type="spellStart"/>
      <w:r w:rsidRPr="00E52670">
        <w:rPr>
          <w:rFonts w:cstheme="minorHAnsi"/>
        </w:rPr>
        <w:t>Europe</w:t>
      </w:r>
      <w:proofErr w:type="spellEnd"/>
      <w:r w:rsidRPr="00E52670">
        <w:rPr>
          <w:rFonts w:cstheme="minorHAnsi"/>
        </w:rPr>
        <w:t>” pubblicato dall’Agenzia Europea per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l’Ambiente EEA;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Il 28 aprile 2010 la Commissione europea ha inviato una comunicazione agli Stati membri –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COM(2010)186 – sollecitando interventi di riduzione delle emissioni nocive nell’atmosfera e di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ammodernamento dei sistemi stradali urbani ed extra-urbani ed indicando la realizzazione di reti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infrastrutturali per la ricarica di veicoli elettrici sui territori nazionali come obiettivo prioritario 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urgente nell’ottica di tutelare la salute e l’ambiente;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La Legge del 7 agosto 2012, n. 134 ha previsto, al Capo IV bis, disposizioni finalizzate a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favorire lo sviluppo della mobilità sostenibile, attraverso misure volte a favorire la realizzazione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di reti infrastrutturali per la ricarica dei veicoli alimentati ad energia elettrica e la sperimentazione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e la diffusione di flotte pubbliche e private di veicoli a basse emissioni complessive, con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particolare riguardo al contesto urbano, nonché l’acquisto di veicoli a trazione elettrica o ibrida;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Il Piano Nazionale Infrastrutturale per la ricarica dei veicoli alimentati ad energia elettrica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(approvato il 9 luglio 2013 ai sensi dell’art. 17-septies della succitata Legge n. 134/2012) e suoi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successivi aggiornamenti definisce le linee guida per garantire lo sviluppo unitario del servizio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di ricarica dei veicoli alimentati ad energia elettrica nel territorio nazionale, sulla base di criteri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oggettivi che tengono conto dell’effettivo fabbisogno presente nelle diverse realtà territoriali,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valutato sulla base dei concorrenti profili della congestione di traffico veicolare privato, della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criticità dell’inquinamento atmosferico e dello sviluppo della rete stradale urbana ed extraurbana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e di quella autostradale;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lastRenderedPageBreak/>
        <w:t>• Il 25 gennaio 2013 la Commissione europea ha emanato una proposta di “Direttiva sulla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realizzazione di una infrastruttura per i combustibili alternativi”;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La proposta di Direttiva suddetta contemplava un elenco organico di misure volte a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promuovere la diffusione sul mercato europeo dei combustibili alternativi, integrando altre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politiche mirate a ridurre il consumo di petrolio e le emissioni di gas serra nel settore dei trasporti;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L’assenza di un’infrastruttura per i combustibili alternativi e di specifiche tecniche comuni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per l’interfaccia veicolo-infrastruttura era considerata un ostacolo notevole alla diffusione sul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mercato dei combustibili alternativi e alla loro accettazione da parte dei consumatori;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La “Direttiva 2014/94/UE del Parlamento Europeo e del Consiglio del 22 ottobre 2014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 xml:space="preserve">(recepita con </w:t>
      </w:r>
      <w:proofErr w:type="spellStart"/>
      <w:r w:rsidRPr="00E52670">
        <w:rPr>
          <w:rFonts w:cstheme="minorHAnsi"/>
        </w:rPr>
        <w:t>D.Lgs</w:t>
      </w:r>
      <w:proofErr w:type="spellEnd"/>
      <w:r w:rsidRPr="00E52670">
        <w:rPr>
          <w:rFonts w:cstheme="minorHAnsi"/>
        </w:rPr>
        <w:t xml:space="preserve"> 257/2016) sulla realizzazione di un’infrastruttura per i combustibili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alternativi” stabilisce un quadro comune di misure per la realizzazione di un’infrastruttura per 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combustibili alternativi nell’Unione per ridurre al minimo la dipendenza dal petrolio e attenuare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l’impatto ambientale</w:t>
      </w:r>
      <w:r>
        <w:rPr>
          <w:rFonts w:cstheme="minorHAnsi"/>
        </w:rPr>
        <w:t xml:space="preserve"> nel settore dei trasporti;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La Direttiva suddetta stabilisce, altresì, requisiti minimi per la costruzione dell’infrastruttura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per i combustibili alternativi, inclusi i punti di ricarica per veicoli elettrici e i punti di rifornimento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di gas naturale (GNL e GNC) e idrogeno, da attuarsi mediante i quadri strategici nazionali degli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Stati membri, nonché le specifiche tecniche comuni per tali punti di ricarica e di rifornimento, 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requisiti concernenti le informazioni agli utenti;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L’elettricità è un combustibile pulito, idoneo in particolare a favorire la diffusione dei veicoli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ad alimentazione elettrica, compresi quelli a due ruote, negli agglomerati urbani con vantaggi in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termini di miglioramento della qualità dell’aria e riduzione dell’inquinamento acustico;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Le Parti considerano obiettivi prioritari il risanamento e la tutela della qualità dell’aria, tenuto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conto delle importanti implicazioni sulla salute dei cittadini e sull’ambiente;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Le Parti riconoscono che la mobilità elettrica presenta grandi potenzialità in termini di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riduzione dell’inquinamento sia atmosferico che acustico e offre la possibilità di numerose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applicazioni a livello cittadino, tra le quali la mobilità privata su due e quattro ruote, il trasporto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pubblico, la logistica, la gestione delle flotte;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Enel considera la mobilità elettrica una significativa opportunità per lo sviluppo sostenibile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nel settore dei trasporti e ha avviato un ampio programma di ricerca e di investimenti al fine di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supportarne l’affermazione e la crescita nel medio termine;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>• Il Gruppo Enel ha ideato un sistema di infrastrutture intelligenti per la ricarica dei veicoli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 xml:space="preserve">elettrici (di seguito </w:t>
      </w:r>
      <w:proofErr w:type="spellStart"/>
      <w:r w:rsidRPr="00E52670">
        <w:rPr>
          <w:rFonts w:cstheme="minorHAnsi"/>
        </w:rPr>
        <w:t>IdR</w:t>
      </w:r>
      <w:proofErr w:type="spellEnd"/>
      <w:r w:rsidRPr="00E52670">
        <w:rPr>
          <w:rFonts w:cstheme="minorHAnsi"/>
        </w:rPr>
        <w:t xml:space="preserve">) composto da diversi modelli: “EV </w:t>
      </w:r>
      <w:proofErr w:type="spellStart"/>
      <w:r w:rsidRPr="00E52670">
        <w:rPr>
          <w:rFonts w:cstheme="minorHAnsi"/>
        </w:rPr>
        <w:t>Charging</w:t>
      </w:r>
      <w:proofErr w:type="spellEnd"/>
      <w:r w:rsidRPr="00E52670">
        <w:rPr>
          <w:rFonts w:cstheme="minorHAnsi"/>
        </w:rPr>
        <w:t xml:space="preserve"> </w:t>
      </w:r>
      <w:proofErr w:type="spellStart"/>
      <w:r w:rsidRPr="00E52670">
        <w:rPr>
          <w:rFonts w:cstheme="minorHAnsi"/>
        </w:rPr>
        <w:t>Stations</w:t>
      </w:r>
      <w:proofErr w:type="spellEnd"/>
      <w:r w:rsidRPr="00E52670">
        <w:rPr>
          <w:rFonts w:cstheme="minorHAnsi"/>
        </w:rPr>
        <w:t>”, ovvero “Pole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 xml:space="preserve">Station”, “Box Station”, “Fast </w:t>
      </w:r>
      <w:proofErr w:type="spellStart"/>
      <w:r w:rsidRPr="00E52670">
        <w:rPr>
          <w:rFonts w:cstheme="minorHAnsi"/>
        </w:rPr>
        <w:t>Recharge</w:t>
      </w:r>
      <w:proofErr w:type="spellEnd"/>
      <w:r w:rsidRPr="00E52670">
        <w:rPr>
          <w:rFonts w:cstheme="minorHAnsi"/>
        </w:rPr>
        <w:t xml:space="preserve">”,”Fast </w:t>
      </w:r>
      <w:proofErr w:type="spellStart"/>
      <w:r w:rsidRPr="00E52670">
        <w:rPr>
          <w:rFonts w:cstheme="minorHAnsi"/>
        </w:rPr>
        <w:t>Recharge</w:t>
      </w:r>
      <w:proofErr w:type="spellEnd"/>
      <w:r w:rsidRPr="00E52670">
        <w:rPr>
          <w:rFonts w:cstheme="minorHAnsi"/>
        </w:rPr>
        <w:t xml:space="preserve"> Plus”, “V2G Station”;</w:t>
      </w: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</w:p>
    <w:p w:rsidR="004657BE" w:rsidRPr="00E52670" w:rsidRDefault="004657BE" w:rsidP="004657BE">
      <w:pPr>
        <w:spacing w:after="0" w:line="240" w:lineRule="auto"/>
        <w:contextualSpacing/>
        <w:jc w:val="both"/>
        <w:rPr>
          <w:rFonts w:cstheme="minorHAnsi"/>
        </w:rPr>
      </w:pPr>
      <w:r w:rsidRPr="00E52670">
        <w:rPr>
          <w:rFonts w:cstheme="minorHAnsi"/>
        </w:rPr>
        <w:t xml:space="preserve">• Tutti i modelli di </w:t>
      </w:r>
      <w:proofErr w:type="spellStart"/>
      <w:r w:rsidRPr="00E52670">
        <w:rPr>
          <w:rFonts w:cstheme="minorHAnsi"/>
        </w:rPr>
        <w:t>IdR</w:t>
      </w:r>
      <w:proofErr w:type="spellEnd"/>
      <w:r w:rsidRPr="00E52670">
        <w:rPr>
          <w:rFonts w:cstheme="minorHAnsi"/>
        </w:rPr>
        <w:t xml:space="preserve"> sono gestiti con le più avanzate tecnologie informatiche per il controllo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e la gestione remota (“</w:t>
      </w:r>
      <w:proofErr w:type="spellStart"/>
      <w:r w:rsidRPr="00E52670">
        <w:rPr>
          <w:rFonts w:cstheme="minorHAnsi"/>
        </w:rPr>
        <w:t>Electric</w:t>
      </w:r>
      <w:proofErr w:type="spellEnd"/>
      <w:r w:rsidRPr="00E52670">
        <w:rPr>
          <w:rFonts w:cstheme="minorHAnsi"/>
        </w:rPr>
        <w:t xml:space="preserve"> </w:t>
      </w:r>
      <w:proofErr w:type="spellStart"/>
      <w:r w:rsidRPr="00E52670">
        <w:rPr>
          <w:rFonts w:cstheme="minorHAnsi"/>
        </w:rPr>
        <w:t>Mobility</w:t>
      </w:r>
      <w:proofErr w:type="spellEnd"/>
      <w:r w:rsidRPr="00E52670">
        <w:rPr>
          <w:rFonts w:cstheme="minorHAnsi"/>
        </w:rPr>
        <w:t xml:space="preserve"> Management”) e in grado di rispondere alle attuali e</w:t>
      </w:r>
      <w:r>
        <w:rPr>
          <w:rFonts w:cstheme="minorHAnsi"/>
        </w:rPr>
        <w:t xml:space="preserve"> </w:t>
      </w:r>
      <w:r w:rsidRPr="00E52670">
        <w:rPr>
          <w:rFonts w:cstheme="minorHAnsi"/>
        </w:rPr>
        <w:t>future esigenze di una mobilità urbana evoluta e sostenibile.</w:t>
      </w:r>
    </w:p>
    <w:p w:rsidR="004657BE" w:rsidRDefault="004657BE" w:rsidP="004657B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8B1DEB" w:rsidRDefault="008B1DEB"/>
    <w:sectPr w:rsidR="008B1DEB" w:rsidSect="008B1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savePreviewPicture/>
  <w:compat/>
  <w:rsids>
    <w:rsidRoot w:val="004657BE"/>
    <w:rsid w:val="004657BE"/>
    <w:rsid w:val="008B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7BE"/>
    <w:rPr>
      <w:rFonts w:eastAsia="MS Minch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 Tec 01</dc:creator>
  <cp:lastModifiedBy>Uff Tec 01</cp:lastModifiedBy>
  <cp:revision>1</cp:revision>
  <dcterms:created xsi:type="dcterms:W3CDTF">2018-10-26T11:37:00Z</dcterms:created>
  <dcterms:modified xsi:type="dcterms:W3CDTF">2018-10-26T11:37:00Z</dcterms:modified>
</cp:coreProperties>
</file>