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7404"/>
      </w:tblGrid>
      <w:tr w:rsidR="00455272" w:rsidRPr="00345164" w14:paraId="53791DF2" w14:textId="77777777" w:rsidTr="007B7FAF">
        <w:tc>
          <w:tcPr>
            <w:tcW w:w="2235" w:type="dxa"/>
            <w:shd w:val="clear" w:color="auto" w:fill="auto"/>
            <w:vAlign w:val="center"/>
          </w:tcPr>
          <w:p w14:paraId="3A3D3B90" w14:textId="6E0D5406" w:rsidR="007A024B" w:rsidRPr="00345164" w:rsidRDefault="000A0A4A" w:rsidP="007B7FAF">
            <w:pPr>
              <w:spacing w:line="276" w:lineRule="auto"/>
              <w:jc w:val="center"/>
              <w:rPr>
                <w:rFonts w:ascii="Corbel" w:hAnsi="Corbel"/>
                <w:sz w:val="32"/>
              </w:rPr>
            </w:pPr>
            <w:r>
              <w:rPr>
                <w:rFonts w:ascii="Corbel" w:hAnsi="Corbel"/>
                <w:sz w:val="32"/>
              </w:rPr>
              <w:t>66</w:t>
            </w:r>
            <w:r w:rsidR="00333A4C">
              <w:rPr>
                <w:rFonts w:ascii="Corbel" w:hAnsi="Corbel"/>
                <w:noProof/>
                <w:sz w:val="32"/>
                <w:lang w:eastAsia="it-IT"/>
              </w:rPr>
              <w:drawing>
                <wp:inline distT="0" distB="0" distL="0" distR="0" wp14:anchorId="2F0CEC8E" wp14:editId="1DDBE119">
                  <wp:extent cx="898498" cy="107032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3627" cy="1088343"/>
                          </a:xfrm>
                          <a:prstGeom prst="rect">
                            <a:avLst/>
                          </a:prstGeom>
                          <a:noFill/>
                          <a:ln>
                            <a:noFill/>
                          </a:ln>
                        </pic:spPr>
                      </pic:pic>
                    </a:graphicData>
                  </a:graphic>
                </wp:inline>
              </w:drawing>
            </w:r>
          </w:p>
        </w:tc>
        <w:tc>
          <w:tcPr>
            <w:tcW w:w="7507" w:type="dxa"/>
            <w:shd w:val="clear" w:color="auto" w:fill="auto"/>
          </w:tcPr>
          <w:p w14:paraId="5A22CAF1" w14:textId="3F94A991" w:rsidR="007A024B" w:rsidRPr="00345164" w:rsidRDefault="007A024B" w:rsidP="007B7FAF">
            <w:pPr>
              <w:spacing w:line="276" w:lineRule="auto"/>
              <w:rPr>
                <w:rFonts w:ascii="Corbel" w:hAnsi="Corbel"/>
                <w:b/>
                <w:sz w:val="44"/>
              </w:rPr>
            </w:pPr>
            <w:r w:rsidRPr="00345164">
              <w:rPr>
                <w:rFonts w:ascii="Corbel" w:hAnsi="Corbel"/>
                <w:b/>
                <w:sz w:val="44"/>
              </w:rPr>
              <w:t xml:space="preserve">Comune di </w:t>
            </w:r>
            <w:r w:rsidR="00333A4C">
              <w:rPr>
                <w:rFonts w:ascii="Corbel" w:hAnsi="Corbel"/>
                <w:b/>
                <w:sz w:val="44"/>
              </w:rPr>
              <w:t>Montalto delle Marche</w:t>
            </w:r>
          </w:p>
          <w:p w14:paraId="03D07245" w14:textId="77777777" w:rsidR="007A024B" w:rsidRPr="00345164" w:rsidRDefault="007A024B" w:rsidP="007B7FAF">
            <w:pPr>
              <w:spacing w:line="276" w:lineRule="auto"/>
              <w:rPr>
                <w:rFonts w:ascii="Corbel" w:hAnsi="Corbel"/>
                <w:b/>
                <w:sz w:val="28"/>
                <w:szCs w:val="16"/>
              </w:rPr>
            </w:pPr>
          </w:p>
          <w:p w14:paraId="4F56E417" w14:textId="36F470E5" w:rsidR="007A024B" w:rsidRPr="00A86FAA" w:rsidRDefault="00D61F9F" w:rsidP="007B7FAF">
            <w:pPr>
              <w:spacing w:line="276" w:lineRule="auto"/>
              <w:rPr>
                <w:rFonts w:ascii="Corbel" w:hAnsi="Corbel"/>
                <w:b/>
                <w:sz w:val="28"/>
                <w:szCs w:val="16"/>
              </w:rPr>
            </w:pPr>
            <w:r>
              <w:rPr>
                <w:rFonts w:ascii="Corbel" w:hAnsi="Corbel"/>
                <w:b/>
                <w:sz w:val="28"/>
                <w:szCs w:val="16"/>
              </w:rPr>
              <w:t>Provincia di</w:t>
            </w:r>
            <w:r w:rsidR="00954F9E">
              <w:rPr>
                <w:rFonts w:ascii="Corbel" w:hAnsi="Corbel"/>
                <w:b/>
                <w:sz w:val="28"/>
                <w:szCs w:val="16"/>
              </w:rPr>
              <w:t xml:space="preserve"> </w:t>
            </w:r>
            <w:r w:rsidR="00333A4C">
              <w:rPr>
                <w:rFonts w:ascii="Corbel" w:hAnsi="Corbel"/>
                <w:b/>
                <w:sz w:val="28"/>
                <w:szCs w:val="16"/>
              </w:rPr>
              <w:t>Ascoli Piceno</w:t>
            </w:r>
          </w:p>
        </w:tc>
      </w:tr>
    </w:tbl>
    <w:p w14:paraId="16F6867F" w14:textId="1F811499" w:rsidR="007A024B" w:rsidRDefault="007A024B" w:rsidP="007A024B">
      <w:pPr>
        <w:spacing w:line="276" w:lineRule="auto"/>
        <w:rPr>
          <w:rFonts w:ascii="Corbel" w:hAnsi="Corbel"/>
          <w:sz w:val="32"/>
        </w:rPr>
      </w:pPr>
    </w:p>
    <w:p w14:paraId="35FFFE76" w14:textId="5EB9DC4F" w:rsidR="00371C65" w:rsidRDefault="007B2977" w:rsidP="00371C65">
      <w:pPr>
        <w:spacing w:line="276" w:lineRule="auto"/>
        <w:jc w:val="center"/>
        <w:rPr>
          <w:rFonts w:ascii="Corbel" w:hAnsi="Corbel"/>
          <w:sz w:val="32"/>
        </w:rPr>
      </w:pPr>
      <w:r w:rsidRPr="007B2977">
        <w:rPr>
          <w:rFonts w:ascii="Corbel" w:hAnsi="Corbel"/>
          <w:sz w:val="32"/>
        </w:rPr>
        <w:t>Area</w:t>
      </w:r>
      <w:r>
        <w:rPr>
          <w:rFonts w:ascii="Corbel" w:hAnsi="Corbel"/>
          <w:sz w:val="32"/>
        </w:rPr>
        <w:t xml:space="preserve"> Amministrativa e Contabile </w:t>
      </w:r>
    </w:p>
    <w:p w14:paraId="48381610" w14:textId="77777777" w:rsidR="00371C65" w:rsidRDefault="00371C65" w:rsidP="00371C65">
      <w:pPr>
        <w:spacing w:line="276" w:lineRule="auto"/>
        <w:jc w:val="center"/>
        <w:rPr>
          <w:rFonts w:ascii="Corbel" w:hAnsi="Corbe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9406C" w14:paraId="7E3E88B4" w14:textId="77777777" w:rsidTr="0019406C">
        <w:tc>
          <w:tcPr>
            <w:tcW w:w="9742" w:type="dxa"/>
            <w:tcBorders>
              <w:top w:val="single" w:sz="4" w:space="0" w:color="auto"/>
              <w:left w:val="single" w:sz="4" w:space="0" w:color="auto"/>
              <w:bottom w:val="single" w:sz="4" w:space="0" w:color="auto"/>
              <w:right w:val="single" w:sz="4" w:space="0" w:color="auto"/>
            </w:tcBorders>
            <w:hideMark/>
          </w:tcPr>
          <w:p w14:paraId="0055FFAF" w14:textId="0574241D" w:rsidR="0019406C" w:rsidRDefault="0019406C" w:rsidP="000A0A4A">
            <w:pPr>
              <w:spacing w:line="276" w:lineRule="auto"/>
              <w:rPr>
                <w:rFonts w:ascii="Corbel" w:hAnsi="Corbel"/>
                <w:sz w:val="28"/>
                <w:szCs w:val="20"/>
              </w:rPr>
            </w:pPr>
            <w:r>
              <w:rPr>
                <w:rFonts w:ascii="Corbel" w:hAnsi="Corbel"/>
                <w:sz w:val="28"/>
                <w:szCs w:val="20"/>
              </w:rPr>
              <w:t xml:space="preserve">Allegato 2 alla Determinazione n. </w:t>
            </w:r>
            <w:r w:rsidR="000A0A4A">
              <w:rPr>
                <w:rFonts w:ascii="Corbel" w:hAnsi="Corbel"/>
                <w:sz w:val="28"/>
                <w:szCs w:val="20"/>
              </w:rPr>
              <w:t>66</w:t>
            </w:r>
            <w:r>
              <w:rPr>
                <w:rFonts w:ascii="Corbel" w:hAnsi="Corbel"/>
                <w:sz w:val="28"/>
                <w:szCs w:val="20"/>
              </w:rPr>
              <w:t xml:space="preserve"> del </w:t>
            </w:r>
            <w:r w:rsidR="000A0A4A">
              <w:rPr>
                <w:rFonts w:ascii="Corbel" w:hAnsi="Corbel"/>
                <w:sz w:val="28"/>
                <w:szCs w:val="20"/>
              </w:rPr>
              <w:t>16</w:t>
            </w:r>
            <w:r w:rsidR="00A904A8" w:rsidRPr="00A904A8">
              <w:rPr>
                <w:rFonts w:ascii="Corbel" w:hAnsi="Corbel"/>
                <w:sz w:val="28"/>
                <w:szCs w:val="20"/>
                <w:highlight w:val="yellow"/>
              </w:rPr>
              <w:t>/</w:t>
            </w:r>
            <w:r w:rsidR="000A0A4A">
              <w:rPr>
                <w:rFonts w:ascii="Corbel" w:hAnsi="Corbel"/>
                <w:sz w:val="28"/>
                <w:szCs w:val="20"/>
                <w:highlight w:val="yellow"/>
              </w:rPr>
              <w:t>06</w:t>
            </w:r>
            <w:r w:rsidR="00A904A8" w:rsidRPr="00A904A8">
              <w:rPr>
                <w:rFonts w:ascii="Corbel" w:hAnsi="Corbel"/>
                <w:sz w:val="28"/>
                <w:szCs w:val="20"/>
                <w:highlight w:val="yellow"/>
              </w:rPr>
              <w:t>/2021</w:t>
            </w:r>
          </w:p>
        </w:tc>
      </w:tr>
      <w:tr w:rsidR="0019406C" w14:paraId="290BC52F" w14:textId="77777777" w:rsidTr="0019406C">
        <w:tc>
          <w:tcPr>
            <w:tcW w:w="9742" w:type="dxa"/>
            <w:tcBorders>
              <w:top w:val="single" w:sz="4" w:space="0" w:color="auto"/>
              <w:left w:val="single" w:sz="4" w:space="0" w:color="auto"/>
              <w:bottom w:val="single" w:sz="4" w:space="0" w:color="auto"/>
              <w:right w:val="single" w:sz="4" w:space="0" w:color="auto"/>
            </w:tcBorders>
            <w:hideMark/>
          </w:tcPr>
          <w:p w14:paraId="400F6112" w14:textId="25041918" w:rsidR="0019406C" w:rsidRDefault="0019406C">
            <w:pPr>
              <w:spacing w:line="276" w:lineRule="auto"/>
              <w:rPr>
                <w:rFonts w:ascii="Corbel" w:hAnsi="Corbel"/>
                <w:sz w:val="28"/>
                <w:szCs w:val="20"/>
              </w:rPr>
            </w:pPr>
            <w:r>
              <w:rPr>
                <w:rFonts w:ascii="Corbel" w:hAnsi="Corbel"/>
                <w:b/>
                <w:bCs/>
                <w:sz w:val="28"/>
                <w:szCs w:val="20"/>
              </w:rPr>
              <w:t>Oggetto</w:t>
            </w:r>
            <w:r>
              <w:rPr>
                <w:rFonts w:ascii="Corbel" w:hAnsi="Corbel"/>
                <w:sz w:val="28"/>
                <w:szCs w:val="20"/>
              </w:rPr>
              <w:t>: PEF TARI 202</w:t>
            </w:r>
            <w:r w:rsidR="00A904A8">
              <w:rPr>
                <w:rFonts w:ascii="Corbel" w:hAnsi="Corbel"/>
                <w:sz w:val="28"/>
                <w:szCs w:val="20"/>
              </w:rPr>
              <w:t>1</w:t>
            </w:r>
            <w:r>
              <w:rPr>
                <w:rFonts w:ascii="Corbel" w:hAnsi="Corbel"/>
                <w:sz w:val="28"/>
                <w:szCs w:val="20"/>
              </w:rPr>
              <w:t xml:space="preserve"> – </w:t>
            </w:r>
            <w:r w:rsidR="00A904A8">
              <w:rPr>
                <w:rFonts w:ascii="Corbel" w:hAnsi="Corbel"/>
                <w:sz w:val="28"/>
                <w:szCs w:val="20"/>
              </w:rPr>
              <w:t xml:space="preserve">Relazione illustrativa dei costi del servizio </w:t>
            </w:r>
            <w:r w:rsidR="00A904A8" w:rsidRPr="009946D0">
              <w:rPr>
                <w:rFonts w:ascii="Corbel" w:hAnsi="Corbel"/>
                <w:color w:val="000000" w:themeColor="text1"/>
                <w:sz w:val="28"/>
                <w:szCs w:val="20"/>
              </w:rPr>
              <w:t xml:space="preserve">sostenuti direttamente dal Comune </w:t>
            </w:r>
            <w:r w:rsidR="00A904A8" w:rsidRPr="009765DD">
              <w:rPr>
                <w:rFonts w:ascii="Corbel" w:hAnsi="Corbel"/>
                <w:color w:val="000000" w:themeColor="text1"/>
                <w:sz w:val="28"/>
                <w:szCs w:val="20"/>
              </w:rPr>
              <w:t>nell’ambito</w:t>
            </w:r>
            <w:r w:rsidR="00A904A8">
              <w:rPr>
                <w:rFonts w:ascii="Corbel" w:hAnsi="Corbel"/>
                <w:color w:val="000000" w:themeColor="text1"/>
                <w:sz w:val="28"/>
                <w:szCs w:val="20"/>
              </w:rPr>
              <w:t xml:space="preserve"> </w:t>
            </w:r>
            <w:r w:rsidR="00A904A8" w:rsidRPr="0039078C">
              <w:rPr>
                <w:rFonts w:ascii="Corbel" w:hAnsi="Corbel"/>
                <w:color w:val="000000" w:themeColor="text1"/>
                <w:sz w:val="28"/>
                <w:szCs w:val="20"/>
              </w:rPr>
              <w:t>del perimetro di regolazione del MTR di ARERA</w:t>
            </w:r>
          </w:p>
        </w:tc>
      </w:tr>
    </w:tbl>
    <w:p w14:paraId="2C400F09" w14:textId="77777777" w:rsidR="0019406C" w:rsidRDefault="0019406C" w:rsidP="007A024B">
      <w:pPr>
        <w:spacing w:line="276" w:lineRule="auto"/>
        <w:rPr>
          <w:rFonts w:ascii="Corbel" w:hAnsi="Corbel"/>
          <w:sz w:val="36"/>
        </w:rPr>
      </w:pPr>
    </w:p>
    <w:sdt>
      <w:sdtPr>
        <w:rPr>
          <w:rFonts w:ascii="GlosaW01-HeadlineBold" w:eastAsiaTheme="minorHAnsi" w:hAnsi="GlosaW01-HeadlineBold" w:cstheme="minorBidi"/>
          <w:b/>
          <w:bCs/>
          <w:color w:val="auto"/>
          <w:sz w:val="22"/>
          <w:szCs w:val="22"/>
          <w:lang w:eastAsia="en-US"/>
        </w:rPr>
        <w:id w:val="-1345705511"/>
        <w:docPartObj>
          <w:docPartGallery w:val="Table of Contents"/>
          <w:docPartUnique/>
        </w:docPartObj>
      </w:sdtPr>
      <w:sdtEndPr/>
      <w:sdtContent>
        <w:p w14:paraId="21F8295F" w14:textId="77777777" w:rsidR="00E717B9" w:rsidRPr="00811FD2" w:rsidRDefault="00E717B9" w:rsidP="00E717B9">
          <w:pPr>
            <w:pStyle w:val="Titolosommario"/>
            <w:rPr>
              <w:rFonts w:ascii="GlosaW01-HeadlineBold" w:hAnsi="GlosaW01-HeadlineBold"/>
              <w:b/>
              <w:bCs/>
            </w:rPr>
          </w:pPr>
          <w:r w:rsidRPr="00811FD2">
            <w:rPr>
              <w:rFonts w:ascii="GlosaW01-HeadlineBold" w:hAnsi="GlosaW01-HeadlineBold"/>
              <w:b/>
              <w:bCs/>
            </w:rPr>
            <w:t>Indice</w:t>
          </w:r>
        </w:p>
        <w:p w14:paraId="4857E34C" w14:textId="77777777" w:rsidR="00E717B9" w:rsidRPr="00811FD2" w:rsidRDefault="00E717B9" w:rsidP="00E717B9">
          <w:pPr>
            <w:rPr>
              <w:lang w:eastAsia="it-IT"/>
            </w:rPr>
          </w:pPr>
        </w:p>
        <w:p w14:paraId="0A45A277" w14:textId="5732E80A" w:rsidR="004E1D6B" w:rsidRPr="004E1D6B" w:rsidRDefault="00E717B9">
          <w:pPr>
            <w:pStyle w:val="Sommario2"/>
            <w:rPr>
              <w:rFonts w:ascii="GlosaW01-HeadlineBold" w:eastAsiaTheme="minorEastAsia" w:hAnsi="GlosaW01-HeadlineBold"/>
              <w:lang w:eastAsia="it-IT"/>
            </w:rPr>
          </w:pPr>
          <w:r w:rsidRPr="00811FD2">
            <w:rPr>
              <w:rFonts w:ascii="GlosaW01-HeadlineBold" w:hAnsi="GlosaW01-HeadlineBold"/>
              <w:sz w:val="24"/>
              <w:szCs w:val="24"/>
            </w:rPr>
            <w:fldChar w:fldCharType="begin"/>
          </w:r>
          <w:r w:rsidRPr="00811FD2">
            <w:rPr>
              <w:rFonts w:ascii="GlosaW01-HeadlineBold" w:hAnsi="GlosaW01-HeadlineBold"/>
              <w:sz w:val="24"/>
              <w:szCs w:val="24"/>
            </w:rPr>
            <w:instrText xml:space="preserve"> TOC \o "1-3" \h \z \u </w:instrText>
          </w:r>
          <w:r w:rsidRPr="00811FD2">
            <w:rPr>
              <w:rFonts w:ascii="GlosaW01-HeadlineBold" w:hAnsi="GlosaW01-HeadlineBold"/>
              <w:sz w:val="24"/>
              <w:szCs w:val="24"/>
            </w:rPr>
            <w:fldChar w:fldCharType="separate"/>
          </w:r>
          <w:hyperlink w:anchor="_Toc74642235" w:history="1">
            <w:r w:rsidR="004E1D6B" w:rsidRPr="004E1D6B">
              <w:rPr>
                <w:rStyle w:val="Collegamentoipertestuale"/>
                <w:rFonts w:ascii="GlosaW01-HeadlineBold" w:hAnsi="GlosaW01-HeadlineBold"/>
              </w:rPr>
              <w:t>Introduzione</w:t>
            </w:r>
            <w:r w:rsidR="004E1D6B" w:rsidRPr="004E1D6B">
              <w:rPr>
                <w:rFonts w:ascii="GlosaW01-HeadlineBold" w:hAnsi="GlosaW01-HeadlineBold"/>
                <w:webHidden/>
              </w:rPr>
              <w:tab/>
            </w:r>
            <w:r w:rsidR="004E1D6B" w:rsidRPr="004E1D6B">
              <w:rPr>
                <w:rFonts w:ascii="GlosaW01-HeadlineBold" w:hAnsi="GlosaW01-HeadlineBold"/>
                <w:webHidden/>
              </w:rPr>
              <w:fldChar w:fldCharType="begin"/>
            </w:r>
            <w:r w:rsidR="004E1D6B" w:rsidRPr="004E1D6B">
              <w:rPr>
                <w:rFonts w:ascii="GlosaW01-HeadlineBold" w:hAnsi="GlosaW01-HeadlineBold"/>
                <w:webHidden/>
              </w:rPr>
              <w:instrText xml:space="preserve"> PAGEREF _Toc74642235 \h </w:instrText>
            </w:r>
            <w:r w:rsidR="004E1D6B" w:rsidRPr="004E1D6B">
              <w:rPr>
                <w:rFonts w:ascii="GlosaW01-HeadlineBold" w:hAnsi="GlosaW01-HeadlineBold"/>
                <w:webHidden/>
              </w:rPr>
            </w:r>
            <w:r w:rsidR="004E1D6B" w:rsidRPr="004E1D6B">
              <w:rPr>
                <w:rFonts w:ascii="GlosaW01-HeadlineBold" w:hAnsi="GlosaW01-HeadlineBold"/>
                <w:webHidden/>
              </w:rPr>
              <w:fldChar w:fldCharType="separate"/>
            </w:r>
            <w:r w:rsidR="004E1D6B" w:rsidRPr="004E1D6B">
              <w:rPr>
                <w:rFonts w:ascii="GlosaW01-HeadlineBold" w:hAnsi="GlosaW01-HeadlineBold"/>
                <w:webHidden/>
              </w:rPr>
              <w:t>2</w:t>
            </w:r>
            <w:r w:rsidR="004E1D6B" w:rsidRPr="004E1D6B">
              <w:rPr>
                <w:rFonts w:ascii="GlosaW01-HeadlineBold" w:hAnsi="GlosaW01-HeadlineBold"/>
                <w:webHidden/>
              </w:rPr>
              <w:fldChar w:fldCharType="end"/>
            </w:r>
          </w:hyperlink>
        </w:p>
        <w:p w14:paraId="2C765838" w14:textId="71093B7E" w:rsidR="004E1D6B" w:rsidRPr="004E1D6B" w:rsidRDefault="00CF0E89">
          <w:pPr>
            <w:pStyle w:val="Sommario2"/>
            <w:rPr>
              <w:rFonts w:ascii="GlosaW01-HeadlineBold" w:eastAsiaTheme="minorEastAsia" w:hAnsi="GlosaW01-HeadlineBold"/>
              <w:lang w:eastAsia="it-IT"/>
            </w:rPr>
          </w:pPr>
          <w:hyperlink w:anchor="_Toc74642236" w:history="1">
            <w:r w:rsidR="004E1D6B" w:rsidRPr="004E1D6B">
              <w:rPr>
                <w:rStyle w:val="Collegamentoipertestuale"/>
                <w:rFonts w:ascii="GlosaW01-HeadlineBold" w:hAnsi="GlosaW01-HeadlineBold"/>
              </w:rPr>
              <w:t>1. Perimetro della gestione e servizi forniti</w:t>
            </w:r>
            <w:r w:rsidR="004E1D6B" w:rsidRPr="004E1D6B">
              <w:rPr>
                <w:rFonts w:ascii="GlosaW01-HeadlineBold" w:hAnsi="GlosaW01-HeadlineBold"/>
                <w:webHidden/>
              </w:rPr>
              <w:tab/>
            </w:r>
            <w:r w:rsidR="004E1D6B" w:rsidRPr="004E1D6B">
              <w:rPr>
                <w:rFonts w:ascii="GlosaW01-HeadlineBold" w:hAnsi="GlosaW01-HeadlineBold"/>
                <w:webHidden/>
              </w:rPr>
              <w:fldChar w:fldCharType="begin"/>
            </w:r>
            <w:r w:rsidR="004E1D6B" w:rsidRPr="004E1D6B">
              <w:rPr>
                <w:rFonts w:ascii="GlosaW01-HeadlineBold" w:hAnsi="GlosaW01-HeadlineBold"/>
                <w:webHidden/>
              </w:rPr>
              <w:instrText xml:space="preserve"> PAGEREF _Toc74642236 \h </w:instrText>
            </w:r>
            <w:r w:rsidR="004E1D6B" w:rsidRPr="004E1D6B">
              <w:rPr>
                <w:rFonts w:ascii="GlosaW01-HeadlineBold" w:hAnsi="GlosaW01-HeadlineBold"/>
                <w:webHidden/>
              </w:rPr>
            </w:r>
            <w:r w:rsidR="004E1D6B" w:rsidRPr="004E1D6B">
              <w:rPr>
                <w:rFonts w:ascii="GlosaW01-HeadlineBold" w:hAnsi="GlosaW01-HeadlineBold"/>
                <w:webHidden/>
              </w:rPr>
              <w:fldChar w:fldCharType="separate"/>
            </w:r>
            <w:r w:rsidR="004E1D6B" w:rsidRPr="004E1D6B">
              <w:rPr>
                <w:rFonts w:ascii="GlosaW01-HeadlineBold" w:hAnsi="GlosaW01-HeadlineBold"/>
                <w:webHidden/>
              </w:rPr>
              <w:t>3</w:t>
            </w:r>
            <w:r w:rsidR="004E1D6B" w:rsidRPr="004E1D6B">
              <w:rPr>
                <w:rFonts w:ascii="GlosaW01-HeadlineBold" w:hAnsi="GlosaW01-HeadlineBold"/>
                <w:webHidden/>
              </w:rPr>
              <w:fldChar w:fldCharType="end"/>
            </w:r>
          </w:hyperlink>
        </w:p>
        <w:p w14:paraId="53231D88" w14:textId="255F9672" w:rsidR="004E1D6B" w:rsidRPr="004E1D6B" w:rsidRDefault="00CF0E89">
          <w:pPr>
            <w:pStyle w:val="Sommario3"/>
            <w:tabs>
              <w:tab w:val="right" w:leader="dot" w:pos="9628"/>
            </w:tabs>
            <w:rPr>
              <w:rFonts w:ascii="GlosaW01-HeadlineBold" w:eastAsiaTheme="minorEastAsia" w:hAnsi="GlosaW01-HeadlineBold"/>
              <w:noProof/>
              <w:lang w:eastAsia="it-IT"/>
            </w:rPr>
          </w:pPr>
          <w:hyperlink w:anchor="_Toc74642237" w:history="1">
            <w:r w:rsidR="004E1D6B" w:rsidRPr="004E1D6B">
              <w:rPr>
                <w:rStyle w:val="Collegamentoipertestuale"/>
                <w:rFonts w:ascii="GlosaW01-HeadlineBold" w:hAnsi="GlosaW01-HeadlineBold"/>
                <w:noProof/>
              </w:rPr>
              <w:t>1.1 Attività incluse nel perimetro gestionale</w:t>
            </w:r>
            <w:r w:rsidR="004E1D6B" w:rsidRPr="004E1D6B">
              <w:rPr>
                <w:rFonts w:ascii="GlosaW01-HeadlineBold" w:hAnsi="GlosaW01-HeadlineBold"/>
                <w:noProof/>
                <w:webHidden/>
              </w:rPr>
              <w:tab/>
            </w:r>
            <w:r w:rsidR="004E1D6B" w:rsidRPr="004E1D6B">
              <w:rPr>
                <w:rFonts w:ascii="GlosaW01-HeadlineBold" w:hAnsi="GlosaW01-HeadlineBold"/>
                <w:noProof/>
                <w:webHidden/>
              </w:rPr>
              <w:fldChar w:fldCharType="begin"/>
            </w:r>
            <w:r w:rsidR="004E1D6B" w:rsidRPr="004E1D6B">
              <w:rPr>
                <w:rFonts w:ascii="GlosaW01-HeadlineBold" w:hAnsi="GlosaW01-HeadlineBold"/>
                <w:noProof/>
                <w:webHidden/>
              </w:rPr>
              <w:instrText xml:space="preserve"> PAGEREF _Toc74642237 \h </w:instrText>
            </w:r>
            <w:r w:rsidR="004E1D6B" w:rsidRPr="004E1D6B">
              <w:rPr>
                <w:rFonts w:ascii="GlosaW01-HeadlineBold" w:hAnsi="GlosaW01-HeadlineBold"/>
                <w:noProof/>
                <w:webHidden/>
              </w:rPr>
            </w:r>
            <w:r w:rsidR="004E1D6B" w:rsidRPr="004E1D6B">
              <w:rPr>
                <w:rFonts w:ascii="GlosaW01-HeadlineBold" w:hAnsi="GlosaW01-HeadlineBold"/>
                <w:noProof/>
                <w:webHidden/>
              </w:rPr>
              <w:fldChar w:fldCharType="separate"/>
            </w:r>
            <w:r w:rsidR="004E1D6B" w:rsidRPr="004E1D6B">
              <w:rPr>
                <w:rFonts w:ascii="GlosaW01-HeadlineBold" w:hAnsi="GlosaW01-HeadlineBold"/>
                <w:noProof/>
                <w:webHidden/>
              </w:rPr>
              <w:t>3</w:t>
            </w:r>
            <w:r w:rsidR="004E1D6B" w:rsidRPr="004E1D6B">
              <w:rPr>
                <w:rFonts w:ascii="GlosaW01-HeadlineBold" w:hAnsi="GlosaW01-HeadlineBold"/>
                <w:noProof/>
                <w:webHidden/>
              </w:rPr>
              <w:fldChar w:fldCharType="end"/>
            </w:r>
          </w:hyperlink>
        </w:p>
        <w:p w14:paraId="0530C54C" w14:textId="466E9F1F" w:rsidR="004E1D6B" w:rsidRPr="004E1D6B" w:rsidRDefault="00CF0E89">
          <w:pPr>
            <w:pStyle w:val="Sommario3"/>
            <w:tabs>
              <w:tab w:val="right" w:leader="dot" w:pos="9628"/>
            </w:tabs>
            <w:rPr>
              <w:rFonts w:ascii="GlosaW01-HeadlineBold" w:eastAsiaTheme="minorEastAsia" w:hAnsi="GlosaW01-HeadlineBold"/>
              <w:noProof/>
              <w:lang w:eastAsia="it-IT"/>
            </w:rPr>
          </w:pPr>
          <w:hyperlink w:anchor="_Toc74642238" w:history="1">
            <w:r w:rsidR="004E1D6B" w:rsidRPr="004E1D6B">
              <w:rPr>
                <w:rStyle w:val="Collegamentoipertestuale"/>
                <w:rFonts w:ascii="GlosaW01-HeadlineBold" w:hAnsi="GlosaW01-HeadlineBold"/>
                <w:noProof/>
              </w:rPr>
              <w:t>1.2 Attività esterne</w:t>
            </w:r>
            <w:r w:rsidR="004E1D6B" w:rsidRPr="004E1D6B">
              <w:rPr>
                <w:rFonts w:ascii="GlosaW01-HeadlineBold" w:hAnsi="GlosaW01-HeadlineBold"/>
                <w:noProof/>
                <w:webHidden/>
              </w:rPr>
              <w:tab/>
            </w:r>
            <w:r w:rsidR="004E1D6B" w:rsidRPr="004E1D6B">
              <w:rPr>
                <w:rFonts w:ascii="GlosaW01-HeadlineBold" w:hAnsi="GlosaW01-HeadlineBold"/>
                <w:noProof/>
                <w:webHidden/>
              </w:rPr>
              <w:fldChar w:fldCharType="begin"/>
            </w:r>
            <w:r w:rsidR="004E1D6B" w:rsidRPr="004E1D6B">
              <w:rPr>
                <w:rFonts w:ascii="GlosaW01-HeadlineBold" w:hAnsi="GlosaW01-HeadlineBold"/>
                <w:noProof/>
                <w:webHidden/>
              </w:rPr>
              <w:instrText xml:space="preserve"> PAGEREF _Toc74642238 \h </w:instrText>
            </w:r>
            <w:r w:rsidR="004E1D6B" w:rsidRPr="004E1D6B">
              <w:rPr>
                <w:rFonts w:ascii="GlosaW01-HeadlineBold" w:hAnsi="GlosaW01-HeadlineBold"/>
                <w:noProof/>
                <w:webHidden/>
              </w:rPr>
            </w:r>
            <w:r w:rsidR="004E1D6B" w:rsidRPr="004E1D6B">
              <w:rPr>
                <w:rFonts w:ascii="GlosaW01-HeadlineBold" w:hAnsi="GlosaW01-HeadlineBold"/>
                <w:noProof/>
                <w:webHidden/>
              </w:rPr>
              <w:fldChar w:fldCharType="separate"/>
            </w:r>
            <w:r w:rsidR="004E1D6B" w:rsidRPr="004E1D6B">
              <w:rPr>
                <w:rFonts w:ascii="GlosaW01-HeadlineBold" w:hAnsi="GlosaW01-HeadlineBold"/>
                <w:noProof/>
                <w:webHidden/>
              </w:rPr>
              <w:t>4</w:t>
            </w:r>
            <w:r w:rsidR="004E1D6B" w:rsidRPr="004E1D6B">
              <w:rPr>
                <w:rFonts w:ascii="GlosaW01-HeadlineBold" w:hAnsi="GlosaW01-HeadlineBold"/>
                <w:noProof/>
                <w:webHidden/>
              </w:rPr>
              <w:fldChar w:fldCharType="end"/>
            </w:r>
          </w:hyperlink>
        </w:p>
        <w:p w14:paraId="3B0DB4C0" w14:textId="24ACEC89" w:rsidR="004E1D6B" w:rsidRPr="004E1D6B" w:rsidRDefault="00CF0E89">
          <w:pPr>
            <w:pStyle w:val="Sommario3"/>
            <w:tabs>
              <w:tab w:val="right" w:leader="dot" w:pos="9628"/>
            </w:tabs>
            <w:rPr>
              <w:rFonts w:ascii="GlosaW01-HeadlineBold" w:eastAsiaTheme="minorEastAsia" w:hAnsi="GlosaW01-HeadlineBold"/>
              <w:noProof/>
              <w:lang w:eastAsia="it-IT"/>
            </w:rPr>
          </w:pPr>
          <w:hyperlink w:anchor="_Toc74642239" w:history="1">
            <w:r w:rsidR="004E1D6B" w:rsidRPr="004E1D6B">
              <w:rPr>
                <w:rStyle w:val="Collegamentoipertestuale"/>
                <w:rFonts w:ascii="GlosaW01-HeadlineBold" w:hAnsi="GlosaW01-HeadlineBold"/>
                <w:noProof/>
              </w:rPr>
              <w:t>1.3 Informazioni rilevanti</w:t>
            </w:r>
            <w:r w:rsidR="004E1D6B" w:rsidRPr="004E1D6B">
              <w:rPr>
                <w:rFonts w:ascii="GlosaW01-HeadlineBold" w:hAnsi="GlosaW01-HeadlineBold"/>
                <w:noProof/>
                <w:webHidden/>
              </w:rPr>
              <w:tab/>
            </w:r>
            <w:r w:rsidR="004E1D6B" w:rsidRPr="004E1D6B">
              <w:rPr>
                <w:rFonts w:ascii="GlosaW01-HeadlineBold" w:hAnsi="GlosaW01-HeadlineBold"/>
                <w:noProof/>
                <w:webHidden/>
              </w:rPr>
              <w:fldChar w:fldCharType="begin"/>
            </w:r>
            <w:r w:rsidR="004E1D6B" w:rsidRPr="004E1D6B">
              <w:rPr>
                <w:rFonts w:ascii="GlosaW01-HeadlineBold" w:hAnsi="GlosaW01-HeadlineBold"/>
                <w:noProof/>
                <w:webHidden/>
              </w:rPr>
              <w:instrText xml:space="preserve"> PAGEREF _Toc74642239 \h </w:instrText>
            </w:r>
            <w:r w:rsidR="004E1D6B" w:rsidRPr="004E1D6B">
              <w:rPr>
                <w:rFonts w:ascii="GlosaW01-HeadlineBold" w:hAnsi="GlosaW01-HeadlineBold"/>
                <w:noProof/>
                <w:webHidden/>
              </w:rPr>
            </w:r>
            <w:r w:rsidR="004E1D6B" w:rsidRPr="004E1D6B">
              <w:rPr>
                <w:rFonts w:ascii="GlosaW01-HeadlineBold" w:hAnsi="GlosaW01-HeadlineBold"/>
                <w:noProof/>
                <w:webHidden/>
              </w:rPr>
              <w:fldChar w:fldCharType="separate"/>
            </w:r>
            <w:r w:rsidR="004E1D6B" w:rsidRPr="004E1D6B">
              <w:rPr>
                <w:rFonts w:ascii="GlosaW01-HeadlineBold" w:hAnsi="GlosaW01-HeadlineBold"/>
                <w:noProof/>
                <w:webHidden/>
              </w:rPr>
              <w:t>5</w:t>
            </w:r>
            <w:r w:rsidR="004E1D6B" w:rsidRPr="004E1D6B">
              <w:rPr>
                <w:rFonts w:ascii="GlosaW01-HeadlineBold" w:hAnsi="GlosaW01-HeadlineBold"/>
                <w:noProof/>
                <w:webHidden/>
              </w:rPr>
              <w:fldChar w:fldCharType="end"/>
            </w:r>
          </w:hyperlink>
        </w:p>
        <w:p w14:paraId="17DBEFD0" w14:textId="3291C4B4" w:rsidR="004E1D6B" w:rsidRPr="004E1D6B" w:rsidRDefault="00CF0E89">
          <w:pPr>
            <w:pStyle w:val="Sommario2"/>
            <w:rPr>
              <w:rFonts w:ascii="GlosaW01-HeadlineBold" w:eastAsiaTheme="minorEastAsia" w:hAnsi="GlosaW01-HeadlineBold"/>
              <w:lang w:eastAsia="it-IT"/>
            </w:rPr>
          </w:pPr>
          <w:hyperlink w:anchor="_Toc74642240" w:history="1">
            <w:r w:rsidR="004E1D6B" w:rsidRPr="004E1D6B">
              <w:rPr>
                <w:rStyle w:val="Collegamentoipertestuale"/>
                <w:rFonts w:ascii="GlosaW01-HeadlineBold" w:hAnsi="GlosaW01-HeadlineBold"/>
              </w:rPr>
              <w:t>2. Dati per la determinazione delle entrate di riferimento</w:t>
            </w:r>
            <w:r w:rsidR="004E1D6B" w:rsidRPr="004E1D6B">
              <w:rPr>
                <w:rFonts w:ascii="GlosaW01-HeadlineBold" w:hAnsi="GlosaW01-HeadlineBold"/>
                <w:webHidden/>
              </w:rPr>
              <w:tab/>
            </w:r>
            <w:r w:rsidR="004E1D6B" w:rsidRPr="004E1D6B">
              <w:rPr>
                <w:rFonts w:ascii="GlosaW01-HeadlineBold" w:hAnsi="GlosaW01-HeadlineBold"/>
                <w:webHidden/>
              </w:rPr>
              <w:fldChar w:fldCharType="begin"/>
            </w:r>
            <w:r w:rsidR="004E1D6B" w:rsidRPr="004E1D6B">
              <w:rPr>
                <w:rFonts w:ascii="GlosaW01-HeadlineBold" w:hAnsi="GlosaW01-HeadlineBold"/>
                <w:webHidden/>
              </w:rPr>
              <w:instrText xml:space="preserve"> PAGEREF _Toc74642240 \h </w:instrText>
            </w:r>
            <w:r w:rsidR="004E1D6B" w:rsidRPr="004E1D6B">
              <w:rPr>
                <w:rFonts w:ascii="GlosaW01-HeadlineBold" w:hAnsi="GlosaW01-HeadlineBold"/>
                <w:webHidden/>
              </w:rPr>
            </w:r>
            <w:r w:rsidR="004E1D6B" w:rsidRPr="004E1D6B">
              <w:rPr>
                <w:rFonts w:ascii="GlosaW01-HeadlineBold" w:hAnsi="GlosaW01-HeadlineBold"/>
                <w:webHidden/>
              </w:rPr>
              <w:fldChar w:fldCharType="separate"/>
            </w:r>
            <w:r w:rsidR="004E1D6B" w:rsidRPr="004E1D6B">
              <w:rPr>
                <w:rFonts w:ascii="GlosaW01-HeadlineBold" w:hAnsi="GlosaW01-HeadlineBold"/>
                <w:webHidden/>
              </w:rPr>
              <w:t>6</w:t>
            </w:r>
            <w:r w:rsidR="004E1D6B" w:rsidRPr="004E1D6B">
              <w:rPr>
                <w:rFonts w:ascii="GlosaW01-HeadlineBold" w:hAnsi="GlosaW01-HeadlineBold"/>
                <w:webHidden/>
              </w:rPr>
              <w:fldChar w:fldCharType="end"/>
            </w:r>
          </w:hyperlink>
        </w:p>
        <w:p w14:paraId="6B8BABAB" w14:textId="7A16B515" w:rsidR="004E1D6B" w:rsidRPr="004E1D6B" w:rsidRDefault="00CF0E89">
          <w:pPr>
            <w:pStyle w:val="Sommario3"/>
            <w:tabs>
              <w:tab w:val="right" w:leader="dot" w:pos="9628"/>
            </w:tabs>
            <w:rPr>
              <w:rFonts w:ascii="GlosaW01-HeadlineBold" w:eastAsiaTheme="minorEastAsia" w:hAnsi="GlosaW01-HeadlineBold"/>
              <w:noProof/>
              <w:lang w:eastAsia="it-IT"/>
            </w:rPr>
          </w:pPr>
          <w:hyperlink w:anchor="_Toc74642241" w:history="1">
            <w:r w:rsidR="004E1D6B" w:rsidRPr="004E1D6B">
              <w:rPr>
                <w:rStyle w:val="Collegamentoipertestuale"/>
                <w:rFonts w:ascii="GlosaW01-HeadlineBold" w:hAnsi="GlosaW01-HeadlineBold"/>
                <w:noProof/>
              </w:rPr>
              <w:t>2.1 Dati di conto economico</w:t>
            </w:r>
            <w:r w:rsidR="004E1D6B" w:rsidRPr="004E1D6B">
              <w:rPr>
                <w:rFonts w:ascii="GlosaW01-HeadlineBold" w:hAnsi="GlosaW01-HeadlineBold"/>
                <w:noProof/>
                <w:webHidden/>
              </w:rPr>
              <w:tab/>
            </w:r>
            <w:r w:rsidR="004E1D6B" w:rsidRPr="004E1D6B">
              <w:rPr>
                <w:rFonts w:ascii="GlosaW01-HeadlineBold" w:hAnsi="GlosaW01-HeadlineBold"/>
                <w:noProof/>
                <w:webHidden/>
              </w:rPr>
              <w:fldChar w:fldCharType="begin"/>
            </w:r>
            <w:r w:rsidR="004E1D6B" w:rsidRPr="004E1D6B">
              <w:rPr>
                <w:rFonts w:ascii="GlosaW01-HeadlineBold" w:hAnsi="GlosaW01-HeadlineBold"/>
                <w:noProof/>
                <w:webHidden/>
              </w:rPr>
              <w:instrText xml:space="preserve"> PAGEREF _Toc74642241 \h </w:instrText>
            </w:r>
            <w:r w:rsidR="004E1D6B" w:rsidRPr="004E1D6B">
              <w:rPr>
                <w:rFonts w:ascii="GlosaW01-HeadlineBold" w:hAnsi="GlosaW01-HeadlineBold"/>
                <w:noProof/>
                <w:webHidden/>
              </w:rPr>
            </w:r>
            <w:r w:rsidR="004E1D6B" w:rsidRPr="004E1D6B">
              <w:rPr>
                <w:rFonts w:ascii="GlosaW01-HeadlineBold" w:hAnsi="GlosaW01-HeadlineBold"/>
                <w:noProof/>
                <w:webHidden/>
              </w:rPr>
              <w:fldChar w:fldCharType="separate"/>
            </w:r>
            <w:r w:rsidR="004E1D6B" w:rsidRPr="004E1D6B">
              <w:rPr>
                <w:rFonts w:ascii="GlosaW01-HeadlineBold" w:hAnsi="GlosaW01-HeadlineBold"/>
                <w:noProof/>
                <w:webHidden/>
              </w:rPr>
              <w:t>7</w:t>
            </w:r>
            <w:r w:rsidR="004E1D6B" w:rsidRPr="004E1D6B">
              <w:rPr>
                <w:rFonts w:ascii="GlosaW01-HeadlineBold" w:hAnsi="GlosaW01-HeadlineBold"/>
                <w:noProof/>
                <w:webHidden/>
              </w:rPr>
              <w:fldChar w:fldCharType="end"/>
            </w:r>
          </w:hyperlink>
        </w:p>
        <w:p w14:paraId="6845A64C" w14:textId="0D8EB229" w:rsidR="004E1D6B" w:rsidRPr="004E1D6B" w:rsidRDefault="00CF0E89">
          <w:pPr>
            <w:pStyle w:val="Sommario3"/>
            <w:tabs>
              <w:tab w:val="right" w:leader="dot" w:pos="9628"/>
            </w:tabs>
            <w:rPr>
              <w:rFonts w:ascii="GlosaW01-HeadlineBold" w:eastAsiaTheme="minorEastAsia" w:hAnsi="GlosaW01-HeadlineBold"/>
              <w:noProof/>
              <w:lang w:eastAsia="it-IT"/>
            </w:rPr>
          </w:pPr>
          <w:hyperlink w:anchor="_Toc74642242" w:history="1">
            <w:r w:rsidR="004E1D6B" w:rsidRPr="004E1D6B">
              <w:rPr>
                <w:rStyle w:val="Collegamentoipertestuale"/>
                <w:rFonts w:ascii="GlosaW01-HeadlineBold" w:hAnsi="GlosaW01-HeadlineBold"/>
                <w:noProof/>
              </w:rPr>
              <w:t>2.2 Proventi della vendita di materiale derivante dai rifiuti (AR)</w:t>
            </w:r>
            <w:r w:rsidR="004E1D6B" w:rsidRPr="004E1D6B">
              <w:rPr>
                <w:rFonts w:ascii="GlosaW01-HeadlineBold" w:hAnsi="GlosaW01-HeadlineBold"/>
                <w:noProof/>
                <w:webHidden/>
              </w:rPr>
              <w:tab/>
            </w:r>
            <w:r w:rsidR="004E1D6B" w:rsidRPr="004E1D6B">
              <w:rPr>
                <w:rFonts w:ascii="GlosaW01-HeadlineBold" w:hAnsi="GlosaW01-HeadlineBold"/>
                <w:noProof/>
                <w:webHidden/>
              </w:rPr>
              <w:fldChar w:fldCharType="begin"/>
            </w:r>
            <w:r w:rsidR="004E1D6B" w:rsidRPr="004E1D6B">
              <w:rPr>
                <w:rFonts w:ascii="GlosaW01-HeadlineBold" w:hAnsi="GlosaW01-HeadlineBold"/>
                <w:noProof/>
                <w:webHidden/>
              </w:rPr>
              <w:instrText xml:space="preserve"> PAGEREF _Toc74642242 \h </w:instrText>
            </w:r>
            <w:r w:rsidR="004E1D6B" w:rsidRPr="004E1D6B">
              <w:rPr>
                <w:rFonts w:ascii="GlosaW01-HeadlineBold" w:hAnsi="GlosaW01-HeadlineBold"/>
                <w:noProof/>
                <w:webHidden/>
              </w:rPr>
            </w:r>
            <w:r w:rsidR="004E1D6B" w:rsidRPr="004E1D6B">
              <w:rPr>
                <w:rFonts w:ascii="GlosaW01-HeadlineBold" w:hAnsi="GlosaW01-HeadlineBold"/>
                <w:noProof/>
                <w:webHidden/>
              </w:rPr>
              <w:fldChar w:fldCharType="separate"/>
            </w:r>
            <w:r w:rsidR="004E1D6B" w:rsidRPr="004E1D6B">
              <w:rPr>
                <w:rFonts w:ascii="GlosaW01-HeadlineBold" w:hAnsi="GlosaW01-HeadlineBold"/>
                <w:noProof/>
                <w:webHidden/>
              </w:rPr>
              <w:t>13</w:t>
            </w:r>
            <w:r w:rsidR="004E1D6B" w:rsidRPr="004E1D6B">
              <w:rPr>
                <w:rFonts w:ascii="GlosaW01-HeadlineBold" w:hAnsi="GlosaW01-HeadlineBold"/>
                <w:noProof/>
                <w:webHidden/>
              </w:rPr>
              <w:fldChar w:fldCharType="end"/>
            </w:r>
          </w:hyperlink>
        </w:p>
        <w:p w14:paraId="53099018" w14:textId="42D7EF47" w:rsidR="004E1D6B" w:rsidRPr="004E1D6B" w:rsidRDefault="00CF0E89">
          <w:pPr>
            <w:pStyle w:val="Sommario3"/>
            <w:tabs>
              <w:tab w:val="right" w:leader="dot" w:pos="9628"/>
            </w:tabs>
            <w:rPr>
              <w:rFonts w:ascii="GlosaW01-HeadlineBold" w:eastAsiaTheme="minorEastAsia" w:hAnsi="GlosaW01-HeadlineBold"/>
              <w:noProof/>
              <w:lang w:eastAsia="it-IT"/>
            </w:rPr>
          </w:pPr>
          <w:hyperlink w:anchor="_Toc74642243" w:history="1">
            <w:r w:rsidR="004E1D6B" w:rsidRPr="004E1D6B">
              <w:rPr>
                <w:rStyle w:val="Collegamentoipertestuale"/>
                <w:rFonts w:ascii="GlosaW01-HeadlineBold" w:hAnsi="GlosaW01-HeadlineBold"/>
                <w:noProof/>
              </w:rPr>
              <w:t>2.3 Fonti di finanziamento</w:t>
            </w:r>
            <w:r w:rsidR="004E1D6B" w:rsidRPr="004E1D6B">
              <w:rPr>
                <w:rFonts w:ascii="GlosaW01-HeadlineBold" w:hAnsi="GlosaW01-HeadlineBold"/>
                <w:noProof/>
                <w:webHidden/>
              </w:rPr>
              <w:tab/>
            </w:r>
            <w:r w:rsidR="004E1D6B" w:rsidRPr="004E1D6B">
              <w:rPr>
                <w:rFonts w:ascii="GlosaW01-HeadlineBold" w:hAnsi="GlosaW01-HeadlineBold"/>
                <w:noProof/>
                <w:webHidden/>
              </w:rPr>
              <w:fldChar w:fldCharType="begin"/>
            </w:r>
            <w:r w:rsidR="004E1D6B" w:rsidRPr="004E1D6B">
              <w:rPr>
                <w:rFonts w:ascii="GlosaW01-HeadlineBold" w:hAnsi="GlosaW01-HeadlineBold"/>
                <w:noProof/>
                <w:webHidden/>
              </w:rPr>
              <w:instrText xml:space="preserve"> PAGEREF _Toc74642243 \h </w:instrText>
            </w:r>
            <w:r w:rsidR="004E1D6B" w:rsidRPr="004E1D6B">
              <w:rPr>
                <w:rFonts w:ascii="GlosaW01-HeadlineBold" w:hAnsi="GlosaW01-HeadlineBold"/>
                <w:noProof/>
                <w:webHidden/>
              </w:rPr>
            </w:r>
            <w:r w:rsidR="004E1D6B" w:rsidRPr="004E1D6B">
              <w:rPr>
                <w:rFonts w:ascii="GlosaW01-HeadlineBold" w:hAnsi="GlosaW01-HeadlineBold"/>
                <w:noProof/>
                <w:webHidden/>
              </w:rPr>
              <w:fldChar w:fldCharType="separate"/>
            </w:r>
            <w:r w:rsidR="004E1D6B" w:rsidRPr="004E1D6B">
              <w:rPr>
                <w:rFonts w:ascii="GlosaW01-HeadlineBold" w:hAnsi="GlosaW01-HeadlineBold"/>
                <w:noProof/>
                <w:webHidden/>
              </w:rPr>
              <w:t>13</w:t>
            </w:r>
            <w:r w:rsidR="004E1D6B" w:rsidRPr="004E1D6B">
              <w:rPr>
                <w:rFonts w:ascii="GlosaW01-HeadlineBold" w:hAnsi="GlosaW01-HeadlineBold"/>
                <w:noProof/>
                <w:webHidden/>
              </w:rPr>
              <w:fldChar w:fldCharType="end"/>
            </w:r>
          </w:hyperlink>
        </w:p>
        <w:p w14:paraId="30E9C46F" w14:textId="44832905" w:rsidR="004E1D6B" w:rsidRPr="004E1D6B" w:rsidRDefault="00CF0E89">
          <w:pPr>
            <w:pStyle w:val="Sommario2"/>
            <w:rPr>
              <w:rFonts w:ascii="GlosaW01-HeadlineBold" w:eastAsiaTheme="minorEastAsia" w:hAnsi="GlosaW01-HeadlineBold"/>
              <w:lang w:eastAsia="it-IT"/>
            </w:rPr>
          </w:pPr>
          <w:hyperlink w:anchor="_Toc74642244" w:history="1">
            <w:r w:rsidR="004E1D6B" w:rsidRPr="004E1D6B">
              <w:rPr>
                <w:rStyle w:val="Collegamentoipertestuale"/>
                <w:rFonts w:ascii="GlosaW01-HeadlineBold" w:hAnsi="GlosaW01-HeadlineBold"/>
              </w:rPr>
              <w:t>3. Dati tecnici e patrimoniali</w:t>
            </w:r>
            <w:r w:rsidR="004E1D6B" w:rsidRPr="004E1D6B">
              <w:rPr>
                <w:rFonts w:ascii="GlosaW01-HeadlineBold" w:hAnsi="GlosaW01-HeadlineBold"/>
                <w:webHidden/>
              </w:rPr>
              <w:tab/>
            </w:r>
            <w:r w:rsidR="004E1D6B" w:rsidRPr="004E1D6B">
              <w:rPr>
                <w:rFonts w:ascii="GlosaW01-HeadlineBold" w:hAnsi="GlosaW01-HeadlineBold"/>
                <w:webHidden/>
              </w:rPr>
              <w:fldChar w:fldCharType="begin"/>
            </w:r>
            <w:r w:rsidR="004E1D6B" w:rsidRPr="004E1D6B">
              <w:rPr>
                <w:rFonts w:ascii="GlosaW01-HeadlineBold" w:hAnsi="GlosaW01-HeadlineBold"/>
                <w:webHidden/>
              </w:rPr>
              <w:instrText xml:space="preserve"> PAGEREF _Toc74642244 \h </w:instrText>
            </w:r>
            <w:r w:rsidR="004E1D6B" w:rsidRPr="004E1D6B">
              <w:rPr>
                <w:rFonts w:ascii="GlosaW01-HeadlineBold" w:hAnsi="GlosaW01-HeadlineBold"/>
                <w:webHidden/>
              </w:rPr>
            </w:r>
            <w:r w:rsidR="004E1D6B" w:rsidRPr="004E1D6B">
              <w:rPr>
                <w:rFonts w:ascii="GlosaW01-HeadlineBold" w:hAnsi="GlosaW01-HeadlineBold"/>
                <w:webHidden/>
              </w:rPr>
              <w:fldChar w:fldCharType="separate"/>
            </w:r>
            <w:r w:rsidR="004E1D6B" w:rsidRPr="004E1D6B">
              <w:rPr>
                <w:rFonts w:ascii="GlosaW01-HeadlineBold" w:hAnsi="GlosaW01-HeadlineBold"/>
                <w:webHidden/>
              </w:rPr>
              <w:t>14</w:t>
            </w:r>
            <w:r w:rsidR="004E1D6B" w:rsidRPr="004E1D6B">
              <w:rPr>
                <w:rFonts w:ascii="GlosaW01-HeadlineBold" w:hAnsi="GlosaW01-HeadlineBold"/>
                <w:webHidden/>
              </w:rPr>
              <w:fldChar w:fldCharType="end"/>
            </w:r>
          </w:hyperlink>
        </w:p>
        <w:p w14:paraId="13219664" w14:textId="73DD6E5C" w:rsidR="004E1D6B" w:rsidRPr="004E1D6B" w:rsidRDefault="00CF0E89">
          <w:pPr>
            <w:pStyle w:val="Sommario3"/>
            <w:tabs>
              <w:tab w:val="right" w:leader="dot" w:pos="9628"/>
            </w:tabs>
            <w:rPr>
              <w:rFonts w:ascii="GlosaW01-HeadlineBold" w:eastAsiaTheme="minorEastAsia" w:hAnsi="GlosaW01-HeadlineBold"/>
              <w:noProof/>
              <w:lang w:eastAsia="it-IT"/>
            </w:rPr>
          </w:pPr>
          <w:hyperlink w:anchor="_Toc74642245" w:history="1">
            <w:r w:rsidR="004E1D6B" w:rsidRPr="004E1D6B">
              <w:rPr>
                <w:rStyle w:val="Collegamentoipertestuale"/>
                <w:rFonts w:ascii="GlosaW01-HeadlineBold" w:hAnsi="GlosaW01-HeadlineBold"/>
                <w:noProof/>
              </w:rPr>
              <w:t>3.1 Perimetro gestionale</w:t>
            </w:r>
            <w:r w:rsidR="004E1D6B" w:rsidRPr="004E1D6B">
              <w:rPr>
                <w:rFonts w:ascii="GlosaW01-HeadlineBold" w:hAnsi="GlosaW01-HeadlineBold"/>
                <w:noProof/>
                <w:webHidden/>
              </w:rPr>
              <w:tab/>
            </w:r>
            <w:r w:rsidR="004E1D6B" w:rsidRPr="004E1D6B">
              <w:rPr>
                <w:rFonts w:ascii="GlosaW01-HeadlineBold" w:hAnsi="GlosaW01-HeadlineBold"/>
                <w:noProof/>
                <w:webHidden/>
              </w:rPr>
              <w:fldChar w:fldCharType="begin"/>
            </w:r>
            <w:r w:rsidR="004E1D6B" w:rsidRPr="004E1D6B">
              <w:rPr>
                <w:rFonts w:ascii="GlosaW01-HeadlineBold" w:hAnsi="GlosaW01-HeadlineBold"/>
                <w:noProof/>
                <w:webHidden/>
              </w:rPr>
              <w:instrText xml:space="preserve"> PAGEREF _Toc74642245 \h </w:instrText>
            </w:r>
            <w:r w:rsidR="004E1D6B" w:rsidRPr="004E1D6B">
              <w:rPr>
                <w:rFonts w:ascii="GlosaW01-HeadlineBold" w:hAnsi="GlosaW01-HeadlineBold"/>
                <w:noProof/>
                <w:webHidden/>
              </w:rPr>
            </w:r>
            <w:r w:rsidR="004E1D6B" w:rsidRPr="004E1D6B">
              <w:rPr>
                <w:rFonts w:ascii="GlosaW01-HeadlineBold" w:hAnsi="GlosaW01-HeadlineBold"/>
                <w:noProof/>
                <w:webHidden/>
              </w:rPr>
              <w:fldChar w:fldCharType="separate"/>
            </w:r>
            <w:r w:rsidR="004E1D6B" w:rsidRPr="004E1D6B">
              <w:rPr>
                <w:rFonts w:ascii="GlosaW01-HeadlineBold" w:hAnsi="GlosaW01-HeadlineBold"/>
                <w:noProof/>
                <w:webHidden/>
              </w:rPr>
              <w:t>14</w:t>
            </w:r>
            <w:r w:rsidR="004E1D6B" w:rsidRPr="004E1D6B">
              <w:rPr>
                <w:rFonts w:ascii="GlosaW01-HeadlineBold" w:hAnsi="GlosaW01-HeadlineBold"/>
                <w:noProof/>
                <w:webHidden/>
              </w:rPr>
              <w:fldChar w:fldCharType="end"/>
            </w:r>
          </w:hyperlink>
        </w:p>
        <w:p w14:paraId="0A93396C" w14:textId="2D676C87" w:rsidR="004E1D6B" w:rsidRPr="004E1D6B" w:rsidRDefault="00CF0E89">
          <w:pPr>
            <w:pStyle w:val="Sommario3"/>
            <w:tabs>
              <w:tab w:val="right" w:leader="dot" w:pos="9628"/>
            </w:tabs>
            <w:rPr>
              <w:rFonts w:ascii="GlosaW01-HeadlineBold" w:eastAsiaTheme="minorEastAsia" w:hAnsi="GlosaW01-HeadlineBold"/>
              <w:noProof/>
              <w:lang w:eastAsia="it-IT"/>
            </w:rPr>
          </w:pPr>
          <w:hyperlink w:anchor="_Toc74642246" w:history="1">
            <w:r w:rsidR="004E1D6B" w:rsidRPr="004E1D6B">
              <w:rPr>
                <w:rStyle w:val="Collegamentoipertestuale"/>
                <w:rFonts w:ascii="GlosaW01-HeadlineBold" w:hAnsi="GlosaW01-HeadlineBold"/>
                <w:noProof/>
              </w:rPr>
              <w:t>3.2 Qualità del servizio</w:t>
            </w:r>
            <w:r w:rsidR="004E1D6B" w:rsidRPr="004E1D6B">
              <w:rPr>
                <w:rFonts w:ascii="GlosaW01-HeadlineBold" w:hAnsi="GlosaW01-HeadlineBold"/>
                <w:noProof/>
                <w:webHidden/>
              </w:rPr>
              <w:tab/>
            </w:r>
            <w:r w:rsidR="004E1D6B" w:rsidRPr="004E1D6B">
              <w:rPr>
                <w:rFonts w:ascii="GlosaW01-HeadlineBold" w:hAnsi="GlosaW01-HeadlineBold"/>
                <w:noProof/>
                <w:webHidden/>
              </w:rPr>
              <w:fldChar w:fldCharType="begin"/>
            </w:r>
            <w:r w:rsidR="004E1D6B" w:rsidRPr="004E1D6B">
              <w:rPr>
                <w:rFonts w:ascii="GlosaW01-HeadlineBold" w:hAnsi="GlosaW01-HeadlineBold"/>
                <w:noProof/>
                <w:webHidden/>
              </w:rPr>
              <w:instrText xml:space="preserve"> PAGEREF _Toc74642246 \h </w:instrText>
            </w:r>
            <w:r w:rsidR="004E1D6B" w:rsidRPr="004E1D6B">
              <w:rPr>
                <w:rFonts w:ascii="GlosaW01-HeadlineBold" w:hAnsi="GlosaW01-HeadlineBold"/>
                <w:noProof/>
                <w:webHidden/>
              </w:rPr>
            </w:r>
            <w:r w:rsidR="004E1D6B" w:rsidRPr="004E1D6B">
              <w:rPr>
                <w:rFonts w:ascii="GlosaW01-HeadlineBold" w:hAnsi="GlosaW01-HeadlineBold"/>
                <w:noProof/>
                <w:webHidden/>
              </w:rPr>
              <w:fldChar w:fldCharType="separate"/>
            </w:r>
            <w:r w:rsidR="004E1D6B" w:rsidRPr="004E1D6B">
              <w:rPr>
                <w:rFonts w:ascii="GlosaW01-HeadlineBold" w:hAnsi="GlosaW01-HeadlineBold"/>
                <w:noProof/>
                <w:webHidden/>
              </w:rPr>
              <w:t>14</w:t>
            </w:r>
            <w:r w:rsidR="004E1D6B" w:rsidRPr="004E1D6B">
              <w:rPr>
                <w:rFonts w:ascii="GlosaW01-HeadlineBold" w:hAnsi="GlosaW01-HeadlineBold"/>
                <w:noProof/>
                <w:webHidden/>
              </w:rPr>
              <w:fldChar w:fldCharType="end"/>
            </w:r>
          </w:hyperlink>
        </w:p>
        <w:p w14:paraId="4D0E9576" w14:textId="384B7556" w:rsidR="004E1D6B" w:rsidRPr="004E1D6B" w:rsidRDefault="00CF0E89">
          <w:pPr>
            <w:pStyle w:val="Sommario3"/>
            <w:tabs>
              <w:tab w:val="right" w:leader="dot" w:pos="9628"/>
            </w:tabs>
            <w:rPr>
              <w:rFonts w:ascii="GlosaW01-HeadlineBold" w:eastAsiaTheme="minorEastAsia" w:hAnsi="GlosaW01-HeadlineBold"/>
              <w:noProof/>
              <w:lang w:eastAsia="it-IT"/>
            </w:rPr>
          </w:pPr>
          <w:hyperlink w:anchor="_Toc74642247" w:history="1">
            <w:r w:rsidR="004E1D6B" w:rsidRPr="004E1D6B">
              <w:rPr>
                <w:rStyle w:val="Collegamentoipertestuale"/>
                <w:rFonts w:ascii="GlosaW01-HeadlineBold" w:hAnsi="GlosaW01-HeadlineBold"/>
                <w:noProof/>
              </w:rPr>
              <w:t>3.3 Oneri aggiuntivi riconducibili all’emergenza Covid-19</w:t>
            </w:r>
            <w:r w:rsidR="004E1D6B" w:rsidRPr="004E1D6B">
              <w:rPr>
                <w:rFonts w:ascii="GlosaW01-HeadlineBold" w:hAnsi="GlosaW01-HeadlineBold"/>
                <w:noProof/>
                <w:webHidden/>
              </w:rPr>
              <w:tab/>
            </w:r>
            <w:r w:rsidR="004E1D6B" w:rsidRPr="004E1D6B">
              <w:rPr>
                <w:rFonts w:ascii="GlosaW01-HeadlineBold" w:hAnsi="GlosaW01-HeadlineBold"/>
                <w:noProof/>
                <w:webHidden/>
              </w:rPr>
              <w:fldChar w:fldCharType="begin"/>
            </w:r>
            <w:r w:rsidR="004E1D6B" w:rsidRPr="004E1D6B">
              <w:rPr>
                <w:rFonts w:ascii="GlosaW01-HeadlineBold" w:hAnsi="GlosaW01-HeadlineBold"/>
                <w:noProof/>
                <w:webHidden/>
              </w:rPr>
              <w:instrText xml:space="preserve"> PAGEREF _Toc74642247 \h </w:instrText>
            </w:r>
            <w:r w:rsidR="004E1D6B" w:rsidRPr="004E1D6B">
              <w:rPr>
                <w:rFonts w:ascii="GlosaW01-HeadlineBold" w:hAnsi="GlosaW01-HeadlineBold"/>
                <w:noProof/>
                <w:webHidden/>
              </w:rPr>
            </w:r>
            <w:r w:rsidR="004E1D6B" w:rsidRPr="004E1D6B">
              <w:rPr>
                <w:rFonts w:ascii="GlosaW01-HeadlineBold" w:hAnsi="GlosaW01-HeadlineBold"/>
                <w:noProof/>
                <w:webHidden/>
              </w:rPr>
              <w:fldChar w:fldCharType="separate"/>
            </w:r>
            <w:r w:rsidR="004E1D6B" w:rsidRPr="004E1D6B">
              <w:rPr>
                <w:rFonts w:ascii="GlosaW01-HeadlineBold" w:hAnsi="GlosaW01-HeadlineBold"/>
                <w:noProof/>
                <w:webHidden/>
              </w:rPr>
              <w:t>14</w:t>
            </w:r>
            <w:r w:rsidR="004E1D6B" w:rsidRPr="004E1D6B">
              <w:rPr>
                <w:rFonts w:ascii="GlosaW01-HeadlineBold" w:hAnsi="GlosaW01-HeadlineBold"/>
                <w:noProof/>
                <w:webHidden/>
              </w:rPr>
              <w:fldChar w:fldCharType="end"/>
            </w:r>
          </w:hyperlink>
        </w:p>
        <w:p w14:paraId="0CD5AD14" w14:textId="4388B6AB" w:rsidR="00E717B9" w:rsidRPr="009D32B0" w:rsidRDefault="00E717B9" w:rsidP="00E717B9">
          <w:pPr>
            <w:rPr>
              <w:rFonts w:ascii="GlosaW01-HeadlineBold" w:hAnsi="GlosaW01-HeadlineBold"/>
            </w:rPr>
          </w:pPr>
          <w:r w:rsidRPr="00811FD2">
            <w:rPr>
              <w:rFonts w:ascii="GlosaW01-HeadlineBold" w:hAnsi="GlosaW01-HeadlineBold"/>
              <w:b/>
              <w:bCs/>
              <w:sz w:val="24"/>
              <w:szCs w:val="24"/>
            </w:rPr>
            <w:fldChar w:fldCharType="end"/>
          </w:r>
        </w:p>
      </w:sdtContent>
    </w:sdt>
    <w:p w14:paraId="23D9EF26" w14:textId="6CCBDB67" w:rsidR="00E717B9" w:rsidRPr="00F81259" w:rsidRDefault="00E717B9" w:rsidP="00F81259">
      <w:pPr>
        <w:pStyle w:val="Titolo2"/>
      </w:pPr>
      <w:bookmarkStart w:id="0" w:name="_Toc74642235"/>
      <w:r w:rsidRPr="009D4437">
        <w:t>Introduzione</w:t>
      </w:r>
      <w:bookmarkEnd w:id="0"/>
    </w:p>
    <w:p w14:paraId="7AB8374E" w14:textId="77777777" w:rsidR="00E717B9" w:rsidRPr="000E2211" w:rsidRDefault="00E717B9" w:rsidP="00E30BC2">
      <w:pPr>
        <w:jc w:val="both"/>
        <w:rPr>
          <w:rFonts w:ascii="Corbel" w:hAnsi="Corbel"/>
          <w:sz w:val="24"/>
          <w:szCs w:val="24"/>
          <w:lang w:eastAsia="it-IT"/>
        </w:rPr>
      </w:pPr>
      <w:r w:rsidRPr="000E2211">
        <w:rPr>
          <w:rFonts w:ascii="Corbel" w:hAnsi="Corbel"/>
          <w:sz w:val="24"/>
          <w:szCs w:val="24"/>
          <w:lang w:eastAsia="it-IT"/>
        </w:rPr>
        <w:t xml:space="preserve">La relazione di accompagnamento al Piano finanziario è redatta in ottemperanza all’art. 18 comma 3 della Delibera 443/2019/R/Rif, emanata in data 31 ottobre 2019 dall’Autorità di </w:t>
      </w:r>
      <w:r w:rsidRPr="000E2211">
        <w:rPr>
          <w:rFonts w:ascii="Corbel" w:hAnsi="Corbel"/>
          <w:sz w:val="24"/>
          <w:szCs w:val="24"/>
          <w:lang w:eastAsia="it-IT"/>
        </w:rPr>
        <w:lastRenderedPageBreak/>
        <w:t xml:space="preserve">Regolazione per Energia, Reti e Ambiente e rappresenta il documento necessario alla verifica dei criteri di corrispondenza tra i valori riportati nella modulistica relativa ai costi del servizio sostenuti dal gestore e i valori desumibili dalla documentazione contabile. </w:t>
      </w:r>
    </w:p>
    <w:p w14:paraId="082E9583" w14:textId="032D7029" w:rsidR="00E717B9" w:rsidRPr="000E2211" w:rsidRDefault="00E717B9" w:rsidP="00E30BC2">
      <w:pPr>
        <w:jc w:val="both"/>
        <w:rPr>
          <w:rFonts w:ascii="Corbel" w:hAnsi="Corbel"/>
          <w:sz w:val="24"/>
          <w:szCs w:val="24"/>
          <w:lang w:eastAsia="it-IT"/>
        </w:rPr>
      </w:pPr>
      <w:r w:rsidRPr="000E2211">
        <w:rPr>
          <w:rFonts w:ascii="Corbel" w:hAnsi="Corbel"/>
          <w:sz w:val="24"/>
          <w:szCs w:val="24"/>
          <w:lang w:eastAsia="it-IT"/>
        </w:rPr>
        <w:t xml:space="preserve">La Delibera avente ad oggetto la </w:t>
      </w:r>
      <w:r w:rsidRPr="000E2211">
        <w:rPr>
          <w:rFonts w:ascii="Corbel" w:hAnsi="Corbel"/>
          <w:i/>
          <w:iCs/>
          <w:sz w:val="24"/>
          <w:szCs w:val="24"/>
          <w:lang w:eastAsia="it-IT"/>
        </w:rPr>
        <w:t xml:space="preserve">“Definizione dei criteri di riconoscimento dei costi efficienti di esercizio e di investimento del servizio integrato dei rifiuti, per il periodo 2018-2021” </w:t>
      </w:r>
      <w:r w:rsidRPr="000E2211">
        <w:rPr>
          <w:rFonts w:ascii="Corbel" w:hAnsi="Corbel"/>
          <w:sz w:val="24"/>
          <w:szCs w:val="24"/>
          <w:lang w:eastAsia="it-IT"/>
        </w:rPr>
        <w:t xml:space="preserve">ed il relativo Allegato A che definisce il </w:t>
      </w:r>
      <w:r w:rsidRPr="000E2211">
        <w:rPr>
          <w:rFonts w:ascii="Corbel" w:hAnsi="Corbel"/>
          <w:i/>
          <w:iCs/>
          <w:sz w:val="24"/>
          <w:szCs w:val="24"/>
          <w:lang w:eastAsia="it-IT"/>
        </w:rPr>
        <w:t xml:space="preserve">“Metodo tariffario servizio integrato di gestione dei rifiuti 2018-2021” </w:t>
      </w:r>
      <w:r w:rsidRPr="000E2211">
        <w:rPr>
          <w:rFonts w:ascii="Corbel" w:hAnsi="Corbel"/>
          <w:sz w:val="24"/>
          <w:szCs w:val="24"/>
          <w:lang w:eastAsia="it-IT"/>
        </w:rPr>
        <w:t>(MTR) per la determinazione delle componenti di costo ammesse a copertura tariffaria</w:t>
      </w:r>
      <w:r w:rsidRPr="000E2211">
        <w:rPr>
          <w:rFonts w:ascii="Corbel" w:hAnsi="Corbel"/>
          <w:i/>
          <w:iCs/>
          <w:sz w:val="24"/>
          <w:szCs w:val="24"/>
          <w:lang w:eastAsia="it-IT"/>
        </w:rPr>
        <w:t xml:space="preserve">, </w:t>
      </w:r>
      <w:r w:rsidRPr="000E2211">
        <w:rPr>
          <w:rFonts w:ascii="Corbel" w:hAnsi="Corbel"/>
          <w:sz w:val="24"/>
          <w:szCs w:val="24"/>
          <w:lang w:eastAsia="it-IT"/>
        </w:rPr>
        <w:t>concludono l’iter regolatorio iniziato nell’anno 2018 che ha previsto una profonda revisione sia della metodologia di individuazione dei costi da inserire all’interno del Piano finanziario sia dei soggetti coinvolti nel processo di costruzione del medesimo atto necessario per l’elaborazione delle tariffe e per il loro adeguamento annuo.</w:t>
      </w:r>
    </w:p>
    <w:p w14:paraId="7E2A84E6" w14:textId="77777777" w:rsidR="00E717B9" w:rsidRPr="000E2211" w:rsidRDefault="00E717B9" w:rsidP="00E30BC2">
      <w:pPr>
        <w:jc w:val="both"/>
        <w:rPr>
          <w:rFonts w:ascii="Corbel" w:hAnsi="Corbel"/>
          <w:sz w:val="24"/>
          <w:szCs w:val="24"/>
          <w:lang w:eastAsia="it-IT"/>
        </w:rPr>
      </w:pPr>
      <w:r w:rsidRPr="000E2211">
        <w:rPr>
          <w:rFonts w:ascii="Corbel" w:hAnsi="Corbel"/>
          <w:sz w:val="24"/>
          <w:szCs w:val="24"/>
          <w:lang w:eastAsia="it-IT"/>
        </w:rPr>
        <w:t xml:space="preserve">Con riferimento a quest’ultimo aspetto, l’art. 6 della Delibera stabilisce che i soggetti gestori del servizio integrato di gestione dei rifiuti urbani predispongono annualmente il Piano finanziario per le attività di propria competenza e lo trasmettono all’Ente Territorialmente Competente ai fini della validazione, ossia la verifica circa la completezza e la congruità della documentazione inviata dai soggetti gestori, e della trasmissione all’Autorità, la quale, verificata la coerenza degli atti trasmessi procede all’approvazione. </w:t>
      </w:r>
    </w:p>
    <w:p w14:paraId="4039623E" w14:textId="77777777" w:rsidR="00E717B9" w:rsidRDefault="00E717B9" w:rsidP="00E30BC2">
      <w:pPr>
        <w:jc w:val="both"/>
        <w:rPr>
          <w:rFonts w:ascii="Corbel" w:hAnsi="Corbel"/>
          <w:sz w:val="24"/>
          <w:szCs w:val="24"/>
          <w:lang w:eastAsia="it-IT"/>
        </w:rPr>
      </w:pPr>
      <w:r w:rsidRPr="000E2211">
        <w:rPr>
          <w:rFonts w:ascii="Corbel" w:hAnsi="Corbel"/>
          <w:sz w:val="24"/>
          <w:szCs w:val="24"/>
          <w:lang w:eastAsia="it-IT"/>
        </w:rPr>
        <w:t>I soggetti gestori delle attività incluse nel perimetro gestionale, comprendente le attività di raccolta e trasporto, spazzamento e lavaggio, trattamento e smaltimento, trattamento e recupero, gestione della tariffa e del rapporto con gli utenti, in aggiunta alla relazione oggetto del presente documento, sono altresì tenuti ad inviare una descrizione che comprenda i contenuti minimi del PEF elencati all’art. 18 comma 2 dell’Allegato, una tabella che riporti i costi sostenuti per il servizio erogato (secondo lo schema fornito all’Appendice 1) ed una dichiarazione di veridicità (secondo lo schema dell’Appendice 3) sottoscritta dal legale rappresentante.</w:t>
      </w:r>
      <w:r>
        <w:rPr>
          <w:rFonts w:ascii="Corbel" w:hAnsi="Corbel"/>
          <w:sz w:val="24"/>
          <w:szCs w:val="24"/>
          <w:lang w:eastAsia="it-IT"/>
        </w:rPr>
        <w:t xml:space="preserve"> </w:t>
      </w:r>
    </w:p>
    <w:p w14:paraId="747AB392" w14:textId="77777777" w:rsidR="00E717B9" w:rsidRDefault="00E717B9" w:rsidP="00E717B9">
      <w:pPr>
        <w:rPr>
          <w:rFonts w:ascii="Corbel" w:hAnsi="Corbel"/>
          <w:sz w:val="24"/>
          <w:szCs w:val="24"/>
          <w:lang w:eastAsia="it-IT"/>
        </w:rPr>
      </w:pPr>
      <w:r>
        <w:rPr>
          <w:rFonts w:ascii="Corbel" w:hAnsi="Corbel"/>
          <w:sz w:val="24"/>
          <w:szCs w:val="24"/>
          <w:lang w:eastAsia="it-IT"/>
        </w:rPr>
        <w:br w:type="page"/>
      </w:r>
    </w:p>
    <w:p w14:paraId="2247DA15" w14:textId="77777777" w:rsidR="00E717B9" w:rsidRPr="00C77BF1" w:rsidRDefault="00E717B9" w:rsidP="00C77BF1">
      <w:pPr>
        <w:pStyle w:val="Titolo2"/>
      </w:pPr>
      <w:bookmarkStart w:id="1" w:name="_Toc74642236"/>
      <w:r w:rsidRPr="00C77BF1">
        <w:lastRenderedPageBreak/>
        <w:t>1. Perimetro della gestione e servizi forniti</w:t>
      </w:r>
      <w:bookmarkEnd w:id="1"/>
    </w:p>
    <w:p w14:paraId="690B3DF5" w14:textId="60B0154A" w:rsidR="00E717B9" w:rsidRDefault="00E717B9" w:rsidP="00E30BC2">
      <w:pPr>
        <w:spacing w:after="0"/>
        <w:jc w:val="both"/>
        <w:rPr>
          <w:rFonts w:ascii="Corbel" w:hAnsi="Corbel"/>
          <w:sz w:val="24"/>
          <w:szCs w:val="24"/>
          <w:lang w:eastAsia="it-IT"/>
        </w:rPr>
      </w:pPr>
      <w:r>
        <w:rPr>
          <w:rFonts w:ascii="Corbel" w:hAnsi="Corbel"/>
          <w:sz w:val="24"/>
          <w:szCs w:val="24"/>
          <w:lang w:eastAsia="it-IT"/>
        </w:rPr>
        <w:t xml:space="preserve">L’articolo 1 dell’Allegato A alla Delibera 443/2019 definisce il </w:t>
      </w:r>
      <w:r w:rsidRPr="001739A0">
        <w:rPr>
          <w:rFonts w:ascii="Corbel" w:hAnsi="Corbel"/>
          <w:b/>
          <w:bCs/>
          <w:sz w:val="24"/>
          <w:szCs w:val="24"/>
          <w:lang w:eastAsia="it-IT"/>
        </w:rPr>
        <w:t>servizio integrato di gestione</w:t>
      </w:r>
      <w:r>
        <w:rPr>
          <w:rFonts w:ascii="Corbel" w:hAnsi="Corbel"/>
          <w:sz w:val="24"/>
          <w:szCs w:val="24"/>
          <w:lang w:eastAsia="it-IT"/>
        </w:rPr>
        <w:t xml:space="preserve"> come il </w:t>
      </w:r>
      <w:r w:rsidRPr="001739A0">
        <w:rPr>
          <w:rFonts w:ascii="Corbel" w:hAnsi="Corbel"/>
          <w:i/>
          <w:iCs/>
          <w:sz w:val="24"/>
          <w:szCs w:val="24"/>
          <w:lang w:eastAsia="it-IT"/>
        </w:rPr>
        <w:t>“complesso delle attività volte ad ottimizzare la gestione dei rifiuti urbani, (indipendentemente dalla classificazione che assumono durante il loro percorso) vale a dire: l’attività di raccolta e trasporto; l’attività di trattamento e smaltimento dei RU; l’attività di trattamento e recupero; l'attività di spazzamento e lavaggio strade, nonché l’attività di gestione tariffe e rapporto con gli utenti”</w:t>
      </w:r>
      <w:r>
        <w:rPr>
          <w:rFonts w:ascii="Corbel" w:hAnsi="Corbel"/>
          <w:i/>
          <w:iCs/>
          <w:sz w:val="24"/>
          <w:szCs w:val="24"/>
          <w:lang w:eastAsia="it-IT"/>
        </w:rPr>
        <w:t xml:space="preserve"> </w:t>
      </w:r>
      <w:r>
        <w:rPr>
          <w:rFonts w:ascii="Corbel" w:hAnsi="Corbel"/>
          <w:sz w:val="24"/>
          <w:szCs w:val="24"/>
          <w:lang w:eastAsia="it-IT"/>
        </w:rPr>
        <w:t xml:space="preserve">e le </w:t>
      </w:r>
      <w:r w:rsidRPr="001739A0">
        <w:rPr>
          <w:rFonts w:ascii="Corbel" w:hAnsi="Corbel"/>
          <w:b/>
          <w:bCs/>
          <w:sz w:val="24"/>
          <w:szCs w:val="24"/>
          <w:lang w:eastAsia="it-IT"/>
        </w:rPr>
        <w:t>attività esterne</w:t>
      </w:r>
      <w:r>
        <w:rPr>
          <w:rFonts w:ascii="Corbel" w:hAnsi="Corbel"/>
          <w:i/>
          <w:iCs/>
          <w:sz w:val="24"/>
          <w:szCs w:val="24"/>
          <w:lang w:eastAsia="it-IT"/>
        </w:rPr>
        <w:t xml:space="preserve"> </w:t>
      </w:r>
      <w:r w:rsidRPr="001739A0">
        <w:rPr>
          <w:rFonts w:ascii="Corbel" w:hAnsi="Corbel"/>
          <w:b/>
          <w:bCs/>
          <w:sz w:val="24"/>
          <w:szCs w:val="24"/>
          <w:lang w:eastAsia="it-IT"/>
        </w:rPr>
        <w:t>al ciclo integrato dei RU</w:t>
      </w:r>
      <w:r>
        <w:rPr>
          <w:rFonts w:ascii="Corbel" w:hAnsi="Corbel"/>
          <w:sz w:val="24"/>
          <w:szCs w:val="24"/>
          <w:lang w:eastAsia="it-IT"/>
        </w:rPr>
        <w:t xml:space="preserve"> come le </w:t>
      </w:r>
      <w:r w:rsidRPr="001739A0">
        <w:rPr>
          <w:rFonts w:ascii="Corbel" w:hAnsi="Corbel"/>
          <w:i/>
          <w:iCs/>
          <w:sz w:val="24"/>
          <w:szCs w:val="24"/>
          <w:lang w:eastAsia="it-IT"/>
        </w:rPr>
        <w:t>“attività che, anche qualora siano state incluse nella concessione di affidamento del servizio di gestione integrata del ciclo dei rifiuti, ai sensi della normativa vigente, non possono essere incluse nel perimetro sottoposto a regolazione dell’Autorità</w:t>
      </w:r>
      <w:r>
        <w:rPr>
          <w:rFonts w:ascii="Corbel" w:hAnsi="Corbel"/>
          <w:i/>
          <w:iCs/>
          <w:sz w:val="24"/>
          <w:szCs w:val="24"/>
          <w:lang w:eastAsia="it-IT"/>
        </w:rPr>
        <w:t xml:space="preserve">; </w:t>
      </w:r>
      <w:r w:rsidRPr="001739A0">
        <w:rPr>
          <w:rFonts w:ascii="Corbel" w:hAnsi="Corbel"/>
          <w:i/>
          <w:iCs/>
          <w:sz w:val="24"/>
          <w:szCs w:val="24"/>
          <w:lang w:eastAsia="it-IT"/>
        </w:rPr>
        <w:t>a titolo esemplificativo ma non esaustivo, comprendono in</w:t>
      </w:r>
      <w:r>
        <w:rPr>
          <w:rFonts w:ascii="Corbel" w:hAnsi="Corbel"/>
          <w:i/>
          <w:iCs/>
          <w:sz w:val="24"/>
          <w:szCs w:val="24"/>
          <w:lang w:eastAsia="it-IT"/>
        </w:rPr>
        <w:t xml:space="preserve"> </w:t>
      </w:r>
      <w:r w:rsidRPr="001739A0">
        <w:rPr>
          <w:rFonts w:ascii="Corbel" w:hAnsi="Corbel"/>
          <w:i/>
          <w:iCs/>
          <w:sz w:val="24"/>
          <w:szCs w:val="24"/>
          <w:lang w:eastAsia="it-IT"/>
        </w:rPr>
        <w:t>particolare:</w:t>
      </w:r>
      <w:r w:rsidR="001F07C0">
        <w:rPr>
          <w:rFonts w:ascii="Corbel" w:hAnsi="Corbel"/>
          <w:i/>
          <w:iCs/>
          <w:sz w:val="24"/>
          <w:szCs w:val="24"/>
          <w:lang w:eastAsia="it-IT"/>
        </w:rPr>
        <w:t xml:space="preserve"> </w:t>
      </w:r>
      <w:r w:rsidRPr="001739A0">
        <w:rPr>
          <w:rFonts w:ascii="Corbel" w:hAnsi="Corbel"/>
          <w:i/>
          <w:iCs/>
          <w:sz w:val="24"/>
          <w:szCs w:val="24"/>
          <w:lang w:eastAsia="it-IT"/>
        </w:rPr>
        <w:t>raccolta, trasporto e smaltimento amianto da utenze domestiche</w:t>
      </w:r>
      <w:r>
        <w:rPr>
          <w:rFonts w:ascii="Corbel" w:hAnsi="Corbel"/>
          <w:i/>
          <w:iCs/>
          <w:sz w:val="24"/>
          <w:szCs w:val="24"/>
          <w:lang w:eastAsia="it-IT"/>
        </w:rPr>
        <w:t xml:space="preserve">; </w:t>
      </w:r>
      <w:r w:rsidRPr="001739A0">
        <w:rPr>
          <w:rFonts w:ascii="Corbel" w:hAnsi="Corbel"/>
          <w:i/>
          <w:iCs/>
          <w:sz w:val="24"/>
          <w:szCs w:val="24"/>
          <w:lang w:eastAsia="it-IT"/>
        </w:rPr>
        <w:t>derattizzazione;</w:t>
      </w:r>
      <w:r>
        <w:rPr>
          <w:rFonts w:ascii="Corbel" w:hAnsi="Corbel"/>
          <w:i/>
          <w:iCs/>
          <w:sz w:val="24"/>
          <w:szCs w:val="24"/>
          <w:lang w:eastAsia="it-IT"/>
        </w:rPr>
        <w:t xml:space="preserve"> </w:t>
      </w:r>
      <w:r w:rsidRPr="001739A0">
        <w:rPr>
          <w:rFonts w:ascii="Corbel" w:hAnsi="Corbel"/>
          <w:i/>
          <w:iCs/>
          <w:sz w:val="24"/>
          <w:szCs w:val="24"/>
          <w:lang w:eastAsia="it-IT"/>
        </w:rPr>
        <w:t>disinfestazione zanzare;</w:t>
      </w:r>
      <w:r>
        <w:rPr>
          <w:rFonts w:ascii="Corbel" w:hAnsi="Corbel"/>
          <w:i/>
          <w:iCs/>
          <w:sz w:val="24"/>
          <w:szCs w:val="24"/>
          <w:lang w:eastAsia="it-IT"/>
        </w:rPr>
        <w:t xml:space="preserve"> </w:t>
      </w:r>
      <w:r w:rsidRPr="001739A0">
        <w:rPr>
          <w:rFonts w:ascii="Corbel" w:hAnsi="Corbel"/>
          <w:i/>
          <w:iCs/>
          <w:sz w:val="24"/>
          <w:szCs w:val="24"/>
          <w:lang w:eastAsia="it-IT"/>
        </w:rPr>
        <w:t>spazzamento e sgombero della neve;</w:t>
      </w:r>
      <w:r>
        <w:rPr>
          <w:rFonts w:ascii="Corbel" w:hAnsi="Corbel"/>
          <w:i/>
          <w:iCs/>
          <w:sz w:val="24"/>
          <w:szCs w:val="24"/>
          <w:lang w:eastAsia="it-IT"/>
        </w:rPr>
        <w:t xml:space="preserve"> </w:t>
      </w:r>
      <w:r w:rsidRPr="001739A0">
        <w:rPr>
          <w:rFonts w:ascii="Corbel" w:hAnsi="Corbel"/>
          <w:i/>
          <w:iCs/>
          <w:sz w:val="24"/>
          <w:szCs w:val="24"/>
          <w:lang w:eastAsia="it-IT"/>
        </w:rPr>
        <w:t>cancellazione scritte vandaliche;</w:t>
      </w:r>
      <w:r>
        <w:rPr>
          <w:rFonts w:ascii="Corbel" w:hAnsi="Corbel"/>
          <w:i/>
          <w:iCs/>
          <w:sz w:val="24"/>
          <w:szCs w:val="24"/>
          <w:lang w:eastAsia="it-IT"/>
        </w:rPr>
        <w:t xml:space="preserve"> </w:t>
      </w:r>
      <w:r w:rsidRPr="001739A0">
        <w:rPr>
          <w:rFonts w:ascii="Corbel" w:hAnsi="Corbel"/>
          <w:i/>
          <w:iCs/>
          <w:sz w:val="24"/>
          <w:szCs w:val="24"/>
          <w:lang w:eastAsia="it-IT"/>
        </w:rPr>
        <w:t>defissione di manifesti abusivi;</w:t>
      </w:r>
      <w:r>
        <w:rPr>
          <w:rFonts w:ascii="Corbel" w:hAnsi="Corbel"/>
          <w:i/>
          <w:iCs/>
          <w:sz w:val="24"/>
          <w:szCs w:val="24"/>
          <w:lang w:eastAsia="it-IT"/>
        </w:rPr>
        <w:t xml:space="preserve"> </w:t>
      </w:r>
      <w:r w:rsidRPr="001739A0">
        <w:rPr>
          <w:rFonts w:ascii="Corbel" w:hAnsi="Corbel"/>
          <w:i/>
          <w:iCs/>
          <w:sz w:val="24"/>
          <w:szCs w:val="24"/>
          <w:lang w:eastAsia="it-IT"/>
        </w:rPr>
        <w:t>gestione dei servizi igienici pubblici;</w:t>
      </w:r>
      <w:r>
        <w:rPr>
          <w:rFonts w:ascii="Corbel" w:hAnsi="Corbel"/>
          <w:i/>
          <w:iCs/>
          <w:sz w:val="24"/>
          <w:szCs w:val="24"/>
          <w:lang w:eastAsia="it-IT"/>
        </w:rPr>
        <w:t xml:space="preserve"> </w:t>
      </w:r>
      <w:r w:rsidRPr="001739A0">
        <w:rPr>
          <w:rFonts w:ascii="Corbel" w:hAnsi="Corbel"/>
          <w:i/>
          <w:iCs/>
          <w:sz w:val="24"/>
          <w:szCs w:val="24"/>
          <w:lang w:eastAsia="it-IT"/>
        </w:rPr>
        <w:t>gestione del verde pubblico;</w:t>
      </w:r>
      <w:r>
        <w:rPr>
          <w:rFonts w:ascii="Corbel" w:hAnsi="Corbel"/>
          <w:i/>
          <w:iCs/>
          <w:sz w:val="24"/>
          <w:szCs w:val="24"/>
          <w:lang w:eastAsia="it-IT"/>
        </w:rPr>
        <w:t xml:space="preserve"> </w:t>
      </w:r>
      <w:r w:rsidRPr="001739A0">
        <w:rPr>
          <w:rFonts w:ascii="Corbel" w:hAnsi="Corbel"/>
          <w:i/>
          <w:iCs/>
          <w:sz w:val="24"/>
          <w:szCs w:val="24"/>
          <w:lang w:eastAsia="it-IT"/>
        </w:rPr>
        <w:t>manutenzione delle fontane</w:t>
      </w:r>
      <w:r>
        <w:rPr>
          <w:rFonts w:ascii="Corbel" w:hAnsi="Corbel"/>
          <w:i/>
          <w:iCs/>
          <w:sz w:val="24"/>
          <w:szCs w:val="24"/>
          <w:lang w:eastAsia="it-IT"/>
        </w:rPr>
        <w:t xml:space="preserve">”. </w:t>
      </w:r>
    </w:p>
    <w:p w14:paraId="6F54D244" w14:textId="6F2781CA" w:rsidR="00E717B9" w:rsidRDefault="00E717B9" w:rsidP="00E30BC2">
      <w:pPr>
        <w:spacing w:after="0"/>
        <w:jc w:val="both"/>
        <w:rPr>
          <w:rFonts w:ascii="Corbel" w:hAnsi="Corbel"/>
          <w:sz w:val="24"/>
          <w:szCs w:val="24"/>
          <w:lang w:eastAsia="it-IT"/>
        </w:rPr>
      </w:pPr>
      <w:r>
        <w:rPr>
          <w:rFonts w:ascii="Corbel" w:hAnsi="Corbel"/>
          <w:sz w:val="24"/>
          <w:szCs w:val="24"/>
          <w:lang w:eastAsia="it-IT"/>
        </w:rPr>
        <w:t xml:space="preserve">I costi </w:t>
      </w:r>
      <w:r w:rsidRPr="00AC4116">
        <w:rPr>
          <w:rFonts w:ascii="Corbel" w:hAnsi="Corbel"/>
          <w:sz w:val="24"/>
          <w:szCs w:val="24"/>
          <w:lang w:eastAsia="it-IT"/>
        </w:rPr>
        <w:t>sostenuti per le attività esterne al perimetro gestionale possono essere ammessi a copertura tariffaria nell’anno 202</w:t>
      </w:r>
      <w:r w:rsidR="00A904A8">
        <w:rPr>
          <w:rFonts w:ascii="Corbel" w:hAnsi="Corbel"/>
          <w:sz w:val="24"/>
          <w:szCs w:val="24"/>
          <w:lang w:eastAsia="it-IT"/>
        </w:rPr>
        <w:t>1</w:t>
      </w:r>
      <w:r w:rsidRPr="00AC4116">
        <w:rPr>
          <w:rFonts w:ascii="Corbel" w:hAnsi="Corbel"/>
          <w:sz w:val="24"/>
          <w:szCs w:val="24"/>
          <w:lang w:eastAsia="it-IT"/>
        </w:rPr>
        <w:t xml:space="preserve"> solo laddove fossero presenti anche all’interno dei Piani Finanziari precedenti, come riportato nella premessa della Delibera 443. In tal caso è opportuno dare separata evidenza degli oneri riconducibili a tali attività all’interno degli avvisi di pagamento (Delibera 443, art. 5, comma 3).</w:t>
      </w:r>
      <w:r>
        <w:rPr>
          <w:rFonts w:ascii="Corbel" w:hAnsi="Corbel"/>
          <w:sz w:val="24"/>
          <w:szCs w:val="24"/>
          <w:lang w:eastAsia="it-IT"/>
        </w:rPr>
        <w:t xml:space="preserve"> </w:t>
      </w:r>
    </w:p>
    <w:p w14:paraId="24137AFB" w14:textId="77777777" w:rsidR="00E717B9" w:rsidRDefault="00E717B9" w:rsidP="00E30BC2">
      <w:pPr>
        <w:spacing w:after="0"/>
        <w:jc w:val="both"/>
        <w:rPr>
          <w:rFonts w:ascii="Corbel" w:hAnsi="Corbel"/>
          <w:sz w:val="24"/>
          <w:szCs w:val="24"/>
          <w:lang w:eastAsia="it-IT"/>
        </w:rPr>
      </w:pPr>
    </w:p>
    <w:p w14:paraId="343BBEEC" w14:textId="0137C915" w:rsidR="00E717B9" w:rsidRDefault="00E717B9" w:rsidP="00E30BC2">
      <w:pPr>
        <w:spacing w:after="0"/>
        <w:jc w:val="both"/>
        <w:rPr>
          <w:rFonts w:ascii="Corbel" w:hAnsi="Corbel"/>
          <w:sz w:val="24"/>
          <w:szCs w:val="24"/>
          <w:lang w:eastAsia="it-IT"/>
        </w:rPr>
      </w:pPr>
      <w:r>
        <w:rPr>
          <w:rFonts w:ascii="Corbel" w:hAnsi="Corbel"/>
          <w:sz w:val="24"/>
          <w:szCs w:val="24"/>
          <w:lang w:eastAsia="it-IT"/>
        </w:rPr>
        <w:t>Si riportano di seguito i soggetti gestori rispettivamente delle attività incluse nel perimetro gestionale e delle attività esterne.</w:t>
      </w:r>
    </w:p>
    <w:p w14:paraId="5429DB55" w14:textId="77777777" w:rsidR="00EA2AB2" w:rsidRDefault="00EA2AB2" w:rsidP="00EA2AB2">
      <w:pPr>
        <w:spacing w:after="0" w:line="360" w:lineRule="auto"/>
        <w:jc w:val="both"/>
        <w:rPr>
          <w:rFonts w:ascii="Corbel" w:hAnsi="Corbel"/>
          <w:sz w:val="24"/>
          <w:szCs w:val="24"/>
          <w:lang w:eastAsia="it-IT"/>
        </w:rPr>
      </w:pPr>
    </w:p>
    <w:p w14:paraId="1DDD48A2" w14:textId="63FF966B" w:rsidR="003201AC" w:rsidRDefault="003201AC" w:rsidP="00C77BF1">
      <w:pPr>
        <w:pStyle w:val="Titolo3"/>
        <w:rPr>
          <w:i/>
          <w:iCs/>
        </w:rPr>
      </w:pPr>
      <w:bookmarkStart w:id="2" w:name="_Toc74642237"/>
      <w:r w:rsidRPr="00040D2A">
        <w:t>1.1 Attività incluse nel perimetro gestionale</w:t>
      </w:r>
      <w:bookmarkEnd w:id="2"/>
    </w:p>
    <w:p w14:paraId="438EC61E" w14:textId="596F1895" w:rsidR="00572A28" w:rsidRPr="000D1D67" w:rsidRDefault="00572A28" w:rsidP="00572A28">
      <w:pPr>
        <w:rPr>
          <w:rFonts w:ascii="Corbel" w:hAnsi="Corbel"/>
          <w:i/>
          <w:iCs/>
          <w:sz w:val="24"/>
          <w:szCs w:val="24"/>
        </w:rPr>
      </w:pPr>
      <w:r w:rsidRPr="00E30BC2">
        <w:rPr>
          <w:rFonts w:ascii="Corbel" w:hAnsi="Corbel"/>
          <w:b/>
          <w:bCs/>
          <w:sz w:val="24"/>
          <w:szCs w:val="24"/>
          <w:u w:val="single"/>
        </w:rPr>
        <w:t>Spazzamento e lavaggio strade</w:t>
      </w:r>
      <w:r>
        <w:rPr>
          <w:rFonts w:ascii="Corbel" w:hAnsi="Corbel"/>
          <w:sz w:val="24"/>
          <w:szCs w:val="24"/>
        </w:rPr>
        <w:t xml:space="preserve">: </w:t>
      </w:r>
      <w:r w:rsidR="00B539B6">
        <w:rPr>
          <w:rFonts w:ascii="Corbel" w:hAnsi="Corbel"/>
          <w:i/>
          <w:iCs/>
          <w:sz w:val="24"/>
          <w:szCs w:val="24"/>
        </w:rPr>
        <w:t xml:space="preserve">Comune di </w:t>
      </w:r>
      <w:r w:rsidR="00D01810">
        <w:rPr>
          <w:rFonts w:ascii="Corbel" w:hAnsi="Corbel"/>
          <w:i/>
          <w:iCs/>
          <w:sz w:val="24"/>
          <w:szCs w:val="24"/>
        </w:rPr>
        <w:t>Montalto delle Marche</w:t>
      </w:r>
    </w:p>
    <w:p w14:paraId="575347A3" w14:textId="77777777" w:rsidR="00572A28" w:rsidRPr="000D1D67" w:rsidRDefault="00572A28" w:rsidP="00572A28">
      <w:pPr>
        <w:pStyle w:val="Paragrafoelenco"/>
        <w:numPr>
          <w:ilvl w:val="0"/>
          <w:numId w:val="4"/>
        </w:numPr>
        <w:jc w:val="both"/>
        <w:rPr>
          <w:rFonts w:ascii="Corbel" w:hAnsi="Corbel"/>
          <w:sz w:val="24"/>
          <w:szCs w:val="24"/>
        </w:rPr>
      </w:pPr>
      <w:r w:rsidRPr="000D1D67">
        <w:rPr>
          <w:rFonts w:ascii="Corbel" w:hAnsi="Corbel"/>
          <w:sz w:val="24"/>
          <w:szCs w:val="24"/>
        </w:rPr>
        <w:t>spazzamento manuale e meccanizzato di strade, piazze ed aree pubbliche e aree private ad uso pubblico e di parcheggio</w:t>
      </w:r>
      <w:r>
        <w:rPr>
          <w:rFonts w:ascii="Corbel" w:hAnsi="Corbel"/>
          <w:sz w:val="24"/>
          <w:szCs w:val="24"/>
        </w:rPr>
        <w:t>;</w:t>
      </w:r>
    </w:p>
    <w:p w14:paraId="30F010C8" w14:textId="3A7E7BFF" w:rsidR="00572A28" w:rsidRDefault="00572A28" w:rsidP="00572A28">
      <w:pPr>
        <w:pStyle w:val="Paragrafoelenco"/>
        <w:numPr>
          <w:ilvl w:val="0"/>
          <w:numId w:val="4"/>
        </w:numPr>
        <w:jc w:val="both"/>
        <w:rPr>
          <w:rFonts w:ascii="Corbel" w:hAnsi="Corbel"/>
          <w:sz w:val="24"/>
          <w:szCs w:val="24"/>
        </w:rPr>
      </w:pPr>
      <w:r w:rsidRPr="000D1D67">
        <w:rPr>
          <w:rFonts w:ascii="Corbel" w:hAnsi="Corbel"/>
          <w:sz w:val="24"/>
          <w:szCs w:val="24"/>
        </w:rPr>
        <w:t>lavaggio del suolo pubblico, strade, piazze e marciapiedi</w:t>
      </w:r>
      <w:r w:rsidR="00FB5514">
        <w:rPr>
          <w:rFonts w:ascii="Corbel" w:hAnsi="Corbel"/>
          <w:sz w:val="24"/>
          <w:szCs w:val="24"/>
        </w:rPr>
        <w:t>.</w:t>
      </w:r>
    </w:p>
    <w:p w14:paraId="04C096F6" w14:textId="77777777" w:rsidR="00572A28" w:rsidRPr="000D1D67" w:rsidRDefault="00572A28" w:rsidP="00572A28">
      <w:pPr>
        <w:pStyle w:val="Paragrafoelenco"/>
        <w:rPr>
          <w:rFonts w:ascii="Corbel" w:hAnsi="Corbel"/>
          <w:sz w:val="24"/>
          <w:szCs w:val="24"/>
        </w:rPr>
      </w:pPr>
    </w:p>
    <w:p w14:paraId="20E36C32" w14:textId="23D5E443" w:rsidR="00933175" w:rsidRDefault="00572A28" w:rsidP="00933175">
      <w:pPr>
        <w:rPr>
          <w:rFonts w:ascii="Corbel" w:hAnsi="Corbel"/>
          <w:i/>
          <w:iCs/>
          <w:sz w:val="24"/>
          <w:szCs w:val="24"/>
        </w:rPr>
      </w:pPr>
      <w:r w:rsidRPr="00E30BC2">
        <w:rPr>
          <w:rFonts w:ascii="Corbel" w:hAnsi="Corbel"/>
          <w:b/>
          <w:bCs/>
          <w:sz w:val="24"/>
          <w:szCs w:val="24"/>
          <w:u w:val="single"/>
        </w:rPr>
        <w:t>Raccolta e trasporto dei rifiuti</w:t>
      </w:r>
      <w:r w:rsidRPr="000D1D67">
        <w:rPr>
          <w:rFonts w:ascii="Corbel" w:hAnsi="Corbel"/>
          <w:b/>
          <w:bCs/>
          <w:sz w:val="24"/>
          <w:szCs w:val="24"/>
        </w:rPr>
        <w:t>:</w:t>
      </w:r>
      <w:r>
        <w:rPr>
          <w:rFonts w:ascii="Corbel" w:hAnsi="Corbel"/>
          <w:b/>
          <w:bCs/>
          <w:sz w:val="24"/>
          <w:szCs w:val="24"/>
        </w:rPr>
        <w:t xml:space="preserve"> </w:t>
      </w:r>
      <w:r w:rsidR="0033018B">
        <w:rPr>
          <w:rFonts w:ascii="Corbel" w:hAnsi="Corbel"/>
          <w:i/>
          <w:iCs/>
          <w:sz w:val="24"/>
          <w:szCs w:val="24"/>
        </w:rPr>
        <w:t xml:space="preserve">La Splendente </w:t>
      </w:r>
      <w:proofErr w:type="spellStart"/>
      <w:r w:rsidR="0033018B">
        <w:rPr>
          <w:rFonts w:ascii="Corbel" w:hAnsi="Corbel"/>
          <w:i/>
          <w:iCs/>
          <w:sz w:val="24"/>
          <w:szCs w:val="24"/>
        </w:rPr>
        <w:t>soc</w:t>
      </w:r>
      <w:proofErr w:type="spellEnd"/>
      <w:r w:rsidR="0033018B">
        <w:rPr>
          <w:rFonts w:ascii="Corbel" w:hAnsi="Corbel"/>
          <w:i/>
          <w:iCs/>
          <w:sz w:val="24"/>
          <w:szCs w:val="24"/>
        </w:rPr>
        <w:t>. coop.</w:t>
      </w:r>
    </w:p>
    <w:p w14:paraId="219AC359" w14:textId="274618CF" w:rsidR="004B1035" w:rsidRDefault="004B1035" w:rsidP="00933175">
      <w:pPr>
        <w:pStyle w:val="Paragrafoelenco"/>
        <w:numPr>
          <w:ilvl w:val="0"/>
          <w:numId w:val="10"/>
        </w:numPr>
        <w:rPr>
          <w:rFonts w:ascii="Corbel" w:hAnsi="Corbel"/>
          <w:sz w:val="24"/>
          <w:szCs w:val="24"/>
        </w:rPr>
      </w:pPr>
      <w:r w:rsidRPr="00933175">
        <w:rPr>
          <w:rFonts w:ascii="Corbel" w:hAnsi="Corbel"/>
          <w:sz w:val="24"/>
          <w:szCs w:val="24"/>
        </w:rPr>
        <w:t xml:space="preserve">raccolta </w:t>
      </w:r>
      <w:r w:rsidR="00933175">
        <w:rPr>
          <w:rFonts w:ascii="Corbel" w:hAnsi="Corbel"/>
          <w:sz w:val="24"/>
          <w:szCs w:val="24"/>
        </w:rPr>
        <w:t>in</w:t>
      </w:r>
      <w:r w:rsidRPr="00933175">
        <w:rPr>
          <w:rFonts w:ascii="Corbel" w:hAnsi="Corbel"/>
          <w:sz w:val="24"/>
          <w:szCs w:val="24"/>
        </w:rPr>
        <w:t>differenziata di rifiuti urbani;</w:t>
      </w:r>
    </w:p>
    <w:p w14:paraId="723FC5FD" w14:textId="3CDB9A7A" w:rsidR="007879A6" w:rsidRPr="007879A6" w:rsidRDefault="007879A6" w:rsidP="007879A6">
      <w:pPr>
        <w:pStyle w:val="Paragrafoelenco"/>
        <w:numPr>
          <w:ilvl w:val="0"/>
          <w:numId w:val="10"/>
        </w:numPr>
        <w:rPr>
          <w:rFonts w:ascii="Corbel" w:hAnsi="Corbel"/>
          <w:sz w:val="24"/>
          <w:szCs w:val="24"/>
        </w:rPr>
      </w:pPr>
      <w:r w:rsidRPr="007879A6">
        <w:rPr>
          <w:rFonts w:ascii="Corbel" w:hAnsi="Corbel"/>
          <w:sz w:val="24"/>
          <w:szCs w:val="24"/>
        </w:rPr>
        <w:t>raccolta differenziata di rifiuti urbani</w:t>
      </w:r>
      <w:r>
        <w:rPr>
          <w:rFonts w:ascii="Corbel" w:hAnsi="Corbel"/>
          <w:sz w:val="24"/>
          <w:szCs w:val="24"/>
        </w:rPr>
        <w:t>;</w:t>
      </w:r>
    </w:p>
    <w:p w14:paraId="139B6370" w14:textId="4FC2168E" w:rsidR="007879A6" w:rsidRPr="007879A6" w:rsidRDefault="007879A6" w:rsidP="007879A6">
      <w:pPr>
        <w:pStyle w:val="Paragrafoelenco"/>
        <w:numPr>
          <w:ilvl w:val="0"/>
          <w:numId w:val="10"/>
        </w:numPr>
        <w:rPr>
          <w:rFonts w:ascii="Corbel" w:hAnsi="Corbel"/>
          <w:sz w:val="24"/>
          <w:szCs w:val="24"/>
        </w:rPr>
      </w:pPr>
      <w:r w:rsidRPr="007879A6">
        <w:rPr>
          <w:rFonts w:ascii="Corbel" w:hAnsi="Corbel"/>
          <w:sz w:val="24"/>
          <w:szCs w:val="24"/>
        </w:rPr>
        <w:t>raccolta dei rifiuti presenti nei contenitori stradali</w:t>
      </w:r>
      <w:r>
        <w:rPr>
          <w:rFonts w:ascii="Corbel" w:hAnsi="Corbel"/>
          <w:sz w:val="24"/>
          <w:szCs w:val="24"/>
        </w:rPr>
        <w:t>;</w:t>
      </w:r>
    </w:p>
    <w:p w14:paraId="4B428226" w14:textId="63E8366D" w:rsidR="007879A6" w:rsidRPr="007879A6" w:rsidRDefault="007879A6" w:rsidP="007879A6">
      <w:pPr>
        <w:pStyle w:val="Paragrafoelenco"/>
        <w:numPr>
          <w:ilvl w:val="0"/>
          <w:numId w:val="10"/>
        </w:numPr>
        <w:rPr>
          <w:rFonts w:ascii="Corbel" w:hAnsi="Corbel"/>
          <w:sz w:val="24"/>
          <w:szCs w:val="24"/>
        </w:rPr>
      </w:pPr>
      <w:r w:rsidRPr="007879A6">
        <w:rPr>
          <w:rFonts w:ascii="Corbel" w:hAnsi="Corbel"/>
          <w:sz w:val="24"/>
          <w:szCs w:val="24"/>
        </w:rPr>
        <w:t>servizi di ritiro ingombranti che richiedano l’impiego di mezzi non ordinari</w:t>
      </w:r>
      <w:r>
        <w:rPr>
          <w:rFonts w:ascii="Corbel" w:hAnsi="Corbel"/>
          <w:sz w:val="24"/>
          <w:szCs w:val="24"/>
        </w:rPr>
        <w:t>;</w:t>
      </w:r>
    </w:p>
    <w:p w14:paraId="5187CA10" w14:textId="5E7CE291" w:rsidR="007879A6" w:rsidRPr="007879A6" w:rsidRDefault="007879A6" w:rsidP="007879A6">
      <w:pPr>
        <w:pStyle w:val="Paragrafoelenco"/>
        <w:numPr>
          <w:ilvl w:val="0"/>
          <w:numId w:val="10"/>
        </w:numPr>
        <w:rPr>
          <w:rFonts w:ascii="Corbel" w:hAnsi="Corbel"/>
          <w:sz w:val="24"/>
          <w:szCs w:val="24"/>
        </w:rPr>
      </w:pPr>
      <w:r w:rsidRPr="007879A6">
        <w:rPr>
          <w:rFonts w:ascii="Corbel" w:hAnsi="Corbel"/>
          <w:sz w:val="24"/>
          <w:szCs w:val="24"/>
        </w:rPr>
        <w:t>raccolta, trasporto e smaltimento di potature e sfalci erbosi</w:t>
      </w:r>
      <w:r>
        <w:rPr>
          <w:rFonts w:ascii="Corbel" w:hAnsi="Corbel"/>
          <w:sz w:val="24"/>
          <w:szCs w:val="24"/>
        </w:rPr>
        <w:t>;</w:t>
      </w:r>
    </w:p>
    <w:p w14:paraId="615FB4FB" w14:textId="780CAEE3" w:rsidR="007879A6" w:rsidRPr="007879A6" w:rsidRDefault="007879A6" w:rsidP="007879A6">
      <w:pPr>
        <w:pStyle w:val="Paragrafoelenco"/>
        <w:numPr>
          <w:ilvl w:val="0"/>
          <w:numId w:val="10"/>
        </w:numPr>
        <w:rPr>
          <w:rFonts w:ascii="Corbel" w:hAnsi="Corbel"/>
          <w:sz w:val="24"/>
          <w:szCs w:val="24"/>
        </w:rPr>
      </w:pPr>
      <w:r w:rsidRPr="007879A6">
        <w:rPr>
          <w:rFonts w:ascii="Corbel" w:hAnsi="Corbel"/>
          <w:sz w:val="24"/>
          <w:szCs w:val="24"/>
        </w:rPr>
        <w:t>trasporto verso impianti di recupero, compreso eventuale trasbordo su mezzi di maggiori dimensioni</w:t>
      </w:r>
      <w:r>
        <w:rPr>
          <w:rFonts w:ascii="Corbel" w:hAnsi="Corbel"/>
          <w:sz w:val="24"/>
          <w:szCs w:val="24"/>
        </w:rPr>
        <w:t>;</w:t>
      </w:r>
    </w:p>
    <w:p w14:paraId="2FAEF3FA" w14:textId="199E2EFB" w:rsidR="007879A6" w:rsidRPr="007879A6" w:rsidRDefault="007879A6" w:rsidP="007879A6">
      <w:pPr>
        <w:pStyle w:val="Paragrafoelenco"/>
        <w:numPr>
          <w:ilvl w:val="0"/>
          <w:numId w:val="10"/>
        </w:numPr>
        <w:rPr>
          <w:rFonts w:ascii="Corbel" w:hAnsi="Corbel"/>
          <w:sz w:val="24"/>
          <w:szCs w:val="24"/>
        </w:rPr>
      </w:pPr>
      <w:r w:rsidRPr="007879A6">
        <w:rPr>
          <w:rFonts w:ascii="Corbel" w:hAnsi="Corbel"/>
          <w:sz w:val="24"/>
          <w:szCs w:val="24"/>
        </w:rPr>
        <w:t>trasporto verso impianti di smaltimento, compreso eventuale trasbordo su mezzi di maggiori dimensioni</w:t>
      </w:r>
      <w:r>
        <w:rPr>
          <w:rFonts w:ascii="Corbel" w:hAnsi="Corbel"/>
          <w:sz w:val="24"/>
          <w:szCs w:val="24"/>
        </w:rPr>
        <w:t>;</w:t>
      </w:r>
    </w:p>
    <w:p w14:paraId="65D27BC9" w14:textId="19CA5279" w:rsidR="007879A6" w:rsidRPr="007879A6" w:rsidRDefault="007879A6" w:rsidP="007879A6">
      <w:pPr>
        <w:pStyle w:val="Paragrafoelenco"/>
        <w:numPr>
          <w:ilvl w:val="0"/>
          <w:numId w:val="10"/>
        </w:numPr>
        <w:rPr>
          <w:rFonts w:ascii="Corbel" w:hAnsi="Corbel"/>
          <w:sz w:val="24"/>
          <w:szCs w:val="24"/>
        </w:rPr>
      </w:pPr>
      <w:r w:rsidRPr="007879A6">
        <w:rPr>
          <w:rFonts w:ascii="Corbel" w:hAnsi="Corbel"/>
          <w:sz w:val="24"/>
          <w:szCs w:val="24"/>
        </w:rPr>
        <w:t>raccolta rifiuti e pulizia di mercati, arenili, rive fluviali e lacuali nonché di aree cimiteriali, compresa la raccolta di rifiuti prodotti da operazioni cimiteriali di esumazione ed estumulazione</w:t>
      </w:r>
      <w:r>
        <w:rPr>
          <w:rFonts w:ascii="Corbel" w:hAnsi="Corbel"/>
          <w:sz w:val="24"/>
          <w:szCs w:val="24"/>
        </w:rPr>
        <w:t xml:space="preserve"> (in collaborazione con il Comune di Montalto delle Marche);</w:t>
      </w:r>
    </w:p>
    <w:p w14:paraId="56E3B02D" w14:textId="01CAB132" w:rsidR="007879A6" w:rsidRPr="007879A6" w:rsidRDefault="007879A6" w:rsidP="007879A6">
      <w:pPr>
        <w:pStyle w:val="Paragrafoelenco"/>
        <w:numPr>
          <w:ilvl w:val="0"/>
          <w:numId w:val="10"/>
        </w:numPr>
        <w:rPr>
          <w:rFonts w:ascii="Corbel" w:hAnsi="Corbel"/>
          <w:sz w:val="24"/>
          <w:szCs w:val="24"/>
        </w:rPr>
      </w:pPr>
      <w:r w:rsidRPr="007879A6">
        <w:rPr>
          <w:rFonts w:ascii="Corbel" w:hAnsi="Corbel"/>
          <w:sz w:val="24"/>
          <w:szCs w:val="24"/>
        </w:rPr>
        <w:lastRenderedPageBreak/>
        <w:t>manutenzione dei contenitori</w:t>
      </w:r>
      <w:r>
        <w:rPr>
          <w:rFonts w:ascii="Corbel" w:hAnsi="Corbel"/>
          <w:sz w:val="24"/>
          <w:szCs w:val="24"/>
        </w:rPr>
        <w:t>;</w:t>
      </w:r>
    </w:p>
    <w:p w14:paraId="77EA863C" w14:textId="57FC7858" w:rsidR="007879A6" w:rsidRPr="007879A6" w:rsidRDefault="007879A6" w:rsidP="007879A6">
      <w:pPr>
        <w:pStyle w:val="Paragrafoelenco"/>
        <w:numPr>
          <w:ilvl w:val="0"/>
          <w:numId w:val="10"/>
        </w:numPr>
        <w:rPr>
          <w:rFonts w:ascii="Corbel" w:hAnsi="Corbel"/>
          <w:sz w:val="24"/>
          <w:szCs w:val="24"/>
        </w:rPr>
      </w:pPr>
      <w:r w:rsidRPr="007879A6">
        <w:rPr>
          <w:rFonts w:ascii="Corbel" w:hAnsi="Corbel"/>
          <w:sz w:val="24"/>
          <w:szCs w:val="24"/>
        </w:rPr>
        <w:t>gestione e manutenzione dei centri di raccolta collettivi e di riuso e di isole ecologiche</w:t>
      </w:r>
      <w:r>
        <w:rPr>
          <w:rFonts w:ascii="Corbel" w:hAnsi="Corbel"/>
          <w:sz w:val="24"/>
          <w:szCs w:val="24"/>
        </w:rPr>
        <w:t>;</w:t>
      </w:r>
    </w:p>
    <w:p w14:paraId="47328727" w14:textId="55D467D3" w:rsidR="007879A6" w:rsidRDefault="007879A6" w:rsidP="007879A6">
      <w:pPr>
        <w:pStyle w:val="Paragrafoelenco"/>
        <w:numPr>
          <w:ilvl w:val="0"/>
          <w:numId w:val="10"/>
        </w:numPr>
        <w:rPr>
          <w:rFonts w:ascii="Corbel" w:hAnsi="Corbel"/>
          <w:sz w:val="24"/>
          <w:szCs w:val="24"/>
        </w:rPr>
      </w:pPr>
      <w:r w:rsidRPr="007879A6">
        <w:rPr>
          <w:rFonts w:ascii="Corbel" w:hAnsi="Corbel"/>
          <w:sz w:val="24"/>
          <w:szCs w:val="24"/>
        </w:rPr>
        <w:t>commercializzazione dei rifiuti da raccolta differenziata</w:t>
      </w:r>
      <w:r>
        <w:rPr>
          <w:rFonts w:ascii="Corbel" w:hAnsi="Corbel"/>
          <w:sz w:val="24"/>
          <w:szCs w:val="24"/>
        </w:rPr>
        <w:t>.</w:t>
      </w:r>
    </w:p>
    <w:p w14:paraId="509FFC11" w14:textId="05421F71" w:rsidR="007879A6" w:rsidRDefault="007879A6" w:rsidP="007879A6">
      <w:pPr>
        <w:rPr>
          <w:rFonts w:ascii="Corbel" w:hAnsi="Corbel"/>
          <w:sz w:val="24"/>
          <w:szCs w:val="24"/>
        </w:rPr>
      </w:pPr>
      <w:r>
        <w:rPr>
          <w:rFonts w:ascii="Corbel" w:hAnsi="Corbel"/>
          <w:sz w:val="24"/>
          <w:szCs w:val="24"/>
        </w:rPr>
        <w:t>Il Comune provvede, in economia, allo svolgimento delle seguenti attività:</w:t>
      </w:r>
    </w:p>
    <w:p w14:paraId="54BCEC58" w14:textId="1A12F537" w:rsidR="007879A6" w:rsidRDefault="007879A6" w:rsidP="007879A6">
      <w:pPr>
        <w:pStyle w:val="Paragrafoelenco"/>
        <w:numPr>
          <w:ilvl w:val="0"/>
          <w:numId w:val="16"/>
        </w:numPr>
        <w:rPr>
          <w:rFonts w:ascii="Corbel" w:hAnsi="Corbel"/>
          <w:sz w:val="24"/>
          <w:szCs w:val="24"/>
        </w:rPr>
      </w:pPr>
      <w:r w:rsidRPr="007879A6">
        <w:rPr>
          <w:rFonts w:ascii="Corbel" w:hAnsi="Corbel"/>
          <w:sz w:val="24"/>
          <w:szCs w:val="24"/>
        </w:rPr>
        <w:t>vigilanza ambientale, ossia controllo del corretto conferimento dei rifiuti, accertamento e contestazione ai sensi delle norme vigenti e del regolamento di gestione del servizio</w:t>
      </w:r>
      <w:r>
        <w:rPr>
          <w:rFonts w:ascii="Corbel" w:hAnsi="Corbel"/>
          <w:sz w:val="24"/>
          <w:szCs w:val="24"/>
        </w:rPr>
        <w:t>;</w:t>
      </w:r>
    </w:p>
    <w:p w14:paraId="645610CD" w14:textId="3AFE0836" w:rsidR="007879A6" w:rsidRDefault="007879A6" w:rsidP="007879A6">
      <w:pPr>
        <w:pStyle w:val="Paragrafoelenco"/>
        <w:numPr>
          <w:ilvl w:val="0"/>
          <w:numId w:val="16"/>
        </w:numPr>
        <w:rPr>
          <w:rFonts w:ascii="Corbel" w:hAnsi="Corbel"/>
          <w:sz w:val="24"/>
          <w:szCs w:val="24"/>
        </w:rPr>
      </w:pPr>
      <w:r w:rsidRPr="007879A6">
        <w:rPr>
          <w:rFonts w:ascii="Corbel" w:hAnsi="Corbel"/>
          <w:sz w:val="24"/>
          <w:szCs w:val="24"/>
        </w:rPr>
        <w:t>vigilanza ambientale, ossia controllo del corretto conferimento dei rifiuti, accertamento e contestazione ai sensi delle norme vigenti e del regolamento di gestione del servizio</w:t>
      </w:r>
      <w:r>
        <w:rPr>
          <w:rFonts w:ascii="Corbel" w:hAnsi="Corbel"/>
          <w:sz w:val="24"/>
          <w:szCs w:val="24"/>
        </w:rPr>
        <w:t>.</w:t>
      </w:r>
    </w:p>
    <w:p w14:paraId="3E8DD88F" w14:textId="7EE29955" w:rsidR="00347A33" w:rsidRPr="00347A33" w:rsidRDefault="00347A33" w:rsidP="00347A33">
      <w:pPr>
        <w:rPr>
          <w:rFonts w:ascii="Corbel" w:hAnsi="Corbel"/>
          <w:sz w:val="24"/>
          <w:szCs w:val="24"/>
        </w:rPr>
      </w:pPr>
      <w:r>
        <w:rPr>
          <w:rFonts w:ascii="Corbel" w:hAnsi="Corbel"/>
          <w:sz w:val="24"/>
          <w:szCs w:val="24"/>
        </w:rPr>
        <w:t xml:space="preserve">Alla </w:t>
      </w:r>
      <w:r w:rsidRPr="00347A33">
        <w:rPr>
          <w:rFonts w:ascii="Corbel" w:hAnsi="Corbel"/>
          <w:sz w:val="24"/>
          <w:szCs w:val="24"/>
        </w:rPr>
        <w:t>raccolta d</w:t>
      </w:r>
      <w:r>
        <w:rPr>
          <w:rFonts w:ascii="Corbel" w:hAnsi="Corbel"/>
          <w:sz w:val="24"/>
          <w:szCs w:val="24"/>
        </w:rPr>
        <w:t xml:space="preserve">ei </w:t>
      </w:r>
      <w:r w:rsidRPr="00347A33">
        <w:rPr>
          <w:rFonts w:ascii="Corbel" w:hAnsi="Corbel"/>
          <w:sz w:val="24"/>
          <w:szCs w:val="24"/>
        </w:rPr>
        <w:t xml:space="preserve">rifiuti ingombranti, RAEE nonché </w:t>
      </w:r>
      <w:r>
        <w:rPr>
          <w:rFonts w:ascii="Corbel" w:hAnsi="Corbel"/>
          <w:sz w:val="24"/>
          <w:szCs w:val="24"/>
        </w:rPr>
        <w:t xml:space="preserve">gli </w:t>
      </w:r>
      <w:r w:rsidRPr="00347A33">
        <w:rPr>
          <w:rFonts w:ascii="Corbel" w:hAnsi="Corbel"/>
          <w:sz w:val="24"/>
          <w:szCs w:val="24"/>
        </w:rPr>
        <w:t>oli e</w:t>
      </w:r>
      <w:r>
        <w:rPr>
          <w:rFonts w:ascii="Corbel" w:hAnsi="Corbel"/>
          <w:sz w:val="24"/>
          <w:szCs w:val="24"/>
        </w:rPr>
        <w:t>d i</w:t>
      </w:r>
      <w:r w:rsidRPr="00347A33">
        <w:rPr>
          <w:rFonts w:ascii="Corbel" w:hAnsi="Corbel"/>
          <w:sz w:val="24"/>
          <w:szCs w:val="24"/>
        </w:rPr>
        <w:t xml:space="preserve"> grassi vegetali classificabili come rifiuti urbani</w:t>
      </w:r>
      <w:r>
        <w:rPr>
          <w:rFonts w:ascii="Corbel" w:hAnsi="Corbel"/>
          <w:sz w:val="24"/>
          <w:szCs w:val="24"/>
        </w:rPr>
        <w:t xml:space="preserve">, provvedono ditte terze affidatarie del servizio. </w:t>
      </w:r>
    </w:p>
    <w:p w14:paraId="1351CD19" w14:textId="77777777" w:rsidR="00897B78" w:rsidRPr="00B539B6" w:rsidRDefault="00897B78" w:rsidP="00B539B6">
      <w:pPr>
        <w:rPr>
          <w:rFonts w:ascii="Corbel" w:hAnsi="Corbel"/>
          <w:sz w:val="24"/>
          <w:szCs w:val="24"/>
        </w:rPr>
      </w:pPr>
    </w:p>
    <w:p w14:paraId="15665A1C" w14:textId="66FCE246" w:rsidR="004B1035" w:rsidRPr="004B1035" w:rsidRDefault="004B1035" w:rsidP="001F07C0">
      <w:pPr>
        <w:jc w:val="both"/>
        <w:rPr>
          <w:rFonts w:ascii="Corbel" w:hAnsi="Corbel"/>
          <w:b/>
          <w:bCs/>
          <w:color w:val="000000" w:themeColor="text1"/>
          <w:sz w:val="24"/>
          <w:szCs w:val="24"/>
        </w:rPr>
      </w:pPr>
      <w:r w:rsidRPr="004B1035">
        <w:rPr>
          <w:rFonts w:ascii="Corbel" w:hAnsi="Corbel"/>
          <w:b/>
          <w:bCs/>
          <w:color w:val="000000" w:themeColor="text1"/>
          <w:sz w:val="24"/>
          <w:szCs w:val="24"/>
          <w:u w:val="single"/>
        </w:rPr>
        <w:t>Gestione tariffa e rapporto con gli utenti</w:t>
      </w:r>
      <w:r w:rsidR="001F07C0" w:rsidRPr="001F07C0">
        <w:rPr>
          <w:rFonts w:ascii="Corbel" w:hAnsi="Corbel"/>
          <w:b/>
          <w:bCs/>
          <w:color w:val="000000" w:themeColor="text1"/>
          <w:sz w:val="24"/>
          <w:szCs w:val="24"/>
        </w:rPr>
        <w:t xml:space="preserve">: </w:t>
      </w:r>
      <w:r w:rsidRPr="004B1035">
        <w:rPr>
          <w:rFonts w:ascii="Corbel" w:hAnsi="Corbel"/>
          <w:i/>
          <w:iCs/>
          <w:color w:val="000000" w:themeColor="text1"/>
          <w:sz w:val="24"/>
          <w:szCs w:val="24"/>
        </w:rPr>
        <w:t xml:space="preserve">Comune di </w:t>
      </w:r>
      <w:r w:rsidR="008E3849">
        <w:rPr>
          <w:rFonts w:ascii="Corbel" w:hAnsi="Corbel"/>
          <w:i/>
          <w:iCs/>
          <w:color w:val="000000" w:themeColor="text1"/>
          <w:sz w:val="24"/>
          <w:szCs w:val="24"/>
        </w:rPr>
        <w:t xml:space="preserve">Montalto delle Marche </w:t>
      </w:r>
    </w:p>
    <w:p w14:paraId="129B97CD" w14:textId="77777777" w:rsidR="004B1035" w:rsidRPr="004B1035" w:rsidRDefault="004B1035" w:rsidP="004B1035">
      <w:pPr>
        <w:pStyle w:val="Paragrafoelenco"/>
        <w:numPr>
          <w:ilvl w:val="0"/>
          <w:numId w:val="3"/>
        </w:numPr>
        <w:jc w:val="both"/>
        <w:rPr>
          <w:rFonts w:ascii="Corbel" w:hAnsi="Corbel"/>
          <w:color w:val="000000" w:themeColor="text1"/>
          <w:sz w:val="24"/>
          <w:szCs w:val="24"/>
        </w:rPr>
      </w:pPr>
      <w:r w:rsidRPr="004B1035">
        <w:rPr>
          <w:rFonts w:ascii="Corbel" w:hAnsi="Corbel"/>
          <w:color w:val="000000" w:themeColor="text1"/>
          <w:sz w:val="24"/>
          <w:szCs w:val="24"/>
        </w:rPr>
        <w:t>accertamento, bollettazione e invio degli avvisi di pagamento, gestione della banca dati utenze, riscossione, gestione dei crediti e del contenzioso;</w:t>
      </w:r>
    </w:p>
    <w:p w14:paraId="761B4CB7" w14:textId="26D916B9" w:rsidR="004B1035" w:rsidRDefault="004B1035" w:rsidP="004B1035">
      <w:pPr>
        <w:pStyle w:val="Paragrafoelenco"/>
        <w:numPr>
          <w:ilvl w:val="0"/>
          <w:numId w:val="3"/>
        </w:numPr>
        <w:jc w:val="both"/>
        <w:rPr>
          <w:rFonts w:ascii="Corbel" w:hAnsi="Corbel"/>
          <w:color w:val="000000" w:themeColor="text1"/>
          <w:sz w:val="24"/>
          <w:szCs w:val="24"/>
        </w:rPr>
      </w:pPr>
      <w:r w:rsidRPr="004B1035">
        <w:rPr>
          <w:rFonts w:ascii="Corbel" w:hAnsi="Corbel"/>
          <w:color w:val="000000" w:themeColor="text1"/>
          <w:sz w:val="24"/>
          <w:szCs w:val="24"/>
        </w:rPr>
        <w:t>gestione del rapporto con l’utenza TARI tramite sportello tributi</w:t>
      </w:r>
      <w:r w:rsidR="008E3849">
        <w:rPr>
          <w:rFonts w:ascii="Corbel" w:hAnsi="Corbel"/>
          <w:color w:val="000000" w:themeColor="text1"/>
          <w:sz w:val="24"/>
          <w:szCs w:val="24"/>
        </w:rPr>
        <w:t>;</w:t>
      </w:r>
    </w:p>
    <w:p w14:paraId="71498B46" w14:textId="663ED412" w:rsidR="008E3849" w:rsidRDefault="008E3849" w:rsidP="004B1035">
      <w:pPr>
        <w:pStyle w:val="Paragrafoelenco"/>
        <w:numPr>
          <w:ilvl w:val="0"/>
          <w:numId w:val="3"/>
        </w:numPr>
        <w:jc w:val="both"/>
        <w:rPr>
          <w:rFonts w:ascii="Corbel" w:hAnsi="Corbel"/>
          <w:color w:val="000000" w:themeColor="text1"/>
          <w:sz w:val="24"/>
          <w:szCs w:val="24"/>
        </w:rPr>
      </w:pPr>
      <w:r w:rsidRPr="008E3849">
        <w:rPr>
          <w:rFonts w:ascii="Corbel" w:hAnsi="Corbel"/>
          <w:color w:val="000000" w:themeColor="text1"/>
          <w:sz w:val="24"/>
          <w:szCs w:val="24"/>
        </w:rPr>
        <w:t>comunicazione agli utenti per campagne informative e di educazione ambientale relative al servizio di raccolta e trasporto</w:t>
      </w:r>
      <w:r>
        <w:rPr>
          <w:rFonts w:ascii="Corbel" w:hAnsi="Corbel"/>
          <w:color w:val="000000" w:themeColor="text1"/>
          <w:sz w:val="24"/>
          <w:szCs w:val="24"/>
        </w:rPr>
        <w:t>.</w:t>
      </w:r>
    </w:p>
    <w:p w14:paraId="0F766239" w14:textId="77777777" w:rsidR="00355713" w:rsidRPr="00355713" w:rsidRDefault="00355713" w:rsidP="00355713">
      <w:pPr>
        <w:pStyle w:val="Paragrafoelenco"/>
        <w:jc w:val="both"/>
        <w:rPr>
          <w:rFonts w:ascii="Corbel" w:hAnsi="Corbel"/>
          <w:sz w:val="24"/>
          <w:szCs w:val="24"/>
        </w:rPr>
      </w:pPr>
    </w:p>
    <w:p w14:paraId="1E14379F" w14:textId="2BA460E5" w:rsidR="00A04BD0" w:rsidRDefault="00A904A8" w:rsidP="00A04BD0">
      <w:pPr>
        <w:jc w:val="both"/>
        <w:rPr>
          <w:rFonts w:ascii="Corbel" w:hAnsi="Corbel"/>
          <w:i/>
          <w:iCs/>
          <w:sz w:val="24"/>
          <w:szCs w:val="24"/>
        </w:rPr>
      </w:pPr>
      <w:r w:rsidRPr="00511C1E">
        <w:rPr>
          <w:rFonts w:ascii="Corbel" w:hAnsi="Corbel"/>
          <w:b/>
          <w:bCs/>
          <w:sz w:val="24"/>
          <w:szCs w:val="24"/>
          <w:u w:val="single"/>
        </w:rPr>
        <w:t>Trattamento, recupero e smaltimento dei rifiut</w:t>
      </w:r>
      <w:r>
        <w:rPr>
          <w:rFonts w:ascii="Corbel" w:hAnsi="Corbel"/>
          <w:b/>
          <w:bCs/>
          <w:sz w:val="24"/>
          <w:szCs w:val="24"/>
          <w:u w:val="single"/>
        </w:rPr>
        <w:t>i</w:t>
      </w:r>
      <w:r w:rsidRPr="005B7671">
        <w:rPr>
          <w:rFonts w:ascii="Corbel" w:hAnsi="Corbel"/>
          <w:b/>
          <w:bCs/>
          <w:sz w:val="24"/>
          <w:szCs w:val="24"/>
        </w:rPr>
        <w:t>:</w:t>
      </w:r>
      <w:r w:rsidR="003F4751">
        <w:rPr>
          <w:rFonts w:ascii="Corbel" w:hAnsi="Corbel"/>
          <w:b/>
          <w:bCs/>
          <w:sz w:val="24"/>
          <w:szCs w:val="24"/>
        </w:rPr>
        <w:t xml:space="preserve"> </w:t>
      </w:r>
      <w:r w:rsidR="00066673">
        <w:rPr>
          <w:rFonts w:ascii="Corbel" w:hAnsi="Corbel"/>
          <w:i/>
          <w:iCs/>
          <w:sz w:val="24"/>
          <w:szCs w:val="24"/>
        </w:rPr>
        <w:t>Fermo ASITE/ATO5</w:t>
      </w:r>
      <w:r w:rsidR="00AC69D8">
        <w:rPr>
          <w:rFonts w:ascii="Corbel" w:hAnsi="Corbel"/>
          <w:i/>
          <w:iCs/>
          <w:sz w:val="24"/>
          <w:szCs w:val="24"/>
        </w:rPr>
        <w:t xml:space="preserve">/La Splendente </w:t>
      </w:r>
      <w:proofErr w:type="spellStart"/>
      <w:r w:rsidR="00AC69D8">
        <w:rPr>
          <w:rFonts w:ascii="Corbel" w:hAnsi="Corbel"/>
          <w:i/>
          <w:iCs/>
          <w:sz w:val="24"/>
          <w:szCs w:val="24"/>
        </w:rPr>
        <w:t>soc</w:t>
      </w:r>
      <w:proofErr w:type="spellEnd"/>
      <w:r w:rsidR="00AC69D8">
        <w:rPr>
          <w:rFonts w:ascii="Corbel" w:hAnsi="Corbel"/>
          <w:i/>
          <w:iCs/>
          <w:sz w:val="24"/>
          <w:szCs w:val="24"/>
        </w:rPr>
        <w:t>. coop.</w:t>
      </w:r>
    </w:p>
    <w:p w14:paraId="4760FC2C" w14:textId="77554A67" w:rsidR="00A904A8" w:rsidRPr="00A04BD0" w:rsidRDefault="00A904A8" w:rsidP="00A04BD0">
      <w:pPr>
        <w:pStyle w:val="Paragrafoelenco"/>
        <w:numPr>
          <w:ilvl w:val="0"/>
          <w:numId w:val="15"/>
        </w:numPr>
        <w:jc w:val="both"/>
        <w:rPr>
          <w:rFonts w:ascii="Corbel" w:hAnsi="Corbel"/>
          <w:sz w:val="24"/>
          <w:szCs w:val="24"/>
        </w:rPr>
      </w:pPr>
      <w:r w:rsidRPr="00A04BD0">
        <w:rPr>
          <w:rFonts w:ascii="Corbel" w:hAnsi="Corbel"/>
          <w:sz w:val="24"/>
          <w:szCs w:val="24"/>
        </w:rPr>
        <w:t xml:space="preserve">attività di smaltimento dei rifiuti urbani presso gli impianti di trattamento meccanico-biologico poi destinati allo smaltimento, di incenerimento senza recupero energetico e smaltimento in impianti di discarica controllata; </w:t>
      </w:r>
    </w:p>
    <w:p w14:paraId="6EB6FE45" w14:textId="77777777" w:rsidR="00A904A8" w:rsidRDefault="00A904A8" w:rsidP="00A904A8">
      <w:pPr>
        <w:pStyle w:val="Paragrafoelenco"/>
        <w:numPr>
          <w:ilvl w:val="0"/>
          <w:numId w:val="3"/>
        </w:numPr>
        <w:jc w:val="both"/>
        <w:rPr>
          <w:rFonts w:ascii="Corbel" w:hAnsi="Corbel"/>
          <w:sz w:val="24"/>
          <w:szCs w:val="24"/>
        </w:rPr>
      </w:pPr>
      <w:r w:rsidRPr="000F4977">
        <w:rPr>
          <w:rFonts w:ascii="Corbel" w:hAnsi="Corbel"/>
          <w:sz w:val="24"/>
          <w:szCs w:val="24"/>
        </w:rPr>
        <w:t>attività di trattamento dei rifiuti urbani presso gli impianti di trattamento meccanico-biologico poi destinati al recupero/riciclo, incenerimento, compostaggio, digestione anaerobica</w:t>
      </w:r>
      <w:r>
        <w:rPr>
          <w:rFonts w:ascii="Corbel" w:hAnsi="Corbel"/>
          <w:sz w:val="24"/>
          <w:szCs w:val="24"/>
        </w:rPr>
        <w:t>.</w:t>
      </w:r>
    </w:p>
    <w:p w14:paraId="5A09AE8F" w14:textId="4E484F7F" w:rsidR="00572A28" w:rsidRDefault="00572A28" w:rsidP="00572A28">
      <w:pPr>
        <w:jc w:val="both"/>
        <w:rPr>
          <w:rFonts w:ascii="Corbel" w:hAnsi="Corbel"/>
          <w:sz w:val="24"/>
          <w:szCs w:val="24"/>
        </w:rPr>
      </w:pPr>
      <w:r w:rsidRPr="00D521E9">
        <w:rPr>
          <w:rFonts w:ascii="Corbel" w:hAnsi="Corbel"/>
          <w:sz w:val="24"/>
          <w:szCs w:val="24"/>
        </w:rPr>
        <w:t>Il presente documento illustra le grandezze e le relative motivazioni inerenti i costi soste</w:t>
      </w:r>
      <w:r>
        <w:rPr>
          <w:rFonts w:ascii="Corbel" w:hAnsi="Corbel"/>
          <w:sz w:val="24"/>
          <w:szCs w:val="24"/>
        </w:rPr>
        <w:t xml:space="preserve">nuti dal Comune di </w:t>
      </w:r>
      <w:r w:rsidR="00A227B4">
        <w:rPr>
          <w:rFonts w:ascii="Corbel" w:hAnsi="Corbel"/>
          <w:sz w:val="24"/>
          <w:szCs w:val="24"/>
        </w:rPr>
        <w:t xml:space="preserve">Montalto delle Marche </w:t>
      </w:r>
      <w:r>
        <w:rPr>
          <w:rFonts w:ascii="Corbel" w:hAnsi="Corbel"/>
          <w:sz w:val="24"/>
          <w:szCs w:val="24"/>
        </w:rPr>
        <w:t>per lo svolgimento delle suddette attività.</w:t>
      </w:r>
    </w:p>
    <w:p w14:paraId="3283FD37" w14:textId="77777777" w:rsidR="00402797" w:rsidRPr="00D521E9" w:rsidRDefault="00402797" w:rsidP="00572A28">
      <w:pPr>
        <w:jc w:val="both"/>
        <w:rPr>
          <w:rFonts w:ascii="Corbel" w:hAnsi="Corbel"/>
          <w:sz w:val="24"/>
          <w:szCs w:val="24"/>
        </w:rPr>
      </w:pPr>
    </w:p>
    <w:p w14:paraId="75215ECA" w14:textId="2A6FC8F9" w:rsidR="003201AC" w:rsidRDefault="003201AC" w:rsidP="00C77BF1">
      <w:pPr>
        <w:pStyle w:val="Titolo3"/>
        <w:rPr>
          <w:i/>
          <w:iCs/>
        </w:rPr>
      </w:pPr>
      <w:bookmarkStart w:id="3" w:name="_Toc74642238"/>
      <w:r w:rsidRPr="00040D2A">
        <w:t>1.2 Attività esterne</w:t>
      </w:r>
      <w:bookmarkEnd w:id="3"/>
    </w:p>
    <w:p w14:paraId="241619F1" w14:textId="1B1A625F" w:rsidR="004D5457" w:rsidRDefault="00D521E9" w:rsidP="00FB0910">
      <w:pPr>
        <w:jc w:val="both"/>
        <w:rPr>
          <w:rFonts w:ascii="Corbel" w:hAnsi="Corbel"/>
          <w:sz w:val="24"/>
          <w:szCs w:val="24"/>
        </w:rPr>
      </w:pPr>
      <w:r>
        <w:rPr>
          <w:rFonts w:ascii="Corbel" w:hAnsi="Corbel"/>
          <w:sz w:val="24"/>
          <w:szCs w:val="24"/>
        </w:rPr>
        <w:t xml:space="preserve">I costi illustrati nella presente relazione non sono riferiti ad </w:t>
      </w:r>
      <w:r w:rsidR="00CC3825" w:rsidRPr="00CC3825">
        <w:rPr>
          <w:rFonts w:ascii="Corbel" w:hAnsi="Corbel"/>
          <w:sz w:val="24"/>
          <w:szCs w:val="24"/>
        </w:rPr>
        <w:t>alcuna attività esterna al perimetro gestionale, così come definit</w:t>
      </w:r>
      <w:r w:rsidR="00A904A8">
        <w:rPr>
          <w:rFonts w:ascii="Corbel" w:hAnsi="Corbel"/>
          <w:sz w:val="24"/>
          <w:szCs w:val="24"/>
        </w:rPr>
        <w:t>a</w:t>
      </w:r>
      <w:r w:rsidR="00CC3825" w:rsidRPr="00CC3825">
        <w:rPr>
          <w:rFonts w:ascii="Corbel" w:hAnsi="Corbel"/>
          <w:sz w:val="24"/>
          <w:szCs w:val="24"/>
        </w:rPr>
        <w:t xml:space="preserve"> dalla Deliberazione 443/2019.</w:t>
      </w:r>
    </w:p>
    <w:p w14:paraId="5E3C8DF5" w14:textId="471E993F" w:rsidR="009B1886" w:rsidRDefault="009B1886" w:rsidP="00FB0910">
      <w:pPr>
        <w:jc w:val="both"/>
        <w:rPr>
          <w:rFonts w:ascii="Corbel" w:hAnsi="Corbel"/>
          <w:sz w:val="24"/>
          <w:szCs w:val="24"/>
        </w:rPr>
      </w:pPr>
    </w:p>
    <w:p w14:paraId="7BE9E51E" w14:textId="77777777" w:rsidR="00985B4A" w:rsidRDefault="00985B4A" w:rsidP="00FB0910">
      <w:pPr>
        <w:jc w:val="both"/>
        <w:rPr>
          <w:rFonts w:ascii="Corbel" w:hAnsi="Corbel"/>
          <w:sz w:val="24"/>
          <w:szCs w:val="24"/>
        </w:rPr>
      </w:pPr>
    </w:p>
    <w:p w14:paraId="39BB2A41" w14:textId="666CFD4F" w:rsidR="00040D2A" w:rsidRDefault="00040D2A" w:rsidP="00C77BF1">
      <w:pPr>
        <w:pStyle w:val="Titolo3"/>
        <w:rPr>
          <w:i/>
          <w:iCs/>
        </w:rPr>
      </w:pPr>
      <w:bookmarkStart w:id="4" w:name="_Toc74642239"/>
      <w:r w:rsidRPr="00040D2A">
        <w:t>1.3 Informazioni rilevanti</w:t>
      </w:r>
      <w:bookmarkEnd w:id="4"/>
    </w:p>
    <w:p w14:paraId="66622E2C" w14:textId="04523894" w:rsidR="00E432DC" w:rsidRDefault="00040D2A" w:rsidP="00EA2AB2">
      <w:pPr>
        <w:jc w:val="both"/>
        <w:rPr>
          <w:rFonts w:ascii="Corbel" w:hAnsi="Corbel"/>
          <w:sz w:val="24"/>
          <w:szCs w:val="24"/>
        </w:rPr>
      </w:pPr>
      <w:r>
        <w:rPr>
          <w:rFonts w:ascii="Corbel" w:hAnsi="Corbel"/>
          <w:sz w:val="24"/>
          <w:szCs w:val="24"/>
        </w:rPr>
        <w:t xml:space="preserve">Con riferimento alle attività gestite dal Comune illustrate al </w:t>
      </w:r>
      <w:r w:rsidR="005F363F">
        <w:rPr>
          <w:rFonts w:ascii="Corbel" w:hAnsi="Corbel"/>
          <w:sz w:val="24"/>
          <w:szCs w:val="24"/>
        </w:rPr>
        <w:t>paragrafo 1.1</w:t>
      </w:r>
      <w:r>
        <w:rPr>
          <w:rFonts w:ascii="Corbel" w:hAnsi="Corbel"/>
          <w:sz w:val="24"/>
          <w:szCs w:val="24"/>
        </w:rPr>
        <w:t>,</w:t>
      </w:r>
      <w:r w:rsidRPr="006E7753">
        <w:rPr>
          <w:rFonts w:ascii="Corbel" w:hAnsi="Corbel"/>
          <w:sz w:val="24"/>
          <w:szCs w:val="24"/>
        </w:rPr>
        <w:t xml:space="preserve"> </w:t>
      </w:r>
      <w:r w:rsidR="005F363F">
        <w:rPr>
          <w:rFonts w:ascii="Corbel" w:hAnsi="Corbel"/>
          <w:sz w:val="24"/>
          <w:szCs w:val="24"/>
        </w:rPr>
        <w:t xml:space="preserve">non </w:t>
      </w:r>
      <w:r w:rsidRPr="006E7753">
        <w:rPr>
          <w:rFonts w:ascii="Corbel" w:hAnsi="Corbel"/>
          <w:sz w:val="24"/>
          <w:szCs w:val="24"/>
        </w:rPr>
        <w:t>risultano</w:t>
      </w:r>
      <w:r>
        <w:rPr>
          <w:rFonts w:ascii="Corbel" w:hAnsi="Corbel"/>
          <w:sz w:val="24"/>
          <w:szCs w:val="24"/>
        </w:rPr>
        <w:t>, alla data di redazione del presente documento</w:t>
      </w:r>
      <w:r w:rsidR="00933175">
        <w:rPr>
          <w:rFonts w:ascii="Corbel" w:hAnsi="Corbel"/>
          <w:sz w:val="24"/>
          <w:szCs w:val="24"/>
        </w:rPr>
        <w:t xml:space="preserve"> ricorsi pendenti.</w:t>
      </w:r>
      <w:r w:rsidR="00E432DC">
        <w:rPr>
          <w:rFonts w:ascii="Corbel" w:hAnsi="Corbel"/>
          <w:sz w:val="24"/>
          <w:szCs w:val="24"/>
        </w:rPr>
        <w:t xml:space="preserve"> </w:t>
      </w:r>
      <w:r w:rsidR="00933175">
        <w:rPr>
          <w:rFonts w:ascii="Corbel" w:hAnsi="Corbel"/>
          <w:sz w:val="24"/>
          <w:szCs w:val="24"/>
        </w:rPr>
        <w:tab/>
      </w:r>
    </w:p>
    <w:p w14:paraId="0DD7DB5D" w14:textId="615131E6" w:rsidR="00D521E9" w:rsidRDefault="00040D2A" w:rsidP="00EA2AB2">
      <w:pPr>
        <w:jc w:val="both"/>
        <w:rPr>
          <w:rFonts w:ascii="Corbel" w:hAnsi="Corbel"/>
          <w:sz w:val="24"/>
          <w:szCs w:val="24"/>
        </w:rPr>
      </w:pPr>
      <w:r>
        <w:rPr>
          <w:rFonts w:ascii="Corbel" w:hAnsi="Corbel"/>
          <w:sz w:val="24"/>
          <w:szCs w:val="24"/>
        </w:rPr>
        <w:lastRenderedPageBreak/>
        <w:t xml:space="preserve">Il Comune inoltre non </w:t>
      </w:r>
      <w:r w:rsidRPr="00FA6BCA">
        <w:rPr>
          <w:rFonts w:ascii="Corbel" w:hAnsi="Corbel"/>
          <w:sz w:val="24"/>
          <w:szCs w:val="24"/>
        </w:rPr>
        <w:t>si trova in condizioni strutturalmente deficitarie, di riequilibrio finanziario o di dissesto</w:t>
      </w:r>
      <w:r>
        <w:rPr>
          <w:rFonts w:ascii="Corbel" w:hAnsi="Corbel"/>
          <w:sz w:val="24"/>
          <w:szCs w:val="24"/>
        </w:rPr>
        <w:t xml:space="preserve">. </w:t>
      </w:r>
    </w:p>
    <w:p w14:paraId="425AB3EB" w14:textId="7E898503" w:rsidR="00985B4A" w:rsidRPr="00985B4A" w:rsidRDefault="00985B4A" w:rsidP="00985B4A">
      <w:pPr>
        <w:jc w:val="both"/>
        <w:rPr>
          <w:rFonts w:ascii="Corbel" w:hAnsi="Corbel"/>
          <w:sz w:val="24"/>
          <w:szCs w:val="24"/>
        </w:rPr>
      </w:pPr>
      <w:r>
        <w:rPr>
          <w:rFonts w:ascii="Corbel" w:hAnsi="Corbel"/>
          <w:sz w:val="24"/>
          <w:szCs w:val="24"/>
        </w:rPr>
        <w:t>Tuttavia, n</w:t>
      </w:r>
      <w:r w:rsidRPr="00985B4A">
        <w:rPr>
          <w:rFonts w:ascii="Corbel" w:hAnsi="Corbel"/>
          <w:sz w:val="24"/>
          <w:szCs w:val="24"/>
        </w:rPr>
        <w:t>el 2015</w:t>
      </w:r>
      <w:r>
        <w:rPr>
          <w:rFonts w:ascii="Corbel" w:hAnsi="Corbel"/>
          <w:sz w:val="24"/>
          <w:szCs w:val="24"/>
        </w:rPr>
        <w:t>,</w:t>
      </w:r>
      <w:r w:rsidRPr="00985B4A">
        <w:rPr>
          <w:rFonts w:ascii="Corbel" w:hAnsi="Corbel"/>
          <w:sz w:val="24"/>
          <w:szCs w:val="24"/>
        </w:rPr>
        <w:t xml:space="preserve"> è stato promosso un conte</w:t>
      </w:r>
      <w:r w:rsidR="0033018B">
        <w:rPr>
          <w:rFonts w:ascii="Corbel" w:hAnsi="Corbel"/>
          <w:sz w:val="24"/>
          <w:szCs w:val="24"/>
        </w:rPr>
        <w:t>n</w:t>
      </w:r>
      <w:r w:rsidRPr="00985B4A">
        <w:rPr>
          <w:rFonts w:ascii="Corbel" w:hAnsi="Corbel"/>
          <w:sz w:val="24"/>
          <w:szCs w:val="24"/>
        </w:rPr>
        <w:t xml:space="preserve">zioso dalla Ditta </w:t>
      </w:r>
      <w:proofErr w:type="spellStart"/>
      <w:r w:rsidRPr="00985B4A">
        <w:rPr>
          <w:rFonts w:ascii="Corbel" w:hAnsi="Corbel"/>
          <w:sz w:val="24"/>
          <w:szCs w:val="24"/>
        </w:rPr>
        <w:t>Picenambiente</w:t>
      </w:r>
      <w:proofErr w:type="spellEnd"/>
      <w:r w:rsidRPr="00985B4A">
        <w:rPr>
          <w:rFonts w:ascii="Corbel" w:hAnsi="Corbel"/>
          <w:sz w:val="24"/>
          <w:szCs w:val="24"/>
        </w:rPr>
        <w:t xml:space="preserve"> S</w:t>
      </w:r>
      <w:r>
        <w:rPr>
          <w:rFonts w:ascii="Corbel" w:hAnsi="Corbel"/>
          <w:sz w:val="24"/>
          <w:szCs w:val="24"/>
        </w:rPr>
        <w:t>.p.A</w:t>
      </w:r>
      <w:r w:rsidR="0033018B">
        <w:rPr>
          <w:rFonts w:ascii="Corbel" w:hAnsi="Corbel"/>
          <w:sz w:val="24"/>
          <w:szCs w:val="24"/>
        </w:rPr>
        <w:t>.</w:t>
      </w:r>
      <w:r w:rsidRPr="00985B4A">
        <w:rPr>
          <w:rFonts w:ascii="Corbel" w:hAnsi="Corbel"/>
          <w:sz w:val="24"/>
          <w:szCs w:val="24"/>
        </w:rPr>
        <w:t>, per l’annullamento degli atti riguardanti la scelta dell’amministrazione comunale di sciogliersi dal vincolo contrattuale e di procedere ad una nuova gara per il servizio pubblico locale di gestione integrata del ciclo dei rifiuti conclusosi, con vittoria del Comune sia in primo grado</w:t>
      </w:r>
      <w:r>
        <w:rPr>
          <w:rFonts w:ascii="Corbel" w:hAnsi="Corbel"/>
          <w:sz w:val="24"/>
          <w:szCs w:val="24"/>
        </w:rPr>
        <w:t xml:space="preserve"> (</w:t>
      </w:r>
      <w:r w:rsidRPr="00985B4A">
        <w:rPr>
          <w:rFonts w:ascii="Corbel" w:hAnsi="Corbel"/>
          <w:sz w:val="24"/>
          <w:szCs w:val="24"/>
        </w:rPr>
        <w:t>con Sentenza Tar Marche T.A.R. MARCHE - ANCONA: SEZIONE I n. 00311/2016</w:t>
      </w:r>
      <w:r>
        <w:rPr>
          <w:rFonts w:ascii="Corbel" w:hAnsi="Corbel"/>
          <w:sz w:val="24"/>
          <w:szCs w:val="24"/>
        </w:rPr>
        <w:t xml:space="preserve">), </w:t>
      </w:r>
      <w:r w:rsidRPr="00985B4A">
        <w:rPr>
          <w:rFonts w:ascii="Corbel" w:hAnsi="Corbel"/>
          <w:sz w:val="24"/>
          <w:szCs w:val="24"/>
        </w:rPr>
        <w:t>che in appello</w:t>
      </w:r>
      <w:r>
        <w:rPr>
          <w:rFonts w:ascii="Corbel" w:hAnsi="Corbel"/>
          <w:sz w:val="24"/>
          <w:szCs w:val="24"/>
        </w:rPr>
        <w:t>.</w:t>
      </w:r>
    </w:p>
    <w:p w14:paraId="02F41DE0" w14:textId="2CB5034E" w:rsidR="00985B4A" w:rsidRDefault="00985B4A" w:rsidP="00985B4A">
      <w:pPr>
        <w:jc w:val="both"/>
        <w:rPr>
          <w:rFonts w:ascii="Corbel" w:hAnsi="Corbel"/>
          <w:sz w:val="24"/>
          <w:szCs w:val="24"/>
        </w:rPr>
      </w:pPr>
      <w:r w:rsidRPr="00985B4A">
        <w:rPr>
          <w:rFonts w:ascii="Corbel" w:hAnsi="Corbel"/>
          <w:sz w:val="24"/>
          <w:szCs w:val="24"/>
        </w:rPr>
        <w:t>Sentenza del Consiglio di Stato, Sez. V, 12/9/2017 n. 4304.</w:t>
      </w:r>
    </w:p>
    <w:p w14:paraId="4D40A7E1" w14:textId="7502F758" w:rsidR="00E717B9" w:rsidRPr="00040D2A" w:rsidRDefault="00E717B9" w:rsidP="00EA2AB2">
      <w:pPr>
        <w:jc w:val="both"/>
        <w:rPr>
          <w:rFonts w:ascii="Corbel" w:hAnsi="Corbel"/>
          <w:sz w:val="24"/>
          <w:szCs w:val="24"/>
          <w:lang w:eastAsia="it-IT"/>
        </w:rPr>
      </w:pPr>
      <w:r>
        <w:rPr>
          <w:rFonts w:ascii="Corbel" w:hAnsi="Corbel"/>
          <w:b/>
          <w:bCs/>
          <w:sz w:val="34"/>
          <w:szCs w:val="34"/>
          <w:lang w:eastAsia="it-IT"/>
        </w:rPr>
        <w:br w:type="page"/>
      </w:r>
    </w:p>
    <w:p w14:paraId="57E97116" w14:textId="32C92690" w:rsidR="00E717B9" w:rsidRPr="00807B26" w:rsidRDefault="00D521E9" w:rsidP="00C77BF1">
      <w:pPr>
        <w:pStyle w:val="Titolo2"/>
      </w:pPr>
      <w:bookmarkStart w:id="5" w:name="_Toc74642240"/>
      <w:r>
        <w:lastRenderedPageBreak/>
        <w:t>2</w:t>
      </w:r>
      <w:r w:rsidR="00E717B9">
        <w:t xml:space="preserve">. </w:t>
      </w:r>
      <w:r w:rsidR="00E717B9" w:rsidRPr="00807B26">
        <w:t>Dati per la determinazione delle entrate di riferimento</w:t>
      </w:r>
      <w:bookmarkEnd w:id="5"/>
    </w:p>
    <w:p w14:paraId="31A43ADA" w14:textId="77777777" w:rsidR="00E717B9" w:rsidRDefault="00E717B9" w:rsidP="00E717B9">
      <w:pPr>
        <w:pStyle w:val="Paragrafoelenco"/>
        <w:ind w:left="357"/>
        <w:jc w:val="both"/>
        <w:rPr>
          <w:rFonts w:ascii="Corbel" w:hAnsi="Corbel"/>
          <w:sz w:val="24"/>
          <w:szCs w:val="24"/>
          <w:lang w:eastAsia="it-IT"/>
        </w:rPr>
      </w:pPr>
    </w:p>
    <w:p w14:paraId="04727938" w14:textId="3D19E857" w:rsidR="00E717B9" w:rsidRDefault="00E717B9" w:rsidP="00E30BC2">
      <w:pPr>
        <w:pStyle w:val="Paragrafoelenco"/>
        <w:ind w:left="0"/>
        <w:jc w:val="both"/>
        <w:rPr>
          <w:rFonts w:ascii="Corbel" w:hAnsi="Corbel"/>
          <w:sz w:val="24"/>
          <w:szCs w:val="24"/>
          <w:lang w:eastAsia="it-IT"/>
        </w:rPr>
      </w:pPr>
      <w:r>
        <w:rPr>
          <w:rFonts w:ascii="Corbel" w:hAnsi="Corbel"/>
          <w:sz w:val="24"/>
          <w:szCs w:val="24"/>
          <w:lang w:eastAsia="it-IT"/>
        </w:rPr>
        <w:t>Nei paragrafi successivi verranno descritte le informazioni e i dati indicati nella A</w:t>
      </w:r>
      <w:r w:rsidRPr="005B7268">
        <w:rPr>
          <w:rFonts w:ascii="Corbel" w:hAnsi="Corbel"/>
          <w:sz w:val="24"/>
          <w:szCs w:val="24"/>
          <w:lang w:eastAsia="it-IT"/>
        </w:rPr>
        <w:t>ppendice 1</w:t>
      </w:r>
      <w:r>
        <w:rPr>
          <w:rFonts w:ascii="Corbel" w:hAnsi="Corbel"/>
          <w:sz w:val="24"/>
          <w:szCs w:val="24"/>
          <w:lang w:eastAsia="it-IT"/>
        </w:rPr>
        <w:t xml:space="preserve"> ai fini della determinazione dei costi del servizio ammessi a copertura tariffaria.</w:t>
      </w:r>
      <w:r w:rsidR="00F81259">
        <w:rPr>
          <w:rFonts w:ascii="Corbel" w:hAnsi="Corbel"/>
          <w:sz w:val="24"/>
          <w:szCs w:val="24"/>
          <w:lang w:eastAsia="it-IT"/>
        </w:rPr>
        <w:t xml:space="preserve"> I dati indicati di seguito sono riportati come risultanti da fonte contabile obbligatoria; i dati rivalutati in base all’indice ISTAT</w:t>
      </w:r>
      <w:r w:rsidR="005C1F95">
        <w:rPr>
          <w:rFonts w:ascii="Corbel" w:hAnsi="Corbel"/>
          <w:sz w:val="24"/>
          <w:szCs w:val="24"/>
          <w:lang w:eastAsia="it-IT"/>
        </w:rPr>
        <w:t xml:space="preserve">, come stabilito dall’articolo 6.5 dell’Allegato A alla Deliberazione, </w:t>
      </w:r>
      <w:r w:rsidR="00F81259">
        <w:rPr>
          <w:rFonts w:ascii="Corbel" w:hAnsi="Corbel"/>
          <w:sz w:val="24"/>
          <w:szCs w:val="24"/>
          <w:lang w:eastAsia="it-IT"/>
        </w:rPr>
        <w:t>sono invece riportati nella Appendice 1.</w:t>
      </w:r>
    </w:p>
    <w:p w14:paraId="36A0F96A" w14:textId="77777777" w:rsidR="00E717B9" w:rsidRDefault="00E717B9" w:rsidP="00E30BC2">
      <w:pPr>
        <w:pStyle w:val="Paragrafoelenco"/>
        <w:ind w:left="0"/>
        <w:jc w:val="both"/>
        <w:rPr>
          <w:rFonts w:ascii="Corbel" w:hAnsi="Corbel"/>
          <w:sz w:val="24"/>
          <w:szCs w:val="24"/>
          <w:lang w:eastAsia="it-IT"/>
        </w:rPr>
      </w:pPr>
    </w:p>
    <w:p w14:paraId="588D2775" w14:textId="77777777" w:rsidR="00E717B9" w:rsidRDefault="00E717B9" w:rsidP="00E30BC2">
      <w:pPr>
        <w:pStyle w:val="Paragrafoelenco"/>
        <w:ind w:left="0"/>
        <w:jc w:val="both"/>
        <w:rPr>
          <w:rFonts w:ascii="Corbel" w:hAnsi="Corbel"/>
          <w:sz w:val="24"/>
          <w:szCs w:val="24"/>
          <w:lang w:eastAsia="it-IT"/>
        </w:rPr>
      </w:pPr>
      <w:r>
        <w:rPr>
          <w:rFonts w:ascii="Corbel" w:hAnsi="Corbel"/>
          <w:sz w:val="24"/>
          <w:szCs w:val="24"/>
          <w:lang w:eastAsia="it-IT"/>
        </w:rPr>
        <w:t xml:space="preserve">Nello specifico, nel paragrafo </w:t>
      </w:r>
      <w:r w:rsidRPr="006F3603">
        <w:rPr>
          <w:rFonts w:ascii="Corbel" w:hAnsi="Corbel"/>
          <w:b/>
          <w:bCs/>
          <w:sz w:val="24"/>
          <w:szCs w:val="24"/>
          <w:lang w:eastAsia="it-IT"/>
        </w:rPr>
        <w:t>“Dati di conto economico”</w:t>
      </w:r>
      <w:r>
        <w:rPr>
          <w:rFonts w:ascii="Corbel" w:hAnsi="Corbel"/>
          <w:sz w:val="24"/>
          <w:szCs w:val="24"/>
          <w:lang w:eastAsia="it-IT"/>
        </w:rPr>
        <w:t xml:space="preserve"> sono riportati:</w:t>
      </w:r>
    </w:p>
    <w:p w14:paraId="3A2F8613" w14:textId="5ED69C28" w:rsidR="00E717B9" w:rsidRDefault="00C77BF1" w:rsidP="00E30BC2">
      <w:pPr>
        <w:pStyle w:val="Paragrafoelenco"/>
        <w:numPr>
          <w:ilvl w:val="0"/>
          <w:numId w:val="1"/>
        </w:numPr>
        <w:ind w:left="714" w:hanging="357"/>
        <w:jc w:val="both"/>
        <w:rPr>
          <w:rFonts w:ascii="Corbel" w:hAnsi="Corbel"/>
          <w:sz w:val="24"/>
          <w:szCs w:val="24"/>
          <w:lang w:eastAsia="it-IT"/>
        </w:rPr>
      </w:pPr>
      <w:r>
        <w:rPr>
          <w:rFonts w:ascii="Corbel" w:hAnsi="Corbel"/>
          <w:sz w:val="24"/>
          <w:szCs w:val="24"/>
          <w:lang w:eastAsia="it-IT"/>
        </w:rPr>
        <w:t>i costi efficienti individuati dalla struttura che redige il Piano finanziario e gli eventual</w:t>
      </w:r>
      <w:r w:rsidR="00E717B9">
        <w:rPr>
          <w:rFonts w:ascii="Corbel" w:hAnsi="Corbel"/>
          <w:sz w:val="24"/>
          <w:szCs w:val="24"/>
          <w:lang w:eastAsia="it-IT"/>
        </w:rPr>
        <w:t xml:space="preserve">i criteri di ripartizione dei costi comuni </w:t>
      </w:r>
      <w:r w:rsidR="00E717B9" w:rsidRPr="00214B07">
        <w:rPr>
          <w:rFonts w:ascii="Corbel" w:hAnsi="Corbel"/>
          <w:sz w:val="24"/>
          <w:szCs w:val="24"/>
          <w:lang w:eastAsia="it-IT"/>
        </w:rPr>
        <w:t>con altri servizi diversi da quello di gestione del ciclo integrato di rifiuti</w:t>
      </w:r>
      <w:r w:rsidR="00887186">
        <w:rPr>
          <w:rFonts w:ascii="Corbel" w:hAnsi="Corbel"/>
          <w:sz w:val="24"/>
          <w:szCs w:val="24"/>
          <w:lang w:eastAsia="it-IT"/>
        </w:rPr>
        <w:t>;</w:t>
      </w:r>
    </w:p>
    <w:p w14:paraId="4C37672F" w14:textId="6A318544" w:rsidR="00E717B9" w:rsidRDefault="00E717B9" w:rsidP="00E30BC2">
      <w:pPr>
        <w:pStyle w:val="Paragrafoelenco"/>
        <w:numPr>
          <w:ilvl w:val="0"/>
          <w:numId w:val="1"/>
        </w:numPr>
        <w:ind w:left="714" w:hanging="357"/>
        <w:jc w:val="both"/>
        <w:rPr>
          <w:rFonts w:ascii="Corbel" w:hAnsi="Corbel"/>
          <w:sz w:val="24"/>
          <w:szCs w:val="24"/>
          <w:lang w:eastAsia="it-IT"/>
        </w:rPr>
      </w:pPr>
      <w:r>
        <w:rPr>
          <w:rFonts w:ascii="Corbel" w:hAnsi="Corbel"/>
          <w:sz w:val="24"/>
          <w:szCs w:val="24"/>
          <w:lang w:eastAsia="it-IT"/>
        </w:rPr>
        <w:t xml:space="preserve">la descrizione dei costi indicati nella </w:t>
      </w:r>
      <w:r w:rsidRPr="007A011E">
        <w:rPr>
          <w:rFonts w:ascii="Corbel" w:hAnsi="Corbel"/>
          <w:sz w:val="24"/>
          <w:szCs w:val="24"/>
          <w:lang w:eastAsia="it-IT"/>
        </w:rPr>
        <w:t>appendice 1</w:t>
      </w:r>
      <w:r>
        <w:rPr>
          <w:rFonts w:ascii="Corbel" w:hAnsi="Corbel"/>
          <w:sz w:val="24"/>
          <w:szCs w:val="24"/>
          <w:lang w:eastAsia="it-IT"/>
        </w:rPr>
        <w:t xml:space="preserve"> (voce CARC) per eventuali campagne ambientali e misure di prevenzione</w:t>
      </w:r>
      <w:r w:rsidR="00887186">
        <w:rPr>
          <w:rFonts w:ascii="Corbel" w:hAnsi="Corbel"/>
          <w:sz w:val="24"/>
          <w:szCs w:val="24"/>
          <w:lang w:eastAsia="it-IT"/>
        </w:rPr>
        <w:t>;</w:t>
      </w:r>
    </w:p>
    <w:p w14:paraId="047E5F94" w14:textId="26A48EB8" w:rsidR="00E717B9" w:rsidRDefault="00E717B9" w:rsidP="00E30BC2">
      <w:pPr>
        <w:pStyle w:val="Paragrafoelenco"/>
        <w:numPr>
          <w:ilvl w:val="0"/>
          <w:numId w:val="1"/>
        </w:numPr>
        <w:ind w:left="714" w:hanging="357"/>
        <w:jc w:val="both"/>
        <w:rPr>
          <w:rFonts w:ascii="Corbel" w:hAnsi="Corbel"/>
          <w:sz w:val="24"/>
          <w:szCs w:val="24"/>
          <w:lang w:eastAsia="it-IT"/>
        </w:rPr>
      </w:pPr>
      <w:r>
        <w:rPr>
          <w:rFonts w:ascii="Corbel" w:hAnsi="Corbel"/>
          <w:sz w:val="24"/>
          <w:szCs w:val="24"/>
          <w:lang w:eastAsia="it-IT"/>
        </w:rPr>
        <w:t>eventuali costi sostenuti</w:t>
      </w:r>
      <w:r w:rsidRPr="00214B07">
        <w:t xml:space="preserve"> </w:t>
      </w:r>
      <w:r w:rsidRPr="00214B07">
        <w:rPr>
          <w:rFonts w:ascii="Corbel" w:hAnsi="Corbel"/>
          <w:sz w:val="24"/>
          <w:szCs w:val="24"/>
          <w:lang w:eastAsia="it-IT"/>
        </w:rPr>
        <w:t>per il funzionamento degli ETC, di ARERA o altri oneri locali</w:t>
      </w:r>
      <w:r>
        <w:rPr>
          <w:rFonts w:ascii="Corbel" w:hAnsi="Corbel"/>
          <w:sz w:val="24"/>
          <w:szCs w:val="24"/>
          <w:lang w:eastAsia="it-IT"/>
        </w:rPr>
        <w:t xml:space="preserve">, corrispondenti agli importi indicati alla voce </w:t>
      </w:r>
      <w:proofErr w:type="spellStart"/>
      <w:r>
        <w:rPr>
          <w:rFonts w:ascii="Corbel" w:hAnsi="Corbel"/>
          <w:sz w:val="24"/>
          <w:szCs w:val="24"/>
          <w:lang w:eastAsia="it-IT"/>
        </w:rPr>
        <w:t>CO</w:t>
      </w:r>
      <w:r w:rsidRPr="00214B07">
        <w:rPr>
          <w:rFonts w:ascii="Corbel" w:hAnsi="Corbel"/>
          <w:sz w:val="24"/>
          <w:szCs w:val="24"/>
          <w:vertAlign w:val="subscript"/>
          <w:lang w:eastAsia="it-IT"/>
        </w:rPr>
        <w:t>al</w:t>
      </w:r>
      <w:proofErr w:type="spellEnd"/>
      <w:r>
        <w:rPr>
          <w:rFonts w:ascii="Corbel" w:hAnsi="Corbel"/>
          <w:sz w:val="24"/>
          <w:szCs w:val="24"/>
          <w:lang w:eastAsia="it-IT"/>
        </w:rPr>
        <w:t xml:space="preserve"> A</w:t>
      </w:r>
      <w:r w:rsidRPr="007A011E">
        <w:rPr>
          <w:rFonts w:ascii="Corbel" w:hAnsi="Corbel"/>
          <w:sz w:val="24"/>
          <w:szCs w:val="24"/>
          <w:lang w:eastAsia="it-IT"/>
        </w:rPr>
        <w:t>ppendice 1</w:t>
      </w:r>
      <w:r w:rsidR="005C1F95">
        <w:rPr>
          <w:rFonts w:ascii="Corbel" w:hAnsi="Corbel"/>
          <w:sz w:val="24"/>
          <w:szCs w:val="24"/>
          <w:lang w:eastAsia="it-IT"/>
        </w:rPr>
        <w:t xml:space="preserve">; </w:t>
      </w:r>
    </w:p>
    <w:p w14:paraId="7B2FF918" w14:textId="1203FE44" w:rsidR="005C1F95" w:rsidRDefault="005C1F95" w:rsidP="00E30BC2">
      <w:pPr>
        <w:pStyle w:val="Paragrafoelenco"/>
        <w:numPr>
          <w:ilvl w:val="0"/>
          <w:numId w:val="1"/>
        </w:numPr>
        <w:ind w:left="714" w:hanging="357"/>
        <w:jc w:val="both"/>
        <w:rPr>
          <w:rFonts w:ascii="Corbel" w:hAnsi="Corbel"/>
          <w:sz w:val="24"/>
          <w:szCs w:val="24"/>
          <w:lang w:eastAsia="it-IT"/>
        </w:rPr>
      </w:pPr>
      <w:r>
        <w:rPr>
          <w:rFonts w:ascii="Corbel" w:hAnsi="Corbel"/>
          <w:sz w:val="24"/>
          <w:szCs w:val="24"/>
          <w:lang w:eastAsia="it-IT"/>
        </w:rPr>
        <w:t>le e</w:t>
      </w:r>
      <w:r w:rsidRPr="005C1F95">
        <w:rPr>
          <w:rFonts w:ascii="Corbel" w:hAnsi="Corbel"/>
          <w:sz w:val="24"/>
          <w:szCs w:val="24"/>
          <w:lang w:eastAsia="it-IT"/>
        </w:rPr>
        <w:t>ntrate ammesse a sgravio dei costi nel Piano Finanziario</w:t>
      </w:r>
      <w:r>
        <w:rPr>
          <w:rFonts w:ascii="Corbel" w:hAnsi="Corbel"/>
          <w:sz w:val="24"/>
          <w:szCs w:val="24"/>
          <w:lang w:eastAsia="it-IT"/>
        </w:rPr>
        <w:t>.</w:t>
      </w:r>
    </w:p>
    <w:p w14:paraId="7F255AA6" w14:textId="77777777" w:rsidR="00E717B9" w:rsidRDefault="00E717B9" w:rsidP="00E30BC2">
      <w:pPr>
        <w:pStyle w:val="Paragrafoelenco"/>
        <w:ind w:left="0"/>
        <w:jc w:val="both"/>
        <w:rPr>
          <w:rFonts w:ascii="Corbel" w:hAnsi="Corbel"/>
          <w:sz w:val="24"/>
          <w:szCs w:val="24"/>
          <w:lang w:eastAsia="it-IT"/>
        </w:rPr>
      </w:pPr>
    </w:p>
    <w:p w14:paraId="5C943641" w14:textId="77777777" w:rsidR="004B1035" w:rsidRDefault="004B1035" w:rsidP="00A904A8">
      <w:pPr>
        <w:pStyle w:val="Paragrafoelenco"/>
        <w:spacing w:line="276" w:lineRule="auto"/>
        <w:ind w:left="0"/>
        <w:contextualSpacing w:val="0"/>
        <w:jc w:val="both"/>
        <w:rPr>
          <w:rFonts w:ascii="Corbel" w:hAnsi="Corbel"/>
          <w:sz w:val="24"/>
          <w:szCs w:val="24"/>
          <w:lang w:eastAsia="it-IT"/>
        </w:rPr>
      </w:pPr>
    </w:p>
    <w:p w14:paraId="469AC17B" w14:textId="62406CA1" w:rsidR="00625C28" w:rsidRPr="00A904A8" w:rsidRDefault="00E717B9" w:rsidP="00A904A8">
      <w:pPr>
        <w:pStyle w:val="Paragrafoelenco"/>
        <w:spacing w:line="276" w:lineRule="auto"/>
        <w:ind w:left="0"/>
        <w:contextualSpacing w:val="0"/>
        <w:jc w:val="both"/>
        <w:rPr>
          <w:rFonts w:ascii="Corbel" w:hAnsi="Corbel"/>
          <w:sz w:val="24"/>
          <w:szCs w:val="24"/>
          <w:lang w:eastAsia="it-IT"/>
        </w:rPr>
      </w:pPr>
      <w:r w:rsidRPr="006F7F1F">
        <w:rPr>
          <w:rFonts w:ascii="Corbel" w:hAnsi="Corbel"/>
          <w:sz w:val="24"/>
          <w:szCs w:val="24"/>
          <w:lang w:eastAsia="it-IT"/>
        </w:rPr>
        <w:t>Il</w:t>
      </w:r>
      <w:r w:rsidR="00A904A8" w:rsidRPr="00A904A8">
        <w:rPr>
          <w:rFonts w:ascii="Corbel" w:hAnsi="Corbel"/>
          <w:sz w:val="24"/>
          <w:szCs w:val="24"/>
          <w:lang w:eastAsia="it-IT"/>
        </w:rPr>
        <w:t xml:space="preserve"> </w:t>
      </w:r>
      <w:r w:rsidR="00A904A8" w:rsidRPr="005B7671">
        <w:rPr>
          <w:rFonts w:ascii="Corbel" w:hAnsi="Corbel"/>
          <w:sz w:val="24"/>
          <w:szCs w:val="24"/>
          <w:lang w:eastAsia="it-IT"/>
        </w:rPr>
        <w:t xml:space="preserve">paragrafo </w:t>
      </w:r>
      <w:r w:rsidR="00A904A8" w:rsidRPr="005B7671">
        <w:rPr>
          <w:rFonts w:ascii="Corbel" w:hAnsi="Corbel"/>
          <w:b/>
          <w:bCs/>
          <w:sz w:val="24"/>
          <w:szCs w:val="24"/>
          <w:lang w:eastAsia="it-IT"/>
        </w:rPr>
        <w:t xml:space="preserve">“Proventi della vendita di materiale derivante dai rifiuti (AR - </w:t>
      </w:r>
      <w:proofErr w:type="spellStart"/>
      <w:r w:rsidR="00A904A8" w:rsidRPr="005B7671">
        <w:rPr>
          <w:rFonts w:ascii="Corbel" w:hAnsi="Corbel"/>
          <w:b/>
          <w:bCs/>
          <w:sz w:val="24"/>
          <w:szCs w:val="24"/>
          <w:lang w:eastAsia="it-IT"/>
        </w:rPr>
        <w:t>AR</w:t>
      </w:r>
      <w:r w:rsidR="00A904A8" w:rsidRPr="005B7671">
        <w:rPr>
          <w:rFonts w:ascii="Corbel" w:hAnsi="Corbel"/>
          <w:b/>
          <w:bCs/>
          <w:sz w:val="24"/>
          <w:szCs w:val="24"/>
          <w:vertAlign w:val="subscript"/>
          <w:lang w:eastAsia="it-IT"/>
        </w:rPr>
        <w:t>conai</w:t>
      </w:r>
      <w:proofErr w:type="spellEnd"/>
      <w:r w:rsidR="00A904A8" w:rsidRPr="005B7671">
        <w:rPr>
          <w:rFonts w:ascii="Corbel" w:hAnsi="Corbel"/>
          <w:b/>
          <w:bCs/>
          <w:sz w:val="24"/>
          <w:szCs w:val="24"/>
          <w:lang w:eastAsia="it-IT"/>
        </w:rPr>
        <w:t xml:space="preserve">)” </w:t>
      </w:r>
      <w:r w:rsidR="00A904A8" w:rsidRPr="005B7671">
        <w:rPr>
          <w:rFonts w:ascii="Corbel" w:hAnsi="Corbel"/>
          <w:sz w:val="24"/>
          <w:szCs w:val="24"/>
          <w:lang w:eastAsia="it-IT"/>
        </w:rPr>
        <w:t>riporta la descrizione di eventuali ricavi 2019 derivanti dal corrispettivo CONAI o dalla vendita di materiale ed energia, i cui importi, qualora rilevati poiché direttamente incassati dall’ente, sono stati indicati nella Appendice 1.</w:t>
      </w:r>
    </w:p>
    <w:p w14:paraId="326C9B27" w14:textId="77777777" w:rsidR="004B1035" w:rsidRDefault="004B1035" w:rsidP="002F0448">
      <w:pPr>
        <w:rPr>
          <w:rFonts w:ascii="Corbel" w:hAnsi="Corbel"/>
          <w:sz w:val="24"/>
          <w:szCs w:val="24"/>
          <w:lang w:eastAsia="it-IT"/>
        </w:rPr>
      </w:pPr>
    </w:p>
    <w:p w14:paraId="69304699" w14:textId="59715E64" w:rsidR="00E717B9" w:rsidRPr="006F7F1F" w:rsidRDefault="00E717B9" w:rsidP="002F0448">
      <w:pPr>
        <w:rPr>
          <w:rFonts w:ascii="Corbel" w:hAnsi="Corbel"/>
          <w:sz w:val="24"/>
          <w:szCs w:val="24"/>
          <w:lang w:eastAsia="it-IT"/>
        </w:rPr>
      </w:pPr>
      <w:r w:rsidRPr="006F7F1F">
        <w:rPr>
          <w:rFonts w:ascii="Corbel" w:hAnsi="Corbel"/>
          <w:sz w:val="24"/>
          <w:szCs w:val="24"/>
          <w:lang w:eastAsia="it-IT"/>
        </w:rPr>
        <w:t xml:space="preserve">Il paragrafo </w:t>
      </w:r>
      <w:r w:rsidRPr="006F7F1F">
        <w:rPr>
          <w:rFonts w:ascii="Corbel" w:hAnsi="Corbel"/>
          <w:b/>
          <w:bCs/>
          <w:sz w:val="24"/>
          <w:szCs w:val="24"/>
          <w:lang w:eastAsia="it-IT"/>
        </w:rPr>
        <w:t xml:space="preserve">“Fonti di finanziamento” </w:t>
      </w:r>
      <w:r w:rsidRPr="006F7F1F">
        <w:rPr>
          <w:rFonts w:ascii="Corbel" w:hAnsi="Corbel"/>
          <w:sz w:val="24"/>
          <w:szCs w:val="24"/>
          <w:lang w:eastAsia="it-IT"/>
        </w:rPr>
        <w:t xml:space="preserve">riporta la descrizione </w:t>
      </w:r>
      <w:r w:rsidR="002F0448">
        <w:rPr>
          <w:rFonts w:ascii="Corbel" w:hAnsi="Corbel"/>
          <w:sz w:val="24"/>
          <w:szCs w:val="24"/>
          <w:lang w:eastAsia="it-IT"/>
        </w:rPr>
        <w:t>delle eventuali operazioni finanziarie relative alla gestione della Tassa Rifiuti.</w:t>
      </w:r>
    </w:p>
    <w:p w14:paraId="7C113BDD" w14:textId="77777777" w:rsidR="00E717B9" w:rsidRPr="00C77BF1" w:rsidRDefault="00E717B9" w:rsidP="00E30BC2">
      <w:pPr>
        <w:pStyle w:val="Paragrafoelenco"/>
        <w:ind w:left="0"/>
        <w:jc w:val="both"/>
        <w:rPr>
          <w:rFonts w:ascii="Corbel" w:hAnsi="Corbel"/>
          <w:sz w:val="24"/>
          <w:szCs w:val="24"/>
          <w:highlight w:val="yellow"/>
          <w:lang w:eastAsia="it-IT"/>
        </w:rPr>
      </w:pPr>
    </w:p>
    <w:p w14:paraId="7703CD44" w14:textId="3B6DB8D4" w:rsidR="00E717B9" w:rsidRDefault="00E717B9" w:rsidP="00E717B9">
      <w:pPr>
        <w:pStyle w:val="Paragrafoelenco"/>
        <w:spacing w:line="360" w:lineRule="auto"/>
        <w:ind w:left="357"/>
        <w:jc w:val="both"/>
        <w:rPr>
          <w:rFonts w:ascii="Corbel" w:hAnsi="Corbel"/>
          <w:sz w:val="24"/>
          <w:szCs w:val="24"/>
          <w:lang w:eastAsia="it-IT"/>
        </w:rPr>
      </w:pPr>
    </w:p>
    <w:p w14:paraId="53EA232F" w14:textId="18323324" w:rsidR="00A5694C" w:rsidRPr="00A5694C" w:rsidRDefault="00A5694C" w:rsidP="00A5694C">
      <w:pPr>
        <w:rPr>
          <w:rFonts w:ascii="Corbel" w:hAnsi="Corbel"/>
          <w:sz w:val="24"/>
          <w:szCs w:val="24"/>
          <w:lang w:eastAsia="it-IT"/>
        </w:rPr>
      </w:pPr>
      <w:r>
        <w:rPr>
          <w:rFonts w:ascii="Corbel" w:hAnsi="Corbel"/>
          <w:sz w:val="24"/>
          <w:szCs w:val="24"/>
          <w:lang w:eastAsia="it-IT"/>
        </w:rPr>
        <w:br w:type="page"/>
      </w:r>
    </w:p>
    <w:p w14:paraId="1467B9C2" w14:textId="62AB3DCE" w:rsidR="00E717B9" w:rsidRPr="00813AD2" w:rsidRDefault="00C77BF1" w:rsidP="00C77BF1">
      <w:pPr>
        <w:pStyle w:val="Titolo3"/>
      </w:pPr>
      <w:bookmarkStart w:id="6" w:name="_Toc74642241"/>
      <w:r w:rsidRPr="00283E9A">
        <w:lastRenderedPageBreak/>
        <w:t>2</w:t>
      </w:r>
      <w:r w:rsidR="00E717B9" w:rsidRPr="00283E9A">
        <w:t>.1 Dati di conto economico</w:t>
      </w:r>
      <w:bookmarkEnd w:id="6"/>
      <w:r w:rsidR="00E717B9" w:rsidRPr="00813AD2">
        <w:t xml:space="preserve"> </w:t>
      </w:r>
    </w:p>
    <w:p w14:paraId="68FA3696" w14:textId="6041C9A7" w:rsidR="001E03F9" w:rsidRDefault="00C77BF1" w:rsidP="00A5694C">
      <w:pPr>
        <w:pStyle w:val="Titolo4"/>
      </w:pPr>
      <w:r w:rsidRPr="00A5694C">
        <w:t>2</w:t>
      </w:r>
      <w:r w:rsidR="00F2682C" w:rsidRPr="00A5694C">
        <w:t xml:space="preserve">.1.1 </w:t>
      </w:r>
      <w:r w:rsidRPr="00A5694C">
        <w:t>Individuazione dei costi efficienti</w:t>
      </w:r>
    </w:p>
    <w:p w14:paraId="2603CC52" w14:textId="6A6A130A" w:rsidR="00917318" w:rsidRPr="004B1035" w:rsidRDefault="005F2136" w:rsidP="00C77BF1">
      <w:pPr>
        <w:jc w:val="both"/>
        <w:rPr>
          <w:rFonts w:ascii="Corbel" w:hAnsi="Corbel"/>
          <w:i/>
          <w:iCs/>
          <w:sz w:val="24"/>
          <w:szCs w:val="24"/>
        </w:rPr>
      </w:pPr>
      <w:r w:rsidRPr="00BF38C5">
        <w:rPr>
          <w:rFonts w:ascii="Corbel" w:hAnsi="Corbel"/>
          <w:sz w:val="24"/>
          <w:szCs w:val="24"/>
          <w:lang w:eastAsia="it-IT"/>
        </w:rPr>
        <w:t>Per quanto concerne i costi connessi alle attività di raccolta</w:t>
      </w:r>
      <w:r w:rsidR="001F07C0">
        <w:rPr>
          <w:rFonts w:ascii="Corbel" w:hAnsi="Corbel"/>
          <w:sz w:val="24"/>
          <w:szCs w:val="24"/>
          <w:lang w:eastAsia="it-IT"/>
        </w:rPr>
        <w:t xml:space="preserve"> e</w:t>
      </w:r>
      <w:r w:rsidR="004B1035">
        <w:rPr>
          <w:rFonts w:ascii="Corbel" w:hAnsi="Corbel"/>
          <w:sz w:val="24"/>
          <w:szCs w:val="24"/>
          <w:lang w:eastAsia="it-IT"/>
        </w:rPr>
        <w:t xml:space="preserve"> </w:t>
      </w:r>
      <w:r w:rsidRPr="00BF38C5">
        <w:rPr>
          <w:rFonts w:ascii="Corbel" w:hAnsi="Corbel"/>
          <w:sz w:val="24"/>
          <w:szCs w:val="24"/>
          <w:lang w:eastAsia="it-IT"/>
        </w:rPr>
        <w:t>trasporto</w:t>
      </w:r>
      <w:r w:rsidR="00364B42">
        <w:rPr>
          <w:rFonts w:ascii="Corbel" w:hAnsi="Corbel"/>
          <w:sz w:val="24"/>
          <w:szCs w:val="24"/>
          <w:lang w:eastAsia="it-IT"/>
        </w:rPr>
        <w:t xml:space="preserve"> </w:t>
      </w:r>
      <w:r w:rsidR="001B36FA">
        <w:rPr>
          <w:rFonts w:ascii="Corbel" w:hAnsi="Corbel"/>
          <w:sz w:val="24"/>
          <w:szCs w:val="24"/>
          <w:lang w:eastAsia="it-IT"/>
        </w:rPr>
        <w:t xml:space="preserve">dei rifiuti, </w:t>
      </w:r>
      <w:r w:rsidRPr="00BF38C5">
        <w:rPr>
          <w:rFonts w:ascii="Corbel" w:hAnsi="Corbel"/>
          <w:sz w:val="24"/>
          <w:szCs w:val="24"/>
          <w:lang w:eastAsia="it-IT"/>
        </w:rPr>
        <w:t xml:space="preserve">il Comune non sostiene costi diversi da quelli riconosciuti al gestore affidatario </w:t>
      </w:r>
      <w:r w:rsidR="00D117FF">
        <w:rPr>
          <w:rFonts w:ascii="Corbel" w:hAnsi="Corbel"/>
          <w:i/>
          <w:iCs/>
          <w:sz w:val="24"/>
          <w:szCs w:val="24"/>
        </w:rPr>
        <w:t xml:space="preserve">La Splendente </w:t>
      </w:r>
      <w:proofErr w:type="spellStart"/>
      <w:r w:rsidR="00D117FF">
        <w:rPr>
          <w:rFonts w:ascii="Corbel" w:hAnsi="Corbel"/>
          <w:i/>
          <w:iCs/>
          <w:sz w:val="24"/>
          <w:szCs w:val="24"/>
        </w:rPr>
        <w:t>soc</w:t>
      </w:r>
      <w:proofErr w:type="spellEnd"/>
      <w:r w:rsidR="00D117FF">
        <w:rPr>
          <w:rFonts w:ascii="Corbel" w:hAnsi="Corbel"/>
          <w:i/>
          <w:iCs/>
          <w:sz w:val="24"/>
          <w:szCs w:val="24"/>
        </w:rPr>
        <w:t>. coop.</w:t>
      </w:r>
      <w:r w:rsidRPr="00BF38C5">
        <w:rPr>
          <w:rFonts w:ascii="Corbel" w:hAnsi="Corbel"/>
          <w:sz w:val="24"/>
          <w:szCs w:val="24"/>
          <w:lang w:eastAsia="it-IT"/>
        </w:rPr>
        <w:t>; per questo motivo di seguito non sono state valorizzate le voci riferite alle sigle CRT</w:t>
      </w:r>
      <w:r w:rsidR="00364B42">
        <w:rPr>
          <w:rFonts w:ascii="Corbel" w:hAnsi="Corbel"/>
          <w:sz w:val="24"/>
          <w:szCs w:val="24"/>
          <w:lang w:eastAsia="it-IT"/>
        </w:rPr>
        <w:t xml:space="preserve"> e </w:t>
      </w:r>
      <w:r w:rsidR="00E34914" w:rsidRPr="00BF38C5">
        <w:rPr>
          <w:rFonts w:ascii="Corbel" w:hAnsi="Corbel"/>
          <w:sz w:val="24"/>
          <w:szCs w:val="24"/>
          <w:lang w:eastAsia="it-IT"/>
        </w:rPr>
        <w:t>CRD</w:t>
      </w:r>
      <w:r w:rsidR="00B95FAF">
        <w:rPr>
          <w:rFonts w:ascii="Corbel" w:hAnsi="Corbel"/>
          <w:sz w:val="24"/>
          <w:szCs w:val="24"/>
          <w:lang w:eastAsia="it-IT"/>
        </w:rPr>
        <w:t xml:space="preserve"> </w:t>
      </w:r>
      <w:r w:rsidRPr="00BF38C5">
        <w:rPr>
          <w:rFonts w:ascii="Corbel" w:hAnsi="Corbel"/>
          <w:sz w:val="24"/>
          <w:szCs w:val="24"/>
          <w:lang w:eastAsia="it-IT"/>
        </w:rPr>
        <w:t>di cui alla Deliberazione ARERA 443/2019.</w:t>
      </w:r>
    </w:p>
    <w:p w14:paraId="02AFFAA1" w14:textId="2B4A7986" w:rsidR="001F07C0" w:rsidRPr="005C5F3C" w:rsidRDefault="005F2136" w:rsidP="00C77BF1">
      <w:pPr>
        <w:jc w:val="both"/>
        <w:rPr>
          <w:rFonts w:ascii="Corbel" w:hAnsi="Corbel"/>
          <w:sz w:val="24"/>
          <w:szCs w:val="24"/>
          <w:lang w:eastAsia="it-IT"/>
        </w:rPr>
      </w:pPr>
      <w:r w:rsidRPr="005C5F3C">
        <w:rPr>
          <w:rFonts w:ascii="Corbel" w:hAnsi="Corbel"/>
          <w:sz w:val="24"/>
          <w:szCs w:val="24"/>
          <w:lang w:eastAsia="it-IT"/>
        </w:rPr>
        <w:t>Il Comune non ha rilevato nemmeno costi operativi incentivanti (COI) stante la corrispondenza diretta tra modalità di servizio (di gestione della</w:t>
      </w:r>
      <w:r w:rsidR="0048456A" w:rsidRPr="005C5F3C">
        <w:rPr>
          <w:rFonts w:ascii="Corbel" w:hAnsi="Corbel"/>
          <w:sz w:val="24"/>
          <w:szCs w:val="24"/>
          <w:lang w:eastAsia="it-IT"/>
        </w:rPr>
        <w:t xml:space="preserve"> tariffa e rapporto con gli utenti</w:t>
      </w:r>
      <w:r w:rsidR="00FA19BB">
        <w:rPr>
          <w:rFonts w:ascii="Corbel" w:hAnsi="Corbel"/>
          <w:sz w:val="24"/>
          <w:szCs w:val="24"/>
          <w:lang w:eastAsia="it-IT"/>
        </w:rPr>
        <w:t xml:space="preserve"> e dello spazzamento e lavaggio delle strade e del suolo pubblico</w:t>
      </w:r>
      <w:r w:rsidRPr="005C5F3C">
        <w:rPr>
          <w:rFonts w:ascii="Corbel" w:hAnsi="Corbel"/>
          <w:sz w:val="24"/>
          <w:szCs w:val="24"/>
          <w:lang w:eastAsia="it-IT"/>
        </w:rPr>
        <w:t>) in essere nel 201</w:t>
      </w:r>
      <w:r w:rsidR="00A904A8" w:rsidRPr="005C5F3C">
        <w:rPr>
          <w:rFonts w:ascii="Corbel" w:hAnsi="Corbel"/>
          <w:sz w:val="24"/>
          <w:szCs w:val="24"/>
          <w:lang w:eastAsia="it-IT"/>
        </w:rPr>
        <w:t>9</w:t>
      </w:r>
      <w:r w:rsidRPr="005C5F3C">
        <w:rPr>
          <w:rFonts w:ascii="Corbel" w:hAnsi="Corbel"/>
          <w:sz w:val="24"/>
          <w:szCs w:val="24"/>
          <w:lang w:eastAsia="it-IT"/>
        </w:rPr>
        <w:t xml:space="preserve"> e modalità di svolgimento attuali. </w:t>
      </w:r>
    </w:p>
    <w:p w14:paraId="1C3B1CA7" w14:textId="740AA93F" w:rsidR="007D4DD6" w:rsidRPr="00D117FF" w:rsidRDefault="009C2150" w:rsidP="004E7D9E">
      <w:pPr>
        <w:jc w:val="both"/>
        <w:rPr>
          <w:rFonts w:ascii="Corbel" w:hAnsi="Corbel"/>
          <w:sz w:val="24"/>
          <w:szCs w:val="24"/>
          <w:lang w:eastAsia="it-IT"/>
        </w:rPr>
      </w:pPr>
      <w:r w:rsidRPr="005C5F3C">
        <w:rPr>
          <w:rFonts w:ascii="Corbel" w:hAnsi="Corbel"/>
          <w:sz w:val="24"/>
          <w:szCs w:val="24"/>
          <w:lang w:eastAsia="it-IT"/>
        </w:rPr>
        <w:t>Dal momento che non si rilevano crediti inesigibili stralciati dal rendiconto 201</w:t>
      </w:r>
      <w:r w:rsidR="00A904A8" w:rsidRPr="005C5F3C">
        <w:rPr>
          <w:rFonts w:ascii="Corbel" w:hAnsi="Corbel"/>
          <w:sz w:val="24"/>
          <w:szCs w:val="24"/>
          <w:lang w:eastAsia="it-IT"/>
        </w:rPr>
        <w:t>9</w:t>
      </w:r>
      <w:r w:rsidRPr="005C5F3C">
        <w:rPr>
          <w:rFonts w:ascii="Corbel" w:hAnsi="Corbel"/>
          <w:sz w:val="24"/>
          <w:szCs w:val="24"/>
          <w:lang w:eastAsia="it-IT"/>
        </w:rPr>
        <w:t xml:space="preserve">, la quota di costo </w:t>
      </w:r>
      <w:r w:rsidR="0031567B" w:rsidRPr="005C5F3C">
        <w:rPr>
          <w:rFonts w:ascii="Corbel" w:hAnsi="Corbel"/>
          <w:sz w:val="24"/>
          <w:szCs w:val="24"/>
          <w:lang w:eastAsia="it-IT"/>
        </w:rPr>
        <w:t xml:space="preserve">a titolo di Costi Comuni Diversi (CCD) </w:t>
      </w:r>
      <w:r w:rsidRPr="005C5F3C">
        <w:rPr>
          <w:rFonts w:ascii="Corbel" w:hAnsi="Corbel"/>
          <w:sz w:val="24"/>
          <w:szCs w:val="24"/>
          <w:lang w:eastAsia="it-IT"/>
        </w:rPr>
        <w:t>è pari a 0,00 €.</w:t>
      </w:r>
    </w:p>
    <w:p w14:paraId="0F54D38E" w14:textId="77777777" w:rsidR="007D4DD6" w:rsidRDefault="007D4DD6" w:rsidP="004E7D9E">
      <w:pPr>
        <w:jc w:val="both"/>
        <w:rPr>
          <w:rFonts w:ascii="Corbel" w:hAnsi="Corbel"/>
          <w:b/>
          <w:bCs/>
          <w:sz w:val="24"/>
          <w:szCs w:val="24"/>
          <w:lang w:eastAsia="it-IT"/>
        </w:rPr>
      </w:pPr>
    </w:p>
    <w:p w14:paraId="218AE5EA" w14:textId="5C324383" w:rsidR="004E7D9E" w:rsidRDefault="004E7D9E" w:rsidP="004E7D9E">
      <w:pPr>
        <w:jc w:val="both"/>
        <w:rPr>
          <w:rFonts w:ascii="Corbel" w:hAnsi="Corbel"/>
          <w:b/>
          <w:bCs/>
          <w:sz w:val="24"/>
          <w:szCs w:val="24"/>
          <w:lang w:eastAsia="it-IT"/>
        </w:rPr>
      </w:pPr>
      <w:r>
        <w:rPr>
          <w:rFonts w:ascii="Corbel" w:hAnsi="Corbel"/>
          <w:b/>
          <w:bCs/>
          <w:sz w:val="24"/>
          <w:szCs w:val="24"/>
          <w:lang w:eastAsia="it-IT"/>
        </w:rPr>
        <w:t>Costi di spazzamento e lavaggio delle strade e del suolo pubblico (CSL)</w:t>
      </w:r>
    </w:p>
    <w:p w14:paraId="76D9A1CC" w14:textId="7C3CBC44" w:rsidR="004E7D9E" w:rsidRDefault="00D117FF" w:rsidP="004E7D9E">
      <w:pPr>
        <w:jc w:val="both"/>
        <w:rPr>
          <w:rFonts w:ascii="Corbel" w:hAnsi="Corbel"/>
          <w:b/>
          <w:bCs/>
          <w:sz w:val="24"/>
          <w:szCs w:val="24"/>
          <w:lang w:eastAsia="it-IT"/>
        </w:rPr>
      </w:pPr>
      <w:r w:rsidRPr="00D117FF">
        <w:rPr>
          <w:noProof/>
          <w:lang w:eastAsia="it-IT"/>
        </w:rPr>
        <w:drawing>
          <wp:inline distT="0" distB="0" distL="0" distR="0" wp14:anchorId="15D8290D" wp14:editId="3DE5E69A">
            <wp:extent cx="6134100" cy="110426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0" cy="1104265"/>
                    </a:xfrm>
                    <a:prstGeom prst="rect">
                      <a:avLst/>
                    </a:prstGeom>
                    <a:noFill/>
                    <a:ln>
                      <a:noFill/>
                    </a:ln>
                  </pic:spPr>
                </pic:pic>
              </a:graphicData>
            </a:graphic>
          </wp:inline>
        </w:drawing>
      </w:r>
    </w:p>
    <w:p w14:paraId="274C5E22" w14:textId="77777777" w:rsidR="004E7D9E" w:rsidRDefault="004E7D9E" w:rsidP="004E7D9E">
      <w:pPr>
        <w:jc w:val="both"/>
        <w:rPr>
          <w:rFonts w:ascii="Corbel" w:hAnsi="Corbel"/>
          <w:b/>
          <w:bCs/>
          <w:sz w:val="24"/>
          <w:szCs w:val="24"/>
          <w:lang w:eastAsia="it-IT"/>
        </w:rPr>
      </w:pPr>
    </w:p>
    <w:p w14:paraId="38423671" w14:textId="26C364EF" w:rsidR="004E7D9E" w:rsidRPr="004E7D9E" w:rsidRDefault="004E7D9E" w:rsidP="004E7D9E">
      <w:pPr>
        <w:jc w:val="both"/>
        <w:rPr>
          <w:rFonts w:ascii="Corbel" w:hAnsi="Corbel"/>
          <w:b/>
          <w:bCs/>
          <w:sz w:val="24"/>
          <w:szCs w:val="24"/>
          <w:lang w:eastAsia="it-IT"/>
        </w:rPr>
      </w:pPr>
      <w:r w:rsidRPr="004E7D9E">
        <w:rPr>
          <w:rFonts w:ascii="Corbel" w:hAnsi="Corbel"/>
          <w:b/>
          <w:bCs/>
          <w:sz w:val="24"/>
          <w:szCs w:val="24"/>
          <w:lang w:eastAsia="it-IT"/>
        </w:rPr>
        <w:t>Costi di trattamento</w:t>
      </w:r>
      <w:r w:rsidR="00C32AAB">
        <w:rPr>
          <w:rFonts w:ascii="Corbel" w:hAnsi="Corbel"/>
          <w:b/>
          <w:bCs/>
          <w:sz w:val="24"/>
          <w:szCs w:val="24"/>
          <w:lang w:eastAsia="it-IT"/>
        </w:rPr>
        <w:t xml:space="preserve">, </w:t>
      </w:r>
      <w:r w:rsidRPr="004E7D9E">
        <w:rPr>
          <w:rFonts w:ascii="Corbel" w:hAnsi="Corbel"/>
          <w:b/>
          <w:bCs/>
          <w:sz w:val="24"/>
          <w:szCs w:val="24"/>
          <w:lang w:eastAsia="it-IT"/>
        </w:rPr>
        <w:t xml:space="preserve">smaltimento </w:t>
      </w:r>
      <w:r w:rsidR="00C32AAB">
        <w:rPr>
          <w:rFonts w:ascii="Corbel" w:hAnsi="Corbel"/>
          <w:b/>
          <w:bCs/>
          <w:sz w:val="24"/>
          <w:szCs w:val="24"/>
          <w:lang w:eastAsia="it-IT"/>
        </w:rPr>
        <w:t xml:space="preserve">e recupero </w:t>
      </w:r>
      <w:r w:rsidRPr="004E7D9E">
        <w:rPr>
          <w:rFonts w:ascii="Corbel" w:hAnsi="Corbel"/>
          <w:b/>
          <w:bCs/>
          <w:sz w:val="24"/>
          <w:szCs w:val="24"/>
          <w:lang w:eastAsia="it-IT"/>
        </w:rPr>
        <w:t>dei rifiuti solidi urbani (CTR-CTS)</w:t>
      </w:r>
    </w:p>
    <w:p w14:paraId="5F2F5714" w14:textId="61C4ED69" w:rsidR="004E7D9E" w:rsidRPr="004E7D9E" w:rsidRDefault="004E7D9E" w:rsidP="004E7D9E">
      <w:pPr>
        <w:jc w:val="both"/>
        <w:rPr>
          <w:rFonts w:ascii="Corbel" w:hAnsi="Corbel"/>
          <w:sz w:val="24"/>
          <w:szCs w:val="24"/>
          <w:lang w:eastAsia="it-IT"/>
        </w:rPr>
      </w:pPr>
      <w:r w:rsidRPr="004E7D9E">
        <w:rPr>
          <w:rFonts w:ascii="Corbel" w:hAnsi="Corbel"/>
          <w:sz w:val="24"/>
          <w:szCs w:val="24"/>
          <w:lang w:eastAsia="it-IT"/>
        </w:rPr>
        <w:t>Pur non essendo Soggetto Gestore delle fasi di trattamento, recupero e smaltimento dei rifiuti, i costi relativi a dette attività, di seguito riportati, sono in parte sostenuti direttamente dal Comune d</w:t>
      </w:r>
      <w:r w:rsidR="00D117FF">
        <w:rPr>
          <w:rFonts w:ascii="Corbel" w:hAnsi="Corbel"/>
          <w:sz w:val="24"/>
          <w:szCs w:val="24"/>
          <w:lang w:eastAsia="it-IT"/>
        </w:rPr>
        <w:t>i Montalto delle Marche</w:t>
      </w:r>
      <w:r w:rsidRPr="004E7D9E">
        <w:rPr>
          <w:rFonts w:ascii="Corbel" w:hAnsi="Corbel"/>
          <w:sz w:val="24"/>
          <w:szCs w:val="24"/>
          <w:lang w:eastAsia="it-IT"/>
        </w:rPr>
        <w:t>. Il Comune si avvale della facoltà concessa dal MTR, definita con l’articolo 7.7 e seguenti dell’Allegato A alla Delibera 443/2019:</w:t>
      </w:r>
    </w:p>
    <w:p w14:paraId="362C85CA" w14:textId="77777777" w:rsidR="004E7D9E" w:rsidRPr="004E7D9E" w:rsidRDefault="004E7D9E" w:rsidP="004E7D9E">
      <w:pPr>
        <w:jc w:val="both"/>
        <w:rPr>
          <w:rFonts w:ascii="Corbel" w:hAnsi="Corbel"/>
          <w:i/>
          <w:iCs/>
          <w:sz w:val="24"/>
          <w:szCs w:val="24"/>
          <w:lang w:eastAsia="it-IT"/>
        </w:rPr>
      </w:pPr>
      <w:r w:rsidRPr="004E7D9E">
        <w:rPr>
          <w:rFonts w:ascii="Corbel" w:hAnsi="Corbel"/>
          <w:i/>
          <w:iCs/>
          <w:sz w:val="24"/>
          <w:szCs w:val="24"/>
          <w:lang w:eastAsia="it-IT"/>
        </w:rPr>
        <w:t xml:space="preserve">“A.7.7 Nel caso in cui il gestore non svolga (in tutto o in parte) direttamente l’attività di trattamento e smaltimento e l’attività di trattamento e recupero, le rispettive componenti di costo </w:t>
      </w:r>
      <w:r w:rsidRPr="004E7D9E">
        <w:rPr>
          <w:rFonts w:ascii="Cambria Math" w:hAnsi="Cambria Math" w:cs="Cambria Math"/>
          <w:i/>
          <w:iCs/>
          <w:sz w:val="24"/>
          <w:szCs w:val="24"/>
          <w:lang w:eastAsia="it-IT"/>
        </w:rPr>
        <w:t>𝐶𝑇𝑆𝑎</w:t>
      </w:r>
      <w:r w:rsidRPr="004E7D9E">
        <w:rPr>
          <w:rFonts w:ascii="Corbel" w:hAnsi="Corbel"/>
          <w:i/>
          <w:iCs/>
          <w:sz w:val="24"/>
          <w:szCs w:val="24"/>
          <w:lang w:eastAsia="it-IT"/>
        </w:rPr>
        <w:t xml:space="preserve"> e </w:t>
      </w:r>
      <w:r w:rsidRPr="004E7D9E">
        <w:rPr>
          <w:rFonts w:ascii="Cambria Math" w:hAnsi="Cambria Math" w:cs="Cambria Math"/>
          <w:i/>
          <w:iCs/>
          <w:sz w:val="24"/>
          <w:szCs w:val="24"/>
          <w:lang w:eastAsia="it-IT"/>
        </w:rPr>
        <w:t>𝐶𝑇𝑅𝑎</w:t>
      </w:r>
      <w:r w:rsidRPr="004E7D9E">
        <w:rPr>
          <w:rFonts w:ascii="Corbel" w:hAnsi="Corbel"/>
          <w:i/>
          <w:iCs/>
          <w:sz w:val="24"/>
          <w:szCs w:val="24"/>
          <w:lang w:eastAsia="it-IT"/>
        </w:rPr>
        <w:t xml:space="preserve"> sono ottenute come prodotto tra il corrispettivo unitario del servizio (coerente con i valori di mercato ed espresso in euro/tonnellata) e i quantitativi conferiti (espressi in tonnellate). Le suddette componenti saranno valutate alla luce della determinazione, con successivo provvedimento, dei criteri di cui all’articolo 1, comma 527, lettera g), della legge n. 205/17”.</w:t>
      </w:r>
    </w:p>
    <w:p w14:paraId="0CB3FFED" w14:textId="6D4E1C06" w:rsidR="004E7D9E" w:rsidRDefault="00D117FF" w:rsidP="00B205D5">
      <w:pPr>
        <w:jc w:val="both"/>
        <w:rPr>
          <w:rFonts w:ascii="Corbel" w:hAnsi="Corbel"/>
          <w:b/>
          <w:bCs/>
          <w:sz w:val="24"/>
          <w:szCs w:val="24"/>
          <w:lang w:eastAsia="it-IT"/>
        </w:rPr>
      </w:pPr>
      <w:r w:rsidRPr="00D117FF">
        <w:rPr>
          <w:noProof/>
          <w:lang w:eastAsia="it-IT"/>
        </w:rPr>
        <w:lastRenderedPageBreak/>
        <w:drawing>
          <wp:inline distT="0" distB="0" distL="0" distR="0" wp14:anchorId="35F03FDB" wp14:editId="3A26606E">
            <wp:extent cx="5791200" cy="24003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2400300"/>
                    </a:xfrm>
                    <a:prstGeom prst="rect">
                      <a:avLst/>
                    </a:prstGeom>
                    <a:noFill/>
                    <a:ln>
                      <a:noFill/>
                    </a:ln>
                  </pic:spPr>
                </pic:pic>
              </a:graphicData>
            </a:graphic>
          </wp:inline>
        </w:drawing>
      </w:r>
    </w:p>
    <w:p w14:paraId="061136A5" w14:textId="77777777" w:rsidR="004E7D9E" w:rsidRDefault="004E7D9E" w:rsidP="00B205D5">
      <w:pPr>
        <w:jc w:val="both"/>
        <w:rPr>
          <w:rFonts w:ascii="Corbel" w:hAnsi="Corbel"/>
          <w:b/>
          <w:bCs/>
          <w:sz w:val="24"/>
          <w:szCs w:val="24"/>
          <w:lang w:eastAsia="it-IT"/>
        </w:rPr>
      </w:pPr>
    </w:p>
    <w:p w14:paraId="21A93E0D" w14:textId="35046E88" w:rsidR="00B205D5" w:rsidRDefault="00B205D5" w:rsidP="00B205D5">
      <w:pPr>
        <w:jc w:val="both"/>
        <w:rPr>
          <w:rFonts w:ascii="Corbel" w:hAnsi="Corbel"/>
          <w:b/>
          <w:bCs/>
          <w:sz w:val="24"/>
          <w:szCs w:val="24"/>
          <w:lang w:eastAsia="it-IT"/>
        </w:rPr>
      </w:pPr>
      <w:r w:rsidRPr="00A5694C">
        <w:rPr>
          <w:rFonts w:ascii="Corbel" w:hAnsi="Corbel"/>
          <w:b/>
          <w:bCs/>
          <w:sz w:val="24"/>
          <w:szCs w:val="24"/>
          <w:lang w:eastAsia="it-IT"/>
        </w:rPr>
        <w:t>Costi amministrativi, riscossione e contenzioso (CARC)</w:t>
      </w:r>
    </w:p>
    <w:p w14:paraId="74BE4A3E" w14:textId="77777777" w:rsidR="00B205D5" w:rsidRPr="00F51FFB" w:rsidRDefault="00B205D5" w:rsidP="00B205D5">
      <w:pPr>
        <w:spacing w:after="0"/>
        <w:jc w:val="both"/>
        <w:rPr>
          <w:rFonts w:ascii="Corbel" w:hAnsi="Corbel"/>
          <w:color w:val="000000" w:themeColor="text1"/>
          <w:sz w:val="24"/>
          <w:szCs w:val="24"/>
          <w:lang w:eastAsia="it-IT"/>
        </w:rPr>
      </w:pPr>
      <w:r w:rsidRPr="00F51FFB">
        <w:rPr>
          <w:rFonts w:ascii="Corbel" w:hAnsi="Corbel"/>
          <w:color w:val="000000" w:themeColor="text1"/>
          <w:sz w:val="24"/>
          <w:szCs w:val="24"/>
          <w:lang w:eastAsia="it-IT"/>
        </w:rPr>
        <w:t>Rientrano in tale voce i costi operativi per l’attività di gestione delle tariffe e dei rapporti con gli utenti, che comprende le operazioni di:</w:t>
      </w:r>
    </w:p>
    <w:p w14:paraId="43331E57" w14:textId="77777777" w:rsidR="00B205D5" w:rsidRPr="00F51FFB" w:rsidRDefault="00B205D5" w:rsidP="00B205D5">
      <w:pPr>
        <w:spacing w:after="0"/>
        <w:jc w:val="both"/>
        <w:rPr>
          <w:rFonts w:ascii="Corbel" w:hAnsi="Corbel"/>
          <w:color w:val="000000" w:themeColor="text1"/>
          <w:sz w:val="24"/>
          <w:szCs w:val="24"/>
          <w:lang w:eastAsia="it-IT"/>
        </w:rPr>
      </w:pPr>
      <w:r w:rsidRPr="00F51FFB">
        <w:rPr>
          <w:rFonts w:ascii="Corbel" w:hAnsi="Corbel"/>
          <w:color w:val="000000" w:themeColor="text1"/>
          <w:sz w:val="24"/>
          <w:szCs w:val="24"/>
          <w:lang w:eastAsia="it-IT"/>
        </w:rPr>
        <w:t>- accertamento, riscossione (incluse le attività di bollettazione e l'invio degli avvisi di pagamento);</w:t>
      </w:r>
    </w:p>
    <w:p w14:paraId="1B1FC626" w14:textId="77777777" w:rsidR="00B205D5" w:rsidRPr="00F51FFB" w:rsidRDefault="00B205D5" w:rsidP="00B205D5">
      <w:pPr>
        <w:spacing w:after="0"/>
        <w:jc w:val="both"/>
        <w:rPr>
          <w:rFonts w:ascii="Corbel" w:hAnsi="Corbel"/>
          <w:color w:val="000000" w:themeColor="text1"/>
          <w:sz w:val="24"/>
          <w:szCs w:val="24"/>
          <w:lang w:eastAsia="it-IT"/>
        </w:rPr>
      </w:pPr>
      <w:r w:rsidRPr="00F51FFB">
        <w:rPr>
          <w:rFonts w:ascii="Corbel" w:hAnsi="Corbel"/>
          <w:color w:val="000000" w:themeColor="text1"/>
          <w:sz w:val="24"/>
          <w:szCs w:val="24"/>
          <w:lang w:eastAsia="it-IT"/>
        </w:rPr>
        <w:t>- gestione del rapporto con gli utenti (inclusa la gestione reclami) anche mediante sportelli dedicati o call-center;</w:t>
      </w:r>
    </w:p>
    <w:p w14:paraId="2D0171C7" w14:textId="77777777" w:rsidR="00B205D5" w:rsidRPr="00F51FFB" w:rsidRDefault="00B205D5" w:rsidP="00B205D5">
      <w:pPr>
        <w:spacing w:after="0"/>
        <w:jc w:val="both"/>
        <w:rPr>
          <w:rFonts w:ascii="Corbel" w:hAnsi="Corbel"/>
          <w:color w:val="000000" w:themeColor="text1"/>
          <w:sz w:val="24"/>
          <w:szCs w:val="24"/>
          <w:lang w:eastAsia="it-IT"/>
        </w:rPr>
      </w:pPr>
      <w:r w:rsidRPr="00F51FFB">
        <w:rPr>
          <w:rFonts w:ascii="Corbel" w:hAnsi="Corbel"/>
          <w:color w:val="000000" w:themeColor="text1"/>
          <w:sz w:val="24"/>
          <w:szCs w:val="24"/>
          <w:lang w:eastAsia="it-IT"/>
        </w:rPr>
        <w:t>- gestione della banca dati degli utenti e delle utenze, dei crediti e del contenzioso;</w:t>
      </w:r>
    </w:p>
    <w:p w14:paraId="2B76AE32" w14:textId="77777777" w:rsidR="00B205D5" w:rsidRPr="00F51FFB" w:rsidRDefault="00B205D5" w:rsidP="00B205D5">
      <w:pPr>
        <w:spacing w:after="0"/>
        <w:jc w:val="both"/>
        <w:rPr>
          <w:rFonts w:ascii="Corbel" w:hAnsi="Corbel"/>
          <w:color w:val="000000" w:themeColor="text1"/>
          <w:sz w:val="24"/>
          <w:szCs w:val="24"/>
          <w:lang w:eastAsia="it-IT"/>
        </w:rPr>
      </w:pPr>
      <w:r w:rsidRPr="00F51FFB">
        <w:rPr>
          <w:rFonts w:ascii="Corbel" w:hAnsi="Corbel"/>
          <w:color w:val="000000" w:themeColor="text1"/>
          <w:sz w:val="24"/>
          <w:szCs w:val="24"/>
          <w:lang w:eastAsia="it-IT"/>
        </w:rPr>
        <w:t xml:space="preserve">- promozione di campagne ambientali; </w:t>
      </w:r>
    </w:p>
    <w:p w14:paraId="030571E9" w14:textId="77777777" w:rsidR="00B205D5" w:rsidRDefault="00B205D5" w:rsidP="00B205D5">
      <w:pPr>
        <w:spacing w:after="0"/>
        <w:jc w:val="both"/>
        <w:rPr>
          <w:rFonts w:ascii="Corbel" w:hAnsi="Corbel"/>
          <w:color w:val="000000" w:themeColor="text1"/>
          <w:sz w:val="24"/>
          <w:szCs w:val="24"/>
          <w:lang w:eastAsia="it-IT"/>
        </w:rPr>
      </w:pPr>
      <w:r w:rsidRPr="00F51FFB">
        <w:rPr>
          <w:rFonts w:ascii="Corbel" w:hAnsi="Corbel"/>
          <w:color w:val="000000" w:themeColor="text1"/>
          <w:sz w:val="24"/>
          <w:szCs w:val="24"/>
          <w:lang w:eastAsia="it-IT"/>
        </w:rPr>
        <w:t>- prevenzione della produzione di rifiuti urbani.</w:t>
      </w:r>
    </w:p>
    <w:p w14:paraId="02EF9E89" w14:textId="77777777" w:rsidR="00B205D5" w:rsidRPr="00F51FFB" w:rsidRDefault="00B205D5" w:rsidP="00B205D5">
      <w:pPr>
        <w:spacing w:after="0"/>
        <w:jc w:val="both"/>
        <w:rPr>
          <w:rFonts w:ascii="Corbel" w:hAnsi="Corbel"/>
          <w:color w:val="000000" w:themeColor="text1"/>
          <w:sz w:val="24"/>
          <w:szCs w:val="24"/>
          <w:lang w:eastAsia="it-IT"/>
        </w:rPr>
      </w:pPr>
    </w:p>
    <w:p w14:paraId="3DA1ABAA" w14:textId="77777777" w:rsidR="00B205D5" w:rsidRDefault="00B205D5" w:rsidP="00B205D5">
      <w:pPr>
        <w:jc w:val="both"/>
        <w:rPr>
          <w:rFonts w:ascii="Corbel" w:hAnsi="Corbel"/>
          <w:color w:val="000000" w:themeColor="text1"/>
          <w:sz w:val="24"/>
          <w:szCs w:val="24"/>
          <w:lang w:eastAsia="it-IT"/>
        </w:rPr>
      </w:pPr>
      <w:r w:rsidRPr="00F51FFB">
        <w:rPr>
          <w:rFonts w:ascii="Corbel" w:hAnsi="Corbel"/>
          <w:color w:val="000000" w:themeColor="text1"/>
          <w:sz w:val="24"/>
          <w:szCs w:val="24"/>
          <w:lang w:eastAsia="it-IT"/>
        </w:rPr>
        <w:t>I costi efficienti desunti da fonti contabili obbligatorie sono i seguenti:</w:t>
      </w:r>
    </w:p>
    <w:p w14:paraId="78AB392C" w14:textId="7917A130" w:rsidR="00971696" w:rsidRDefault="00D117FF" w:rsidP="00BF38C5">
      <w:pPr>
        <w:jc w:val="both"/>
        <w:rPr>
          <w:rFonts w:ascii="Corbel" w:hAnsi="Corbel"/>
          <w:b/>
          <w:bCs/>
          <w:sz w:val="24"/>
          <w:szCs w:val="24"/>
          <w:lang w:eastAsia="it-IT"/>
        </w:rPr>
      </w:pPr>
      <w:r w:rsidRPr="00D117FF">
        <w:rPr>
          <w:noProof/>
          <w:lang w:eastAsia="it-IT"/>
        </w:rPr>
        <w:drawing>
          <wp:inline distT="0" distB="0" distL="0" distR="0" wp14:anchorId="4AF054CA" wp14:editId="0F4FF0D7">
            <wp:extent cx="6305550" cy="1915160"/>
            <wp:effectExtent l="0" t="0" r="0" b="889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5550" cy="1915160"/>
                    </a:xfrm>
                    <a:prstGeom prst="rect">
                      <a:avLst/>
                    </a:prstGeom>
                    <a:noFill/>
                    <a:ln>
                      <a:noFill/>
                    </a:ln>
                  </pic:spPr>
                </pic:pic>
              </a:graphicData>
            </a:graphic>
          </wp:inline>
        </w:drawing>
      </w:r>
      <w:r w:rsidR="0032060E">
        <w:rPr>
          <w:rFonts w:ascii="Corbel" w:hAnsi="Corbel"/>
          <w:b/>
          <w:bCs/>
          <w:sz w:val="24"/>
          <w:szCs w:val="24"/>
          <w:lang w:eastAsia="it-IT"/>
        </w:rPr>
        <w:tab/>
      </w:r>
    </w:p>
    <w:p w14:paraId="38F262B6" w14:textId="0041D594" w:rsidR="00B205D5" w:rsidRDefault="00B205D5" w:rsidP="00BF38C5">
      <w:pPr>
        <w:jc w:val="both"/>
        <w:rPr>
          <w:rFonts w:ascii="Corbel" w:hAnsi="Corbel"/>
          <w:b/>
          <w:bCs/>
          <w:sz w:val="24"/>
          <w:szCs w:val="24"/>
          <w:lang w:eastAsia="it-IT"/>
        </w:rPr>
      </w:pPr>
      <w:r w:rsidRPr="00B205D5">
        <w:rPr>
          <w:rFonts w:ascii="Corbel" w:hAnsi="Corbel"/>
          <w:b/>
          <w:bCs/>
          <w:sz w:val="24"/>
          <w:szCs w:val="24"/>
          <w:lang w:eastAsia="it-IT"/>
        </w:rPr>
        <w:t>Costi generali di gestione (CGG)</w:t>
      </w:r>
    </w:p>
    <w:p w14:paraId="33A32234" w14:textId="524874CA" w:rsidR="00B205D5" w:rsidRDefault="00D117FF" w:rsidP="00BF38C5">
      <w:pPr>
        <w:jc w:val="both"/>
        <w:rPr>
          <w:rFonts w:ascii="Corbel" w:hAnsi="Corbel"/>
          <w:b/>
          <w:bCs/>
          <w:sz w:val="24"/>
          <w:szCs w:val="24"/>
          <w:lang w:eastAsia="it-IT"/>
        </w:rPr>
      </w:pPr>
      <w:r w:rsidRPr="00D117FF">
        <w:rPr>
          <w:noProof/>
          <w:lang w:eastAsia="it-IT"/>
        </w:rPr>
        <w:drawing>
          <wp:inline distT="0" distB="0" distL="0" distR="0" wp14:anchorId="4D39E180" wp14:editId="29D30DBC">
            <wp:extent cx="6120130" cy="53530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535305"/>
                    </a:xfrm>
                    <a:prstGeom prst="rect">
                      <a:avLst/>
                    </a:prstGeom>
                    <a:noFill/>
                    <a:ln>
                      <a:noFill/>
                    </a:ln>
                  </pic:spPr>
                </pic:pic>
              </a:graphicData>
            </a:graphic>
          </wp:inline>
        </w:drawing>
      </w:r>
    </w:p>
    <w:p w14:paraId="2DA8C37F" w14:textId="20C2A98F" w:rsidR="00B205D5" w:rsidRDefault="00B205D5" w:rsidP="00BF38C5">
      <w:pPr>
        <w:jc w:val="both"/>
        <w:rPr>
          <w:rFonts w:ascii="Corbel" w:hAnsi="Corbel"/>
          <w:b/>
          <w:bCs/>
          <w:sz w:val="24"/>
          <w:szCs w:val="24"/>
          <w:lang w:eastAsia="it-IT"/>
        </w:rPr>
      </w:pPr>
    </w:p>
    <w:p w14:paraId="0555528C" w14:textId="5260A506" w:rsidR="00906F33" w:rsidRDefault="00906F33" w:rsidP="004A7B3B">
      <w:pPr>
        <w:jc w:val="both"/>
        <w:rPr>
          <w:rFonts w:ascii="Corbel" w:hAnsi="Corbel"/>
          <w:color w:val="000000" w:themeColor="text1"/>
          <w:sz w:val="24"/>
          <w:szCs w:val="24"/>
          <w:lang w:eastAsia="it-IT"/>
        </w:rPr>
      </w:pPr>
    </w:p>
    <w:p w14:paraId="70259FDD" w14:textId="62B07210" w:rsidR="00906F33" w:rsidRPr="00906F33" w:rsidRDefault="00906F33" w:rsidP="00906F33">
      <w:pPr>
        <w:jc w:val="both"/>
        <w:rPr>
          <w:rFonts w:ascii="Corbel" w:hAnsi="Corbel"/>
          <w:b/>
          <w:bCs/>
          <w:sz w:val="24"/>
          <w:szCs w:val="24"/>
          <w:lang w:eastAsia="it-IT"/>
        </w:rPr>
      </w:pPr>
      <w:r w:rsidRPr="00906F33">
        <w:rPr>
          <w:rFonts w:ascii="Corbel" w:hAnsi="Corbel"/>
          <w:b/>
          <w:bCs/>
          <w:sz w:val="24"/>
          <w:szCs w:val="24"/>
          <w:lang w:eastAsia="it-IT"/>
        </w:rPr>
        <w:lastRenderedPageBreak/>
        <w:t>Costi d’Uso del Capitale</w:t>
      </w:r>
      <w:r>
        <w:rPr>
          <w:rFonts w:ascii="Corbel" w:hAnsi="Corbel"/>
          <w:b/>
          <w:bCs/>
          <w:sz w:val="24"/>
          <w:szCs w:val="24"/>
          <w:lang w:eastAsia="it-IT"/>
        </w:rPr>
        <w:t xml:space="preserve"> (CK)</w:t>
      </w:r>
    </w:p>
    <w:p w14:paraId="6E72CFBA" w14:textId="41435D32" w:rsidR="00906F33" w:rsidRPr="00C30141" w:rsidRDefault="00906F33" w:rsidP="00906F33">
      <w:pPr>
        <w:spacing w:line="276" w:lineRule="auto"/>
        <w:jc w:val="both"/>
        <w:rPr>
          <w:rFonts w:cstheme="minorHAnsi"/>
          <w:sz w:val="24"/>
          <w:szCs w:val="24"/>
          <w:lang w:eastAsia="it-IT"/>
        </w:rPr>
      </w:pPr>
      <w:r w:rsidRPr="00070FAE">
        <w:rPr>
          <w:rFonts w:ascii="Corbel" w:hAnsi="Corbel" w:cstheme="minorHAnsi"/>
          <w:sz w:val="24"/>
          <w:szCs w:val="24"/>
          <w:lang w:eastAsia="it-IT"/>
        </w:rPr>
        <w:t>I costi d'uso del capitale</w:t>
      </w:r>
      <w:r w:rsidRPr="00C30141">
        <w:rPr>
          <w:rFonts w:cstheme="minorHAnsi"/>
          <w:sz w:val="24"/>
          <w:szCs w:val="24"/>
          <w:lang w:eastAsia="it-IT"/>
        </w:rPr>
        <w:t xml:space="preserve"> </w:t>
      </w:r>
      <w:r w:rsidRPr="00C30141">
        <w:rPr>
          <w:rFonts w:ascii="Cambria Math" w:hAnsi="Cambria Math" w:cs="Cambria Math"/>
          <w:sz w:val="24"/>
          <w:szCs w:val="24"/>
          <w:lang w:eastAsia="it-IT"/>
        </w:rPr>
        <w:t>𝐶𝐾</w:t>
      </w:r>
      <w:r w:rsidRPr="00C30141">
        <w:rPr>
          <w:rFonts w:ascii="Cambria Math" w:hAnsi="Cambria Math" w:cs="Cambria Math"/>
          <w:sz w:val="24"/>
          <w:szCs w:val="24"/>
          <w:vertAlign w:val="subscript"/>
          <w:lang w:eastAsia="it-IT"/>
        </w:rPr>
        <w:t>𝑎</w:t>
      </w:r>
      <w:r w:rsidRPr="00C30141">
        <w:rPr>
          <w:rFonts w:cstheme="minorHAnsi"/>
          <w:sz w:val="24"/>
          <w:szCs w:val="24"/>
          <w:lang w:eastAsia="it-IT"/>
        </w:rPr>
        <w:t xml:space="preserve">, </w:t>
      </w:r>
      <w:r w:rsidRPr="00070FAE">
        <w:rPr>
          <w:rFonts w:ascii="Corbel" w:hAnsi="Corbel" w:cstheme="minorHAnsi"/>
          <w:sz w:val="24"/>
          <w:szCs w:val="24"/>
          <w:lang w:eastAsia="it-IT"/>
        </w:rPr>
        <w:t>sono determinati dalla seguente formula:</w:t>
      </w:r>
    </w:p>
    <w:p w14:paraId="459808E2" w14:textId="77777777" w:rsidR="00906F33" w:rsidRPr="00C30141" w:rsidRDefault="00906F33" w:rsidP="00906F33">
      <w:pPr>
        <w:spacing w:line="276" w:lineRule="auto"/>
        <w:jc w:val="center"/>
        <w:rPr>
          <w:rFonts w:cstheme="minorHAnsi"/>
          <w:sz w:val="24"/>
          <w:szCs w:val="24"/>
          <w:lang w:eastAsia="it-IT"/>
        </w:rPr>
      </w:pPr>
      <w:r w:rsidRPr="00C30141">
        <w:rPr>
          <w:rFonts w:ascii="Cambria Math" w:hAnsi="Cambria Math" w:cs="Cambria Math"/>
          <w:sz w:val="24"/>
          <w:szCs w:val="24"/>
          <w:lang w:eastAsia="it-IT"/>
        </w:rPr>
        <w:t>𝐶𝐾</w:t>
      </w:r>
      <w:r w:rsidRPr="00C30141">
        <w:rPr>
          <w:rFonts w:ascii="Cambria Math" w:hAnsi="Cambria Math" w:cs="Cambria Math"/>
          <w:sz w:val="24"/>
          <w:szCs w:val="24"/>
          <w:vertAlign w:val="subscript"/>
          <w:lang w:eastAsia="it-IT"/>
        </w:rPr>
        <w:t>𝑎</w:t>
      </w:r>
      <w:r w:rsidRPr="00C30141">
        <w:rPr>
          <w:rFonts w:cstheme="minorHAnsi"/>
          <w:sz w:val="24"/>
          <w:szCs w:val="24"/>
          <w:lang w:eastAsia="it-IT"/>
        </w:rPr>
        <w:t xml:space="preserve"> = </w:t>
      </w:r>
      <w:r w:rsidRPr="00C30141">
        <w:rPr>
          <w:rFonts w:ascii="Cambria Math" w:hAnsi="Cambria Math" w:cs="Cambria Math"/>
          <w:sz w:val="24"/>
          <w:szCs w:val="24"/>
          <w:lang w:eastAsia="it-IT"/>
        </w:rPr>
        <w:t>𝐴𝑚𝑚</w:t>
      </w:r>
      <w:r w:rsidRPr="00C30141">
        <w:rPr>
          <w:rFonts w:ascii="Cambria Math" w:hAnsi="Cambria Math" w:cs="Cambria Math"/>
          <w:sz w:val="24"/>
          <w:szCs w:val="24"/>
          <w:vertAlign w:val="subscript"/>
          <w:lang w:eastAsia="it-IT"/>
        </w:rPr>
        <w:t>𝑎</w:t>
      </w:r>
      <w:r w:rsidRPr="00C30141">
        <w:rPr>
          <w:rFonts w:cstheme="minorHAnsi"/>
          <w:sz w:val="24"/>
          <w:szCs w:val="24"/>
          <w:lang w:eastAsia="it-IT"/>
        </w:rPr>
        <w:t xml:space="preserve"> + </w:t>
      </w:r>
      <w:r w:rsidRPr="00C30141">
        <w:rPr>
          <w:rFonts w:ascii="Cambria Math" w:hAnsi="Cambria Math" w:cs="Cambria Math"/>
          <w:sz w:val="24"/>
          <w:szCs w:val="24"/>
          <w:lang w:eastAsia="it-IT"/>
        </w:rPr>
        <w:t>𝐴𝑐𝑐</w:t>
      </w:r>
      <w:r w:rsidRPr="00C30141">
        <w:rPr>
          <w:rFonts w:ascii="Cambria Math" w:hAnsi="Cambria Math" w:cs="Cambria Math"/>
          <w:sz w:val="24"/>
          <w:szCs w:val="24"/>
          <w:vertAlign w:val="subscript"/>
          <w:lang w:eastAsia="it-IT"/>
        </w:rPr>
        <w:t>𝑎</w:t>
      </w:r>
      <w:r w:rsidRPr="00C30141">
        <w:rPr>
          <w:rFonts w:cstheme="minorHAnsi"/>
          <w:sz w:val="24"/>
          <w:szCs w:val="24"/>
          <w:lang w:eastAsia="it-IT"/>
        </w:rPr>
        <w:t xml:space="preserve"> + </w:t>
      </w:r>
      <w:r w:rsidRPr="00C30141">
        <w:rPr>
          <w:rFonts w:ascii="Cambria Math" w:hAnsi="Cambria Math" w:cs="Cambria Math"/>
          <w:sz w:val="24"/>
          <w:szCs w:val="24"/>
          <w:lang w:eastAsia="it-IT"/>
        </w:rPr>
        <w:t>𝑅</w:t>
      </w:r>
      <w:r w:rsidRPr="00C30141">
        <w:rPr>
          <w:rFonts w:ascii="Cambria Math" w:hAnsi="Cambria Math" w:cs="Cambria Math"/>
          <w:sz w:val="24"/>
          <w:szCs w:val="24"/>
          <w:vertAlign w:val="subscript"/>
          <w:lang w:eastAsia="it-IT"/>
        </w:rPr>
        <w:t>𝑎</w:t>
      </w:r>
      <w:r w:rsidRPr="00C30141">
        <w:rPr>
          <w:rFonts w:cstheme="minorHAnsi"/>
          <w:sz w:val="24"/>
          <w:szCs w:val="24"/>
          <w:lang w:eastAsia="it-IT"/>
        </w:rPr>
        <w:t xml:space="preserve"> + </w:t>
      </w:r>
      <w:r w:rsidRPr="00C30141">
        <w:rPr>
          <w:rFonts w:ascii="Cambria Math" w:hAnsi="Cambria Math" w:cs="Cambria Math"/>
          <w:sz w:val="24"/>
          <w:szCs w:val="24"/>
          <w:lang w:eastAsia="it-IT"/>
        </w:rPr>
        <w:t>𝑅</w:t>
      </w:r>
      <w:r w:rsidRPr="00C30141">
        <w:rPr>
          <w:rFonts w:ascii="Cambria Math" w:hAnsi="Cambria Math" w:cs="Cambria Math"/>
          <w:sz w:val="24"/>
          <w:szCs w:val="24"/>
          <w:vertAlign w:val="subscript"/>
          <w:lang w:eastAsia="it-IT"/>
        </w:rPr>
        <w:t>𝐿𝐼𝐶</w:t>
      </w:r>
      <w:r w:rsidRPr="00C30141">
        <w:rPr>
          <w:rFonts w:cstheme="minorHAnsi"/>
          <w:sz w:val="24"/>
          <w:szCs w:val="24"/>
          <w:vertAlign w:val="subscript"/>
          <w:lang w:eastAsia="it-IT"/>
        </w:rPr>
        <w:t>,</w:t>
      </w:r>
      <w:r w:rsidRPr="00C30141">
        <w:rPr>
          <w:rFonts w:ascii="Cambria Math" w:hAnsi="Cambria Math" w:cs="Cambria Math"/>
          <w:sz w:val="24"/>
          <w:szCs w:val="24"/>
          <w:vertAlign w:val="subscript"/>
          <w:lang w:eastAsia="it-IT"/>
        </w:rPr>
        <w:t>𝑎</w:t>
      </w:r>
    </w:p>
    <w:p w14:paraId="749998BF" w14:textId="77777777" w:rsidR="00906F33" w:rsidRPr="00C30141" w:rsidRDefault="00906F33" w:rsidP="00906F33">
      <w:pPr>
        <w:spacing w:line="276" w:lineRule="auto"/>
        <w:jc w:val="both"/>
        <w:rPr>
          <w:rFonts w:cstheme="minorHAnsi"/>
          <w:sz w:val="24"/>
          <w:szCs w:val="24"/>
          <w:lang w:eastAsia="it-IT"/>
        </w:rPr>
      </w:pPr>
      <w:r w:rsidRPr="00C30141">
        <w:rPr>
          <w:rFonts w:cstheme="minorHAnsi"/>
          <w:sz w:val="24"/>
          <w:szCs w:val="24"/>
          <w:lang w:eastAsia="it-IT"/>
        </w:rPr>
        <w:t>dove:</w:t>
      </w:r>
    </w:p>
    <w:p w14:paraId="4385BEA3" w14:textId="77777777" w:rsidR="00906F33" w:rsidRPr="00C30141" w:rsidRDefault="00906F33" w:rsidP="00906F33">
      <w:pPr>
        <w:pStyle w:val="Paragrafoelenco"/>
        <w:numPr>
          <w:ilvl w:val="0"/>
          <w:numId w:val="17"/>
        </w:numPr>
        <w:spacing w:line="276" w:lineRule="auto"/>
        <w:jc w:val="both"/>
        <w:rPr>
          <w:rFonts w:cstheme="minorHAnsi"/>
          <w:sz w:val="24"/>
          <w:szCs w:val="24"/>
          <w:lang w:eastAsia="it-IT"/>
        </w:rPr>
      </w:pPr>
      <w:r w:rsidRPr="00C30141">
        <w:rPr>
          <w:rFonts w:ascii="Cambria Math" w:hAnsi="Cambria Math" w:cs="Cambria Math"/>
          <w:sz w:val="24"/>
          <w:szCs w:val="24"/>
          <w:lang w:eastAsia="it-IT"/>
        </w:rPr>
        <w:t>𝐴𝑚𝑚</w:t>
      </w:r>
      <w:r w:rsidRPr="00C30141">
        <w:rPr>
          <w:rFonts w:ascii="Cambria Math" w:hAnsi="Cambria Math" w:cs="Cambria Math"/>
          <w:sz w:val="24"/>
          <w:szCs w:val="24"/>
          <w:vertAlign w:val="subscript"/>
          <w:lang w:eastAsia="it-IT"/>
        </w:rPr>
        <w:t>𝑎</w:t>
      </w:r>
      <w:r w:rsidRPr="00C30141">
        <w:rPr>
          <w:rFonts w:cstheme="minorHAnsi"/>
          <w:sz w:val="24"/>
          <w:szCs w:val="24"/>
          <w:lang w:eastAsia="it-IT"/>
        </w:rPr>
        <w:t xml:space="preserve"> </w:t>
      </w:r>
      <w:r w:rsidRPr="00070FAE">
        <w:rPr>
          <w:rFonts w:ascii="Corbel" w:hAnsi="Corbel" w:cstheme="minorHAnsi"/>
          <w:sz w:val="24"/>
          <w:szCs w:val="24"/>
          <w:lang w:eastAsia="it-IT"/>
        </w:rPr>
        <w:t>è la componente a copertura degli ammortamenti delle immobilizzazioni;</w:t>
      </w:r>
    </w:p>
    <w:p w14:paraId="7CEF58BD" w14:textId="77777777" w:rsidR="00906F33" w:rsidRPr="00C30141" w:rsidRDefault="00906F33" w:rsidP="00906F33">
      <w:pPr>
        <w:pStyle w:val="Paragrafoelenco"/>
        <w:numPr>
          <w:ilvl w:val="0"/>
          <w:numId w:val="17"/>
        </w:numPr>
        <w:spacing w:line="276" w:lineRule="auto"/>
        <w:jc w:val="both"/>
        <w:rPr>
          <w:rFonts w:cstheme="minorHAnsi"/>
          <w:sz w:val="24"/>
          <w:szCs w:val="24"/>
          <w:lang w:eastAsia="it-IT"/>
        </w:rPr>
      </w:pPr>
      <w:r w:rsidRPr="00C30141">
        <w:rPr>
          <w:rFonts w:ascii="Cambria Math" w:hAnsi="Cambria Math" w:cs="Cambria Math"/>
          <w:sz w:val="24"/>
          <w:szCs w:val="24"/>
          <w:lang w:eastAsia="it-IT"/>
        </w:rPr>
        <w:t>𝐴𝑐𝑐</w:t>
      </w:r>
      <w:r w:rsidRPr="00C30141">
        <w:rPr>
          <w:rFonts w:ascii="Cambria Math" w:hAnsi="Cambria Math" w:cs="Cambria Math"/>
          <w:sz w:val="24"/>
          <w:szCs w:val="24"/>
          <w:vertAlign w:val="subscript"/>
          <w:lang w:eastAsia="it-IT"/>
        </w:rPr>
        <w:t>𝑎</w:t>
      </w:r>
      <w:r w:rsidRPr="00C30141">
        <w:rPr>
          <w:rFonts w:cstheme="minorHAnsi"/>
          <w:sz w:val="24"/>
          <w:szCs w:val="24"/>
          <w:lang w:eastAsia="it-IT"/>
        </w:rPr>
        <w:t xml:space="preserve"> è </w:t>
      </w:r>
      <w:r w:rsidRPr="00070FAE">
        <w:rPr>
          <w:rFonts w:ascii="Corbel" w:hAnsi="Corbel" w:cstheme="minorHAnsi"/>
          <w:sz w:val="24"/>
          <w:szCs w:val="24"/>
          <w:lang w:eastAsia="it-IT"/>
        </w:rPr>
        <w:t>la componente a copertura degli accantonamenti ammessi al riconoscimento tariffario;</w:t>
      </w:r>
    </w:p>
    <w:p w14:paraId="052C4F96" w14:textId="77777777" w:rsidR="00906F33" w:rsidRPr="00C30141" w:rsidRDefault="00906F33" w:rsidP="00906F33">
      <w:pPr>
        <w:pStyle w:val="Paragrafoelenco"/>
        <w:numPr>
          <w:ilvl w:val="0"/>
          <w:numId w:val="17"/>
        </w:numPr>
        <w:spacing w:line="276" w:lineRule="auto"/>
        <w:jc w:val="both"/>
        <w:rPr>
          <w:rFonts w:cstheme="minorHAnsi"/>
          <w:sz w:val="24"/>
          <w:szCs w:val="24"/>
          <w:lang w:eastAsia="it-IT"/>
        </w:rPr>
      </w:pPr>
      <w:r w:rsidRPr="00C30141">
        <w:rPr>
          <w:rFonts w:ascii="Cambria Math" w:hAnsi="Cambria Math" w:cs="Cambria Math"/>
          <w:sz w:val="24"/>
          <w:szCs w:val="24"/>
          <w:lang w:eastAsia="it-IT"/>
        </w:rPr>
        <w:t>𝑅</w:t>
      </w:r>
      <w:r w:rsidRPr="00C30141">
        <w:rPr>
          <w:rFonts w:ascii="Cambria Math" w:hAnsi="Cambria Math" w:cs="Cambria Math"/>
          <w:sz w:val="24"/>
          <w:szCs w:val="24"/>
          <w:vertAlign w:val="subscript"/>
          <w:lang w:eastAsia="it-IT"/>
        </w:rPr>
        <w:t>𝑎</w:t>
      </w:r>
      <w:r w:rsidRPr="00C30141">
        <w:rPr>
          <w:rFonts w:cstheme="minorHAnsi"/>
          <w:sz w:val="24"/>
          <w:szCs w:val="24"/>
          <w:lang w:eastAsia="it-IT"/>
        </w:rPr>
        <w:t xml:space="preserve"> </w:t>
      </w:r>
      <w:r w:rsidRPr="00070FAE">
        <w:rPr>
          <w:rFonts w:ascii="Corbel" w:hAnsi="Corbel" w:cstheme="minorHAnsi"/>
          <w:sz w:val="24"/>
          <w:szCs w:val="24"/>
          <w:lang w:eastAsia="it-IT"/>
        </w:rPr>
        <w:t>è la componente relativa alla remunerazione del capitale investito netto per il servizio del ciclo integrato;</w:t>
      </w:r>
    </w:p>
    <w:p w14:paraId="0FF5E9F6" w14:textId="77777777" w:rsidR="00906F33" w:rsidRPr="00C30141" w:rsidRDefault="00906F33" w:rsidP="00906F33">
      <w:pPr>
        <w:pStyle w:val="Paragrafoelenco"/>
        <w:numPr>
          <w:ilvl w:val="0"/>
          <w:numId w:val="17"/>
        </w:numPr>
        <w:spacing w:line="276" w:lineRule="auto"/>
        <w:jc w:val="both"/>
        <w:rPr>
          <w:rFonts w:cstheme="minorHAnsi"/>
          <w:sz w:val="24"/>
          <w:szCs w:val="24"/>
          <w:lang w:eastAsia="it-IT"/>
        </w:rPr>
      </w:pPr>
      <w:r w:rsidRPr="00C30141">
        <w:rPr>
          <w:rFonts w:ascii="Cambria Math" w:hAnsi="Cambria Math" w:cs="Cambria Math"/>
          <w:sz w:val="24"/>
          <w:szCs w:val="24"/>
          <w:lang w:eastAsia="it-IT"/>
        </w:rPr>
        <w:t>𝑅</w:t>
      </w:r>
      <w:r w:rsidRPr="00C30141">
        <w:rPr>
          <w:rFonts w:ascii="Cambria Math" w:hAnsi="Cambria Math" w:cs="Cambria Math"/>
          <w:sz w:val="24"/>
          <w:szCs w:val="24"/>
          <w:vertAlign w:val="subscript"/>
          <w:lang w:eastAsia="it-IT"/>
        </w:rPr>
        <w:t>𝐿𝐼𝐶</w:t>
      </w:r>
      <w:r w:rsidRPr="00C30141">
        <w:rPr>
          <w:rFonts w:cstheme="minorHAnsi"/>
          <w:sz w:val="24"/>
          <w:szCs w:val="24"/>
          <w:vertAlign w:val="subscript"/>
          <w:lang w:eastAsia="it-IT"/>
        </w:rPr>
        <w:t>,</w:t>
      </w:r>
      <w:r w:rsidRPr="00C30141">
        <w:rPr>
          <w:rFonts w:ascii="Cambria Math" w:hAnsi="Cambria Math" w:cs="Cambria Math"/>
          <w:sz w:val="24"/>
          <w:szCs w:val="24"/>
          <w:vertAlign w:val="subscript"/>
          <w:lang w:eastAsia="it-IT"/>
        </w:rPr>
        <w:t>𝑎</w:t>
      </w:r>
      <w:r w:rsidRPr="00C30141">
        <w:rPr>
          <w:rFonts w:cstheme="minorHAnsi"/>
          <w:sz w:val="24"/>
          <w:szCs w:val="24"/>
          <w:lang w:eastAsia="it-IT"/>
        </w:rPr>
        <w:t xml:space="preserve"> </w:t>
      </w:r>
      <w:r w:rsidRPr="00070FAE">
        <w:rPr>
          <w:rFonts w:ascii="Corbel" w:hAnsi="Corbel" w:cstheme="minorHAnsi"/>
          <w:sz w:val="24"/>
          <w:szCs w:val="24"/>
          <w:lang w:eastAsia="it-IT"/>
        </w:rPr>
        <w:t>è la componente relativa alla remunerazione delle immobilizzazioni in corso per il servizio del ciclo integrato.</w:t>
      </w:r>
    </w:p>
    <w:p w14:paraId="681D4C3F" w14:textId="77777777" w:rsidR="00906F33" w:rsidRPr="00B12F3D" w:rsidRDefault="00906F33" w:rsidP="00906F33">
      <w:pPr>
        <w:spacing w:line="276" w:lineRule="auto"/>
        <w:jc w:val="both"/>
        <w:rPr>
          <w:rFonts w:ascii="Corbel" w:hAnsi="Corbel" w:cstheme="minorHAnsi"/>
          <w:sz w:val="24"/>
          <w:szCs w:val="24"/>
          <w:lang w:eastAsia="it-IT"/>
        </w:rPr>
      </w:pPr>
    </w:p>
    <w:p w14:paraId="4702EA79" w14:textId="77777777" w:rsidR="00906F33" w:rsidRPr="00B12F3D" w:rsidRDefault="00906F33" w:rsidP="00906F33">
      <w:pPr>
        <w:spacing w:line="276" w:lineRule="auto"/>
        <w:jc w:val="both"/>
        <w:rPr>
          <w:rFonts w:ascii="Corbel" w:hAnsi="Corbel" w:cstheme="minorHAnsi"/>
          <w:b/>
          <w:bCs/>
          <w:sz w:val="24"/>
          <w:szCs w:val="24"/>
          <w:u w:val="single"/>
          <w:lang w:eastAsia="it-IT"/>
        </w:rPr>
      </w:pPr>
      <w:r w:rsidRPr="00B12F3D">
        <w:rPr>
          <w:rFonts w:ascii="Corbel" w:hAnsi="Corbel" w:cstheme="minorHAnsi"/>
          <w:b/>
          <w:bCs/>
          <w:sz w:val="24"/>
          <w:szCs w:val="24"/>
          <w:u w:val="single"/>
          <w:lang w:eastAsia="it-IT"/>
        </w:rPr>
        <w:t>Ammortamenti</w:t>
      </w:r>
    </w:p>
    <w:p w14:paraId="55E9F8C6" w14:textId="77777777" w:rsidR="00906F33" w:rsidRPr="00B12F3D" w:rsidRDefault="00906F33" w:rsidP="00906F33">
      <w:pPr>
        <w:spacing w:after="0" w:line="276" w:lineRule="auto"/>
        <w:jc w:val="both"/>
        <w:rPr>
          <w:rFonts w:ascii="Corbel" w:hAnsi="Corbel" w:cstheme="minorHAnsi"/>
          <w:sz w:val="24"/>
          <w:szCs w:val="24"/>
          <w:lang w:eastAsia="it-IT"/>
        </w:rPr>
      </w:pPr>
      <w:r w:rsidRPr="00B12F3D">
        <w:rPr>
          <w:rFonts w:ascii="Corbel" w:hAnsi="Corbel" w:cstheme="minorHAnsi"/>
          <w:sz w:val="24"/>
          <w:szCs w:val="24"/>
          <w:lang w:eastAsia="it-IT"/>
        </w:rPr>
        <w:t>Il costo riconosciuto quale componente a copertura degli ammortamenti delle immobilizzazioni è pari al valore minimo tra:</w:t>
      </w:r>
    </w:p>
    <w:p w14:paraId="0BF9B573" w14:textId="77777777" w:rsidR="00906F33" w:rsidRPr="00F958F1" w:rsidRDefault="00906F33" w:rsidP="00906F33">
      <w:pPr>
        <w:pStyle w:val="Paragrafoelenco"/>
        <w:numPr>
          <w:ilvl w:val="0"/>
          <w:numId w:val="18"/>
        </w:numPr>
        <w:spacing w:line="276" w:lineRule="auto"/>
        <w:rPr>
          <w:rFonts w:ascii="Cambria Math" w:hAnsi="Cambria Math" w:cs="Cambria Math"/>
          <w:sz w:val="24"/>
          <w:szCs w:val="24"/>
          <w:lang w:eastAsia="it-IT"/>
        </w:rPr>
      </w:pPr>
      <w:r w:rsidRPr="00F958F1">
        <w:rPr>
          <w:rFonts w:ascii="Cambria Math" w:hAnsi="Cambria Math" w:cs="Cambria Math"/>
          <w:sz w:val="24"/>
          <w:szCs w:val="24"/>
          <w:lang w:eastAsia="it-IT"/>
        </w:rPr>
        <w:t>(CI-FA)*</w:t>
      </w:r>
      <w:proofErr w:type="spellStart"/>
      <w:r w:rsidRPr="00F958F1">
        <w:rPr>
          <w:rFonts w:ascii="Cambria Math" w:hAnsi="Cambria Math" w:cs="Cambria Math"/>
          <w:sz w:val="24"/>
          <w:szCs w:val="24"/>
          <w:lang w:eastAsia="it-IT"/>
        </w:rPr>
        <w:t>dfl</w:t>
      </w:r>
      <w:proofErr w:type="spellEnd"/>
    </w:p>
    <w:p w14:paraId="05B2B760" w14:textId="77777777" w:rsidR="00906F33" w:rsidRPr="00F958F1" w:rsidRDefault="00906F33" w:rsidP="00906F33">
      <w:pPr>
        <w:pStyle w:val="Paragrafoelenco"/>
        <w:numPr>
          <w:ilvl w:val="0"/>
          <w:numId w:val="18"/>
        </w:numPr>
        <w:spacing w:line="276" w:lineRule="auto"/>
        <w:rPr>
          <w:rFonts w:ascii="Cambria Math" w:hAnsi="Cambria Math" w:cs="Cambria Math"/>
          <w:sz w:val="24"/>
          <w:szCs w:val="24"/>
          <w:lang w:eastAsia="it-IT"/>
        </w:rPr>
      </w:pPr>
      <w:r>
        <w:rPr>
          <w:rFonts w:ascii="Cambria Math" w:hAnsi="Cambria Math" w:cs="Cambria Math"/>
          <w:sz w:val="24"/>
          <w:szCs w:val="24"/>
          <w:lang w:eastAsia="it-IT"/>
        </w:rPr>
        <w:t>(</w:t>
      </w:r>
      <w:r w:rsidRPr="00F958F1">
        <w:rPr>
          <w:rFonts w:ascii="Cambria Math" w:hAnsi="Cambria Math" w:cs="Cambria Math"/>
          <w:sz w:val="24"/>
          <w:szCs w:val="24"/>
          <w:lang w:eastAsia="it-IT"/>
        </w:rPr>
        <w:t>CI*</w:t>
      </w:r>
      <w:proofErr w:type="spellStart"/>
      <w:r w:rsidRPr="00F958F1">
        <w:rPr>
          <w:rFonts w:ascii="Cambria Math" w:hAnsi="Cambria Math" w:cs="Cambria Math"/>
          <w:sz w:val="24"/>
          <w:szCs w:val="24"/>
          <w:lang w:eastAsia="it-IT"/>
        </w:rPr>
        <w:t>dfl</w:t>
      </w:r>
      <w:proofErr w:type="spellEnd"/>
      <w:r>
        <w:rPr>
          <w:rFonts w:ascii="Cambria Math" w:hAnsi="Cambria Math" w:cs="Cambria Math"/>
          <w:sz w:val="24"/>
          <w:szCs w:val="24"/>
          <w:lang w:eastAsia="it-IT"/>
        </w:rPr>
        <w:t>)</w:t>
      </w:r>
      <w:r w:rsidRPr="00F958F1">
        <w:rPr>
          <w:rFonts w:ascii="Cambria Math" w:hAnsi="Cambria Math" w:cs="Cambria Math"/>
          <w:sz w:val="24"/>
          <w:szCs w:val="24"/>
          <w:lang w:eastAsia="it-IT"/>
        </w:rPr>
        <w:t>/VU</w:t>
      </w:r>
    </w:p>
    <w:p w14:paraId="34319300" w14:textId="77777777" w:rsidR="00906F33" w:rsidRDefault="00906F33" w:rsidP="00906F33">
      <w:pPr>
        <w:spacing w:line="276" w:lineRule="auto"/>
        <w:jc w:val="both"/>
        <w:rPr>
          <w:rFonts w:ascii="Corbel" w:hAnsi="Corbel" w:cstheme="minorHAnsi"/>
          <w:sz w:val="24"/>
          <w:szCs w:val="24"/>
          <w:lang w:eastAsia="it-IT"/>
        </w:rPr>
      </w:pPr>
      <w:r w:rsidRPr="00B12F3D">
        <w:rPr>
          <w:rFonts w:ascii="Corbel" w:hAnsi="Corbel" w:cstheme="minorHAnsi"/>
          <w:sz w:val="24"/>
          <w:szCs w:val="24"/>
          <w:lang w:eastAsia="it-IT"/>
        </w:rPr>
        <w:t xml:space="preserve">dove </w:t>
      </w:r>
      <w:r w:rsidRPr="00B12F3D">
        <w:rPr>
          <w:rFonts w:ascii="Corbel" w:hAnsi="Corbel" w:cstheme="minorHAnsi"/>
          <w:i/>
          <w:iCs/>
          <w:sz w:val="24"/>
          <w:szCs w:val="24"/>
          <w:lang w:eastAsia="it-IT"/>
        </w:rPr>
        <w:t>CI</w:t>
      </w:r>
      <w:r w:rsidRPr="00B12F3D">
        <w:rPr>
          <w:rFonts w:ascii="Corbel" w:hAnsi="Corbel" w:cstheme="minorHAnsi"/>
          <w:sz w:val="24"/>
          <w:szCs w:val="24"/>
          <w:lang w:eastAsia="it-IT"/>
        </w:rPr>
        <w:t xml:space="preserve"> rappresenta il valore di prima iscrizione </w:t>
      </w:r>
      <w:r>
        <w:rPr>
          <w:rFonts w:ascii="Corbel" w:hAnsi="Corbel" w:cstheme="minorHAnsi"/>
          <w:sz w:val="24"/>
          <w:szCs w:val="24"/>
          <w:lang w:eastAsia="it-IT"/>
        </w:rPr>
        <w:t>in inventario</w:t>
      </w:r>
      <w:r w:rsidRPr="00B12F3D">
        <w:rPr>
          <w:rFonts w:ascii="Corbel" w:hAnsi="Corbel" w:cstheme="minorHAnsi"/>
          <w:sz w:val="24"/>
          <w:szCs w:val="24"/>
          <w:lang w:eastAsia="it-IT"/>
        </w:rPr>
        <w:t xml:space="preserve">, </w:t>
      </w:r>
      <w:r w:rsidRPr="00B12F3D">
        <w:rPr>
          <w:rFonts w:ascii="Corbel" w:hAnsi="Corbel" w:cstheme="minorHAnsi"/>
          <w:i/>
          <w:iCs/>
          <w:sz w:val="24"/>
          <w:szCs w:val="24"/>
          <w:lang w:eastAsia="it-IT"/>
        </w:rPr>
        <w:t>FA</w:t>
      </w:r>
      <w:r w:rsidRPr="00B12F3D">
        <w:rPr>
          <w:rFonts w:ascii="Corbel" w:hAnsi="Corbel" w:cstheme="minorHAnsi"/>
          <w:sz w:val="24"/>
          <w:szCs w:val="24"/>
          <w:lang w:eastAsia="it-IT"/>
        </w:rPr>
        <w:t xml:space="preserve"> è il valore del fondo di ammortamento al 31 dicembre 201</w:t>
      </w:r>
      <w:r>
        <w:rPr>
          <w:rFonts w:ascii="Corbel" w:hAnsi="Corbel" w:cstheme="minorHAnsi"/>
          <w:sz w:val="24"/>
          <w:szCs w:val="24"/>
          <w:lang w:eastAsia="it-IT"/>
        </w:rPr>
        <w:t>9</w:t>
      </w:r>
      <w:r w:rsidRPr="00B12F3D">
        <w:rPr>
          <w:rFonts w:ascii="Corbel" w:hAnsi="Corbel" w:cstheme="minorHAnsi"/>
          <w:sz w:val="24"/>
          <w:szCs w:val="24"/>
          <w:lang w:eastAsia="it-IT"/>
        </w:rPr>
        <w:t xml:space="preserve">, </w:t>
      </w:r>
      <w:proofErr w:type="spellStart"/>
      <w:r w:rsidRPr="00B12F3D">
        <w:rPr>
          <w:rFonts w:ascii="Corbel" w:hAnsi="Corbel" w:cstheme="minorHAnsi"/>
          <w:i/>
          <w:iCs/>
          <w:sz w:val="24"/>
          <w:szCs w:val="24"/>
          <w:lang w:eastAsia="it-IT"/>
        </w:rPr>
        <w:t>dfl</w:t>
      </w:r>
      <w:proofErr w:type="spellEnd"/>
      <w:r w:rsidRPr="00B12F3D">
        <w:rPr>
          <w:rFonts w:ascii="Corbel" w:hAnsi="Corbel" w:cstheme="minorHAnsi"/>
          <w:sz w:val="24"/>
          <w:szCs w:val="24"/>
          <w:lang w:eastAsia="it-IT"/>
        </w:rPr>
        <w:t xml:space="preserve"> è il vettore che esprime il deflatore degli investimenti fissi lordi, e </w:t>
      </w:r>
      <w:r w:rsidRPr="00B12F3D">
        <w:rPr>
          <w:rFonts w:ascii="Corbel" w:hAnsi="Corbel" w:cstheme="minorHAnsi"/>
          <w:i/>
          <w:iCs/>
          <w:sz w:val="24"/>
          <w:szCs w:val="24"/>
          <w:lang w:eastAsia="it-IT"/>
        </w:rPr>
        <w:t>VU</w:t>
      </w:r>
      <w:r w:rsidRPr="00B12F3D">
        <w:rPr>
          <w:rFonts w:ascii="Corbel" w:hAnsi="Corbel" w:cstheme="minorHAnsi"/>
          <w:sz w:val="24"/>
          <w:szCs w:val="24"/>
          <w:lang w:eastAsia="it-IT"/>
        </w:rPr>
        <w:t xml:space="preserve"> rappresenta la vita utile regolatoria della categoria di cespite. </w:t>
      </w:r>
      <w:proofErr w:type="spellStart"/>
      <w:r w:rsidRPr="00B12F3D">
        <w:rPr>
          <w:rFonts w:ascii="Corbel" w:hAnsi="Corbel" w:cstheme="minorHAnsi"/>
          <w:i/>
          <w:iCs/>
          <w:sz w:val="24"/>
          <w:szCs w:val="24"/>
          <w:lang w:eastAsia="it-IT"/>
        </w:rPr>
        <w:t>dfl</w:t>
      </w:r>
      <w:proofErr w:type="spellEnd"/>
      <w:r w:rsidRPr="00B12F3D">
        <w:rPr>
          <w:rFonts w:ascii="Corbel" w:hAnsi="Corbel" w:cstheme="minorHAnsi"/>
          <w:sz w:val="24"/>
          <w:szCs w:val="24"/>
          <w:lang w:eastAsia="it-IT"/>
        </w:rPr>
        <w:t xml:space="preserve"> e </w:t>
      </w:r>
      <w:r w:rsidRPr="00B12F3D">
        <w:rPr>
          <w:rFonts w:ascii="Corbel" w:hAnsi="Corbel" w:cstheme="minorHAnsi"/>
          <w:i/>
          <w:iCs/>
          <w:sz w:val="24"/>
          <w:szCs w:val="24"/>
          <w:lang w:eastAsia="it-IT"/>
        </w:rPr>
        <w:t>VU</w:t>
      </w:r>
      <w:r w:rsidRPr="00B12F3D">
        <w:rPr>
          <w:rFonts w:ascii="Corbel" w:hAnsi="Corbel" w:cstheme="minorHAnsi"/>
          <w:sz w:val="24"/>
          <w:szCs w:val="24"/>
          <w:lang w:eastAsia="it-IT"/>
        </w:rPr>
        <w:t xml:space="preserve"> sono desumibili dalle tabelle delibera ARERA rispettivamente ai paragrafi 11.9 e 13.2</w:t>
      </w:r>
    </w:p>
    <w:p w14:paraId="6CE13885" w14:textId="77777777" w:rsidR="00906F33" w:rsidRPr="00B12F3D" w:rsidRDefault="00906F33" w:rsidP="00906F33">
      <w:pPr>
        <w:spacing w:line="276" w:lineRule="auto"/>
        <w:jc w:val="both"/>
        <w:rPr>
          <w:rFonts w:ascii="Corbel" w:hAnsi="Corbel" w:cstheme="minorHAnsi"/>
          <w:sz w:val="24"/>
          <w:szCs w:val="24"/>
          <w:lang w:eastAsia="it-IT"/>
        </w:rPr>
      </w:pPr>
      <w:r w:rsidRPr="00BB36AF">
        <w:rPr>
          <w:rFonts w:ascii="Corbel" w:hAnsi="Corbel" w:cstheme="minorHAnsi"/>
          <w:sz w:val="24"/>
          <w:szCs w:val="24"/>
          <w:lang w:eastAsia="it-IT"/>
        </w:rPr>
        <w:t xml:space="preserve">Il riferimento a partire dal quale </w:t>
      </w:r>
      <w:r>
        <w:rPr>
          <w:rFonts w:ascii="Corbel" w:hAnsi="Corbel" w:cstheme="minorHAnsi"/>
          <w:sz w:val="24"/>
          <w:szCs w:val="24"/>
          <w:lang w:eastAsia="it-IT"/>
        </w:rPr>
        <w:t xml:space="preserve">è stato </w:t>
      </w:r>
      <w:r w:rsidRPr="00BB36AF">
        <w:rPr>
          <w:rFonts w:ascii="Corbel" w:hAnsi="Corbel" w:cstheme="minorHAnsi"/>
          <w:sz w:val="24"/>
          <w:szCs w:val="24"/>
          <w:lang w:eastAsia="it-IT"/>
        </w:rPr>
        <w:t>calcola</w:t>
      </w:r>
      <w:r>
        <w:rPr>
          <w:rFonts w:ascii="Corbel" w:hAnsi="Corbel" w:cstheme="minorHAnsi"/>
          <w:sz w:val="24"/>
          <w:szCs w:val="24"/>
          <w:lang w:eastAsia="it-IT"/>
        </w:rPr>
        <w:t>to</w:t>
      </w:r>
      <w:r w:rsidRPr="00BB36AF">
        <w:rPr>
          <w:rFonts w:ascii="Corbel" w:hAnsi="Corbel" w:cstheme="minorHAnsi"/>
          <w:sz w:val="24"/>
          <w:szCs w:val="24"/>
          <w:lang w:eastAsia="it-IT"/>
        </w:rPr>
        <w:t xml:space="preserve"> il fondo di ammortamento </w:t>
      </w:r>
      <w:r>
        <w:rPr>
          <w:rFonts w:ascii="Corbel" w:hAnsi="Corbel" w:cstheme="minorHAnsi"/>
          <w:sz w:val="24"/>
          <w:szCs w:val="24"/>
          <w:lang w:eastAsia="it-IT"/>
        </w:rPr>
        <w:t>31/12/2019</w:t>
      </w:r>
      <w:r w:rsidRPr="00BB36AF">
        <w:rPr>
          <w:rFonts w:ascii="Corbel" w:hAnsi="Corbel" w:cstheme="minorHAnsi"/>
          <w:sz w:val="24"/>
          <w:szCs w:val="24"/>
          <w:lang w:eastAsia="it-IT"/>
        </w:rPr>
        <w:t xml:space="preserve"> è il dato desumibile dal bilancio 2017. Gli aggiornamenti del fondo di ammortamento nelle annualità successive </w:t>
      </w:r>
      <w:r>
        <w:rPr>
          <w:rFonts w:ascii="Corbel" w:hAnsi="Corbel" w:cstheme="minorHAnsi"/>
          <w:sz w:val="24"/>
          <w:szCs w:val="24"/>
          <w:lang w:eastAsia="it-IT"/>
        </w:rPr>
        <w:t xml:space="preserve">sono stati </w:t>
      </w:r>
      <w:r w:rsidRPr="00BB36AF">
        <w:rPr>
          <w:rFonts w:ascii="Corbel" w:hAnsi="Corbel" w:cstheme="minorHAnsi"/>
          <w:sz w:val="24"/>
          <w:szCs w:val="24"/>
          <w:lang w:eastAsia="it-IT"/>
        </w:rPr>
        <w:t>determinati a partire da tale valore, incrementando</w:t>
      </w:r>
      <w:r>
        <w:rPr>
          <w:rFonts w:ascii="Corbel" w:hAnsi="Corbel" w:cstheme="minorHAnsi"/>
          <w:sz w:val="24"/>
          <w:szCs w:val="24"/>
          <w:lang w:eastAsia="it-IT"/>
        </w:rPr>
        <w:t>lo</w:t>
      </w:r>
      <w:r w:rsidRPr="00BB36AF">
        <w:rPr>
          <w:rFonts w:ascii="Corbel" w:hAnsi="Corbel" w:cstheme="minorHAnsi"/>
          <w:sz w:val="24"/>
          <w:szCs w:val="24"/>
          <w:lang w:eastAsia="it-IT"/>
        </w:rPr>
        <w:t xml:space="preserve"> </w:t>
      </w:r>
      <w:r>
        <w:rPr>
          <w:rFonts w:ascii="Corbel" w:hAnsi="Corbel" w:cstheme="minorHAnsi"/>
          <w:sz w:val="24"/>
          <w:szCs w:val="24"/>
          <w:lang w:eastAsia="it-IT"/>
        </w:rPr>
        <w:t xml:space="preserve">con </w:t>
      </w:r>
      <w:r w:rsidRPr="00BB36AF">
        <w:rPr>
          <w:rFonts w:ascii="Corbel" w:hAnsi="Corbel" w:cstheme="minorHAnsi"/>
          <w:sz w:val="24"/>
          <w:szCs w:val="24"/>
          <w:lang w:eastAsia="it-IT"/>
        </w:rPr>
        <w:t>le quote di ammortamento riconosciute ai fini tariffari.</w:t>
      </w:r>
    </w:p>
    <w:p w14:paraId="17423823" w14:textId="77777777" w:rsidR="00906F33" w:rsidRPr="00B12F3D" w:rsidRDefault="00906F33" w:rsidP="00906F33">
      <w:pPr>
        <w:spacing w:line="276" w:lineRule="auto"/>
        <w:jc w:val="both"/>
        <w:rPr>
          <w:rFonts w:ascii="Corbel" w:hAnsi="Corbel" w:cstheme="minorHAnsi"/>
          <w:sz w:val="24"/>
          <w:szCs w:val="24"/>
          <w:lang w:eastAsia="it-IT"/>
        </w:rPr>
      </w:pPr>
      <w:r w:rsidRPr="00B12F3D">
        <w:rPr>
          <w:rFonts w:ascii="Corbel" w:hAnsi="Corbel" w:cstheme="minorHAnsi"/>
          <w:sz w:val="24"/>
          <w:szCs w:val="24"/>
          <w:lang w:eastAsia="it-IT"/>
        </w:rPr>
        <w:t xml:space="preserve">I dettagli dei beni presi in esame e le risultanze dei calcoli sono rappresentati </w:t>
      </w:r>
      <w:r w:rsidRPr="003B1697">
        <w:rPr>
          <w:rFonts w:ascii="Corbel" w:hAnsi="Corbel" w:cstheme="minorHAnsi"/>
          <w:sz w:val="24"/>
          <w:szCs w:val="24"/>
          <w:lang w:eastAsia="it-IT"/>
        </w:rPr>
        <w:t>nell’Allegato A.</w:t>
      </w:r>
    </w:p>
    <w:p w14:paraId="627046E4" w14:textId="77777777" w:rsidR="00906F33" w:rsidRPr="00B52FE9" w:rsidRDefault="00906F33" w:rsidP="00906F33">
      <w:pPr>
        <w:spacing w:line="276" w:lineRule="auto"/>
        <w:jc w:val="both"/>
        <w:rPr>
          <w:rFonts w:ascii="Corbel" w:hAnsi="Corbel" w:cstheme="minorHAnsi"/>
          <w:sz w:val="24"/>
          <w:szCs w:val="24"/>
          <w:lang w:eastAsia="it-IT"/>
        </w:rPr>
      </w:pPr>
      <w:r w:rsidRPr="00B52FE9">
        <w:rPr>
          <w:rFonts w:ascii="Corbel" w:hAnsi="Corbel" w:cstheme="minorHAnsi"/>
          <w:sz w:val="24"/>
          <w:szCs w:val="24"/>
          <w:lang w:eastAsia="it-IT"/>
        </w:rPr>
        <w:t xml:space="preserve">Il valore così determinato è pari ad euro </w:t>
      </w:r>
      <w:r>
        <w:rPr>
          <w:rFonts w:ascii="Corbel" w:hAnsi="Corbel" w:cstheme="minorHAnsi"/>
          <w:sz w:val="24"/>
          <w:szCs w:val="24"/>
          <w:lang w:eastAsia="it-IT"/>
        </w:rPr>
        <w:t>3.422,22</w:t>
      </w:r>
    </w:p>
    <w:p w14:paraId="085C912B" w14:textId="5BF24667" w:rsidR="00906F33" w:rsidRDefault="00906F33" w:rsidP="00906F33">
      <w:pPr>
        <w:spacing w:line="276" w:lineRule="auto"/>
        <w:jc w:val="both"/>
        <w:rPr>
          <w:rFonts w:ascii="Corbel" w:hAnsi="Corbel" w:cstheme="minorHAnsi"/>
          <w:sz w:val="24"/>
          <w:szCs w:val="24"/>
          <w:lang w:eastAsia="it-IT"/>
        </w:rPr>
      </w:pPr>
    </w:p>
    <w:p w14:paraId="705F2D8B" w14:textId="77777777" w:rsidR="00906F33" w:rsidRDefault="00906F33" w:rsidP="00906F33">
      <w:pPr>
        <w:jc w:val="both"/>
        <w:rPr>
          <w:rFonts w:ascii="Corbel" w:hAnsi="Corbel"/>
          <w:b/>
          <w:bCs/>
          <w:sz w:val="24"/>
          <w:szCs w:val="24"/>
          <w:lang w:eastAsia="it-IT"/>
        </w:rPr>
      </w:pPr>
      <w:r>
        <w:rPr>
          <w:rFonts w:ascii="Corbel" w:hAnsi="Corbel"/>
          <w:b/>
          <w:bCs/>
          <w:sz w:val="24"/>
          <w:szCs w:val="24"/>
          <w:lang w:eastAsia="it-IT"/>
        </w:rPr>
        <w:t>Accantonamenti (ACC)</w:t>
      </w:r>
    </w:p>
    <w:p w14:paraId="7ED59376" w14:textId="377C5E17" w:rsidR="00906F33" w:rsidRDefault="00906F33" w:rsidP="00906F33">
      <w:pPr>
        <w:jc w:val="both"/>
        <w:rPr>
          <w:rFonts w:ascii="Corbel" w:hAnsi="Corbel" w:cstheme="minorHAnsi"/>
          <w:sz w:val="24"/>
          <w:szCs w:val="24"/>
          <w:lang w:eastAsia="it-IT"/>
        </w:rPr>
      </w:pPr>
      <w:r w:rsidRPr="00E203DE">
        <w:rPr>
          <w:rFonts w:ascii="Corbel" w:hAnsi="Corbel"/>
          <w:color w:val="000000" w:themeColor="text1"/>
          <w:sz w:val="24"/>
          <w:szCs w:val="24"/>
          <w:lang w:eastAsia="it-IT"/>
        </w:rPr>
        <w:t>All’articolo 14 dell’Allegato A alla Deliberazione 443/2019/R/Rif, ARERA prevede che la valorizzazione degli accantonamenti ammessi al riconoscimento tariffario avvenga considerando, tra gli altri, gli accantonamenti relativi ai crediti; nel caso di TARI tributo la componente Acc non può eccedere il valore massimo pari all’</w:t>
      </w:r>
      <w:r>
        <w:rPr>
          <w:rFonts w:ascii="Corbel" w:hAnsi="Corbel"/>
          <w:color w:val="000000" w:themeColor="text1"/>
          <w:sz w:val="24"/>
          <w:szCs w:val="24"/>
          <w:lang w:eastAsia="it-IT"/>
        </w:rPr>
        <w:t>8</w:t>
      </w:r>
      <w:r w:rsidRPr="00E203DE">
        <w:rPr>
          <w:rFonts w:ascii="Corbel" w:hAnsi="Corbel"/>
          <w:color w:val="000000" w:themeColor="text1"/>
          <w:sz w:val="24"/>
          <w:szCs w:val="24"/>
          <w:lang w:eastAsia="it-IT"/>
        </w:rPr>
        <w:t xml:space="preserve">0% di quanto previsto dalle norme sul fondo crediti di dubbia esigibilità di cui al punto 3.3 dell’allegato 4/2 al D. Lgs. 118/2011. Nel caso specifico del Comune di </w:t>
      </w:r>
      <w:r>
        <w:rPr>
          <w:rFonts w:ascii="Corbel" w:hAnsi="Corbel"/>
          <w:color w:val="000000" w:themeColor="text1"/>
          <w:sz w:val="24"/>
          <w:szCs w:val="24"/>
          <w:lang w:eastAsia="it-IT"/>
        </w:rPr>
        <w:t xml:space="preserve">Montalto delle Marche </w:t>
      </w:r>
      <w:r w:rsidRPr="00E203DE">
        <w:rPr>
          <w:rFonts w:ascii="Corbel" w:hAnsi="Corbel"/>
          <w:color w:val="000000" w:themeColor="text1"/>
          <w:sz w:val="24"/>
          <w:szCs w:val="24"/>
          <w:lang w:eastAsia="it-IT"/>
        </w:rPr>
        <w:t>si ritiene</w:t>
      </w:r>
      <w:r>
        <w:rPr>
          <w:rFonts w:ascii="Corbel" w:hAnsi="Corbel"/>
          <w:color w:val="000000" w:themeColor="text1"/>
          <w:sz w:val="24"/>
          <w:szCs w:val="24"/>
          <w:lang w:eastAsia="it-IT"/>
        </w:rPr>
        <w:t xml:space="preserve"> </w:t>
      </w:r>
      <w:r w:rsidRPr="00CF4417">
        <w:rPr>
          <w:rFonts w:ascii="Corbel" w:hAnsi="Corbel"/>
          <w:color w:val="000000" w:themeColor="text1"/>
          <w:sz w:val="24"/>
          <w:szCs w:val="24"/>
          <w:lang w:eastAsia="it-IT"/>
        </w:rPr>
        <w:t>di</w:t>
      </w:r>
      <w:r>
        <w:rPr>
          <w:rFonts w:ascii="Corbel" w:hAnsi="Corbel"/>
          <w:color w:val="000000" w:themeColor="text1"/>
          <w:sz w:val="24"/>
          <w:szCs w:val="24"/>
          <w:lang w:eastAsia="it-IT"/>
        </w:rPr>
        <w:t xml:space="preserve"> non valorizzare la voce per non generare ulteriore pressione tributaria sui contribuenti.</w:t>
      </w:r>
    </w:p>
    <w:p w14:paraId="6287207C" w14:textId="77777777" w:rsidR="00906F33" w:rsidRDefault="00906F33" w:rsidP="00906F33">
      <w:pPr>
        <w:spacing w:line="276" w:lineRule="auto"/>
        <w:jc w:val="both"/>
        <w:rPr>
          <w:rFonts w:ascii="Corbel" w:hAnsi="Corbel" w:cstheme="minorHAnsi"/>
          <w:sz w:val="24"/>
          <w:szCs w:val="24"/>
          <w:lang w:eastAsia="it-IT"/>
        </w:rPr>
      </w:pPr>
    </w:p>
    <w:p w14:paraId="74F61062" w14:textId="77777777" w:rsidR="00906F33" w:rsidRPr="008C71BD" w:rsidRDefault="00906F33" w:rsidP="00906F33">
      <w:pPr>
        <w:spacing w:line="276" w:lineRule="auto"/>
        <w:jc w:val="both"/>
        <w:rPr>
          <w:rFonts w:ascii="Corbel" w:hAnsi="Corbel" w:cstheme="minorHAnsi"/>
          <w:b/>
          <w:bCs/>
          <w:sz w:val="24"/>
          <w:szCs w:val="24"/>
          <w:u w:val="single"/>
          <w:lang w:eastAsia="it-IT"/>
        </w:rPr>
      </w:pPr>
      <w:r w:rsidRPr="008C71BD">
        <w:rPr>
          <w:rFonts w:ascii="Corbel" w:hAnsi="Corbel" w:cstheme="minorHAnsi"/>
          <w:b/>
          <w:bCs/>
          <w:sz w:val="24"/>
          <w:szCs w:val="24"/>
          <w:u w:val="single"/>
          <w:lang w:eastAsia="it-IT"/>
        </w:rPr>
        <w:t>Remunerazione del capitale</w:t>
      </w:r>
    </w:p>
    <w:p w14:paraId="1EDF698D" w14:textId="77777777" w:rsidR="00906F33" w:rsidRPr="008C71BD" w:rsidRDefault="00906F33" w:rsidP="00906F33">
      <w:pPr>
        <w:spacing w:line="276" w:lineRule="auto"/>
        <w:jc w:val="both"/>
        <w:rPr>
          <w:rFonts w:ascii="Corbel" w:hAnsi="Corbel" w:cstheme="minorHAnsi"/>
          <w:sz w:val="24"/>
          <w:szCs w:val="24"/>
          <w:lang w:eastAsia="it-IT"/>
        </w:rPr>
      </w:pPr>
      <w:r>
        <w:rPr>
          <w:rFonts w:ascii="Corbel" w:hAnsi="Corbel" w:cstheme="minorHAnsi"/>
          <w:sz w:val="24"/>
          <w:szCs w:val="24"/>
          <w:lang w:eastAsia="it-IT"/>
        </w:rPr>
        <w:t>L</w:t>
      </w:r>
      <w:r w:rsidRPr="008C71BD">
        <w:rPr>
          <w:rFonts w:ascii="Corbel" w:hAnsi="Corbel" w:cstheme="minorHAnsi"/>
          <w:sz w:val="24"/>
          <w:szCs w:val="24"/>
          <w:lang w:eastAsia="it-IT"/>
        </w:rPr>
        <w:t>a remunerazione del capitale investito netto per il servizio integrato di gestione dei rifiuti è calcolata come:</w:t>
      </w:r>
    </w:p>
    <w:p w14:paraId="7BE11A10" w14:textId="77777777" w:rsidR="00906F33" w:rsidRPr="00C30141" w:rsidRDefault="00906F33" w:rsidP="00906F33">
      <w:pPr>
        <w:spacing w:line="276" w:lineRule="auto"/>
        <w:rPr>
          <w:rFonts w:cstheme="minorHAnsi"/>
          <w:sz w:val="24"/>
          <w:szCs w:val="24"/>
          <w:lang w:eastAsia="it-IT"/>
        </w:rPr>
      </w:pPr>
      <w:r>
        <w:rPr>
          <w:rFonts w:ascii="Cambria Math" w:hAnsi="Cambria Math" w:cs="Cambria Math"/>
          <w:noProof/>
          <w:sz w:val="24"/>
          <w:szCs w:val="24"/>
          <w:lang w:eastAsia="it-IT"/>
        </w:rPr>
        <mc:AlternateContent>
          <mc:Choice Requires="wps">
            <w:drawing>
              <wp:anchor distT="0" distB="0" distL="114300" distR="114300" simplePos="0" relativeHeight="251659264" behindDoc="0" locked="0" layoutInCell="1" allowOverlap="1" wp14:anchorId="370EF8E6" wp14:editId="546F6D4A">
                <wp:simplePos x="0" y="0"/>
                <wp:positionH relativeFrom="column">
                  <wp:posOffset>1024890</wp:posOffset>
                </wp:positionH>
                <wp:positionV relativeFrom="paragraph">
                  <wp:posOffset>302260</wp:posOffset>
                </wp:positionV>
                <wp:extent cx="91440" cy="289560"/>
                <wp:effectExtent l="19050" t="0" r="41910" b="34290"/>
                <wp:wrapNone/>
                <wp:docPr id="17" name="Freccia in giù 17"/>
                <wp:cNvGraphicFramePr/>
                <a:graphic xmlns:a="http://schemas.openxmlformats.org/drawingml/2006/main">
                  <a:graphicData uri="http://schemas.microsoft.com/office/word/2010/wordprocessingShape">
                    <wps:wsp>
                      <wps:cNvSpPr/>
                      <wps:spPr>
                        <a:xfrm>
                          <a:off x="0" y="0"/>
                          <a:ext cx="91440" cy="2895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8751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17" o:spid="_x0000_s1026" type="#_x0000_t67" style="position:absolute;margin-left:80.7pt;margin-top:23.8pt;width:7.2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KIfgIAAEQFAAAOAAAAZHJzL2Uyb0RvYy54bWysVM1u2zAMvg/YOwi6r06C/qxBnSJo0WFA&#10;0RZrh55VWYoFSKJGKXGyN9t5LzZKdtyiLXYY5oMsiuRH8hOps/Ots2yjMBrwNZ8eTDhTXkJj/Krm&#10;3x+uPn3mLCbhG2HBq5rvVOTni48fzrowVzNowTYKGYH4OO9CzduUwryqomyVE/EAgvKk1IBOJBJx&#10;VTUoOkJ3tppNJsdVB9gEBKlipNPLXskXBV9rJdOt1lElZmtOuaWyYlmf8lotzsR8hSK0Rg5piH/I&#10;wgnjKegIdSmSYGs0b6CckQgRdDqQ4CrQ2khVaqBqppNX1dy3IqhSC5ETw0hT/H+w8mZzh8w0dHcn&#10;nHnh6I6uUElpBDOerczvX4w0RFMX4pys78MdDlKkba55q9HlP1XDtoXa3Uit2iYm6fB0enhI/EvS&#10;zD6fHh0X5qtn34AxfVHgWN7UvIHOLxGhK6SKzXVMFJTs93Yk5IT6FMou7azKWVj/TWmqiILOinfp&#10;JXVhkW0EdYGQUvk07VWtaFR/fDShL9dJQUaPIhXAjKyNtSP2AJD79C12DzPYZ1dVWnF0nvwtsd55&#10;9CiRwafR2RkP+B6ApaqGyL39nqSemszSEzQ7um+EfhBikFeGCL8WMd0JpM6nO6JpTre0aAtdzWHY&#10;cdYC/nzvPNtTQ5KWs44mqebxx1qg4sx+9dSqw9WnIhwencwoBr7UPL3U+LW7ALqmKb0bQZZttk92&#10;v9UI7pGGfpmjkkp4SbFrLhPuhYvUTzg9G1Itl8WMxi2IdO3vg8zgmdXcSw/bR4Fh6LpE3XoD+6kT&#10;81d919tmTw/LdQJtSlM+8zrwTaNaGmd4VvJb8FIuVs+P3+IPAAAA//8DAFBLAwQUAAYACAAAACEA&#10;NeRusd4AAAAJAQAADwAAAGRycy9kb3ducmV2LnhtbEyPQU7DMBBF90jcwRokdtRpKWkJcSqEFIpA&#10;LCg9gBsPcYQ9jmynSTk97gqWX/P05/1yM1nDjuhD50jAfJYBQ2qc6qgVsP+sb9bAQpSkpHGEAk4Y&#10;YFNdXpSyUG6kDzzuYstSCYVCCtAx9gXnodFoZZi5Hindvpy3MqboW668HFO5NXyRZTm3sqP0Qcse&#10;nzQ237vBCujM2yl7HzS+jtuXuO1/zHPtayGur6bHB2ARp/gHw1k/qUOVnA5uIBWYSTmfLxMqYLnK&#10;gZ2B1V3achBwf7sAXpX8/4LqFwAA//8DAFBLAQItABQABgAIAAAAIQC2gziS/gAAAOEBAAATAAAA&#10;AAAAAAAAAAAAAAAAAABbQ29udGVudF9UeXBlc10ueG1sUEsBAi0AFAAGAAgAAAAhADj9If/WAAAA&#10;lAEAAAsAAAAAAAAAAAAAAAAALwEAAF9yZWxzLy5yZWxzUEsBAi0AFAAGAAgAAAAhAFPLEoh+AgAA&#10;RAUAAA4AAAAAAAAAAAAAAAAALgIAAGRycy9lMm9Eb2MueG1sUEsBAi0AFAAGAAgAAAAhADXkbrHe&#10;AAAACQEAAA8AAAAAAAAAAAAAAAAA2AQAAGRycy9kb3ducmV2LnhtbFBLBQYAAAAABAAEAPMAAADj&#10;BQAAAAA=&#10;" adj="18189" fillcolor="#4472c4 [3204]" strokecolor="#1f3763 [1604]" strokeweight="1pt"/>
            </w:pict>
          </mc:Fallback>
        </mc:AlternateContent>
      </w:r>
      <w:r w:rsidRPr="00C30141">
        <w:rPr>
          <w:rFonts w:ascii="Cambria Math" w:hAnsi="Cambria Math" w:cs="Cambria Math"/>
          <w:sz w:val="24"/>
          <w:szCs w:val="24"/>
          <w:lang w:eastAsia="it-IT"/>
        </w:rPr>
        <w:t>𝑅</w:t>
      </w:r>
      <w:r w:rsidRPr="00C30141">
        <w:rPr>
          <w:rFonts w:ascii="Cambria Math" w:hAnsi="Cambria Math" w:cs="Cambria Math"/>
          <w:sz w:val="24"/>
          <w:szCs w:val="24"/>
          <w:vertAlign w:val="subscript"/>
          <w:lang w:eastAsia="it-IT"/>
        </w:rPr>
        <w:t>𝑎</w:t>
      </w:r>
      <w:r w:rsidRPr="00C30141">
        <w:rPr>
          <w:rFonts w:cstheme="minorHAnsi"/>
          <w:sz w:val="24"/>
          <w:szCs w:val="24"/>
          <w:lang w:eastAsia="it-IT"/>
        </w:rPr>
        <w:t xml:space="preserve"> = (</w:t>
      </w:r>
      <w:r w:rsidRPr="00C30141">
        <w:rPr>
          <w:rFonts w:ascii="Cambria Math" w:hAnsi="Cambria Math" w:cs="Cambria Math"/>
          <w:sz w:val="24"/>
          <w:szCs w:val="24"/>
          <w:lang w:eastAsia="it-IT"/>
        </w:rPr>
        <w:t>𝑊𝐴𝐶𝐶</w:t>
      </w:r>
      <w:r w:rsidRPr="00C30141">
        <w:rPr>
          <w:rFonts w:ascii="Cambria Math" w:hAnsi="Cambria Math" w:cs="Cambria Math"/>
          <w:sz w:val="24"/>
          <w:szCs w:val="24"/>
          <w:vertAlign w:val="subscript"/>
          <w:lang w:eastAsia="it-IT"/>
        </w:rPr>
        <w:t>𝑎</w:t>
      </w:r>
      <w:r w:rsidRPr="00C30141">
        <w:rPr>
          <w:rFonts w:cstheme="minorHAnsi"/>
          <w:sz w:val="24"/>
          <w:szCs w:val="24"/>
          <w:lang w:eastAsia="it-IT"/>
        </w:rPr>
        <w:t xml:space="preserve"> </w:t>
      </w:r>
      <w:r w:rsidRPr="00C30141">
        <w:rPr>
          <w:rFonts w:ascii="Cambria Math" w:hAnsi="Cambria Math" w:cs="Cambria Math"/>
          <w:sz w:val="24"/>
          <w:szCs w:val="24"/>
          <w:lang w:eastAsia="it-IT"/>
        </w:rPr>
        <w:t>∗</w:t>
      </w:r>
      <w:r w:rsidRPr="00C30141">
        <w:rPr>
          <w:rFonts w:cstheme="minorHAnsi"/>
          <w:sz w:val="24"/>
          <w:szCs w:val="24"/>
          <w:lang w:eastAsia="it-IT"/>
        </w:rPr>
        <w:t xml:space="preserve"> </w:t>
      </w:r>
      <w:r w:rsidRPr="00C30141">
        <w:rPr>
          <w:rFonts w:ascii="Cambria Math" w:hAnsi="Cambria Math" w:cs="Cambria Math"/>
          <w:sz w:val="24"/>
          <w:szCs w:val="24"/>
          <w:lang w:eastAsia="it-IT"/>
        </w:rPr>
        <w:t>𝐶𝐼𝑁</w:t>
      </w:r>
      <w:r w:rsidRPr="00C30141">
        <w:rPr>
          <w:rFonts w:ascii="Cambria Math" w:hAnsi="Cambria Math" w:cs="Cambria Math"/>
          <w:sz w:val="24"/>
          <w:szCs w:val="24"/>
          <w:vertAlign w:val="subscript"/>
          <w:lang w:eastAsia="it-IT"/>
        </w:rPr>
        <w:t>𝑎</w:t>
      </w:r>
      <w:r w:rsidRPr="00C30141">
        <w:rPr>
          <w:rFonts w:cstheme="minorHAnsi"/>
          <w:sz w:val="24"/>
          <w:szCs w:val="24"/>
          <w:lang w:eastAsia="it-IT"/>
        </w:rPr>
        <w:t>)</w:t>
      </w:r>
    </w:p>
    <w:p w14:paraId="05B1E1D6" w14:textId="77777777" w:rsidR="00906F33" w:rsidRPr="00C30141" w:rsidRDefault="00906F33" w:rsidP="00906F33">
      <w:pPr>
        <w:spacing w:line="276" w:lineRule="auto"/>
        <w:jc w:val="both"/>
        <w:rPr>
          <w:rFonts w:cstheme="minorHAnsi"/>
          <w:sz w:val="24"/>
          <w:szCs w:val="24"/>
          <w:lang w:eastAsia="it-IT"/>
        </w:rPr>
      </w:pPr>
    </w:p>
    <w:p w14:paraId="14317256" w14:textId="77777777" w:rsidR="00906F33" w:rsidRDefault="00906F33" w:rsidP="00906F33">
      <w:pPr>
        <w:spacing w:line="276" w:lineRule="auto"/>
        <w:ind w:left="708" w:firstLine="708"/>
        <w:jc w:val="both"/>
        <w:rPr>
          <w:rFonts w:cstheme="minorHAnsi"/>
          <w:sz w:val="24"/>
          <w:szCs w:val="24"/>
          <w:lang w:eastAsia="it-IT"/>
        </w:rPr>
      </w:pPr>
      <w:r>
        <w:rPr>
          <w:rFonts w:ascii="Cambria Math" w:hAnsi="Cambria Math" w:cs="Cambria Math"/>
          <w:noProof/>
          <w:sz w:val="24"/>
          <w:szCs w:val="24"/>
          <w:lang w:eastAsia="it-IT"/>
        </w:rPr>
        <mc:AlternateContent>
          <mc:Choice Requires="wps">
            <w:drawing>
              <wp:anchor distT="0" distB="0" distL="114300" distR="114300" simplePos="0" relativeHeight="251660288" behindDoc="0" locked="0" layoutInCell="1" allowOverlap="1" wp14:anchorId="51C092A3" wp14:editId="63C6607D">
                <wp:simplePos x="0" y="0"/>
                <wp:positionH relativeFrom="column">
                  <wp:posOffset>2392680</wp:posOffset>
                </wp:positionH>
                <wp:positionV relativeFrom="paragraph">
                  <wp:posOffset>257810</wp:posOffset>
                </wp:positionV>
                <wp:extent cx="49530" cy="708660"/>
                <wp:effectExtent l="19050" t="0" r="45720" b="34290"/>
                <wp:wrapNone/>
                <wp:docPr id="2" name="Freccia in giù 2"/>
                <wp:cNvGraphicFramePr/>
                <a:graphic xmlns:a="http://schemas.openxmlformats.org/drawingml/2006/main">
                  <a:graphicData uri="http://schemas.microsoft.com/office/word/2010/wordprocessingShape">
                    <wps:wsp>
                      <wps:cNvSpPr/>
                      <wps:spPr>
                        <a:xfrm>
                          <a:off x="0" y="0"/>
                          <a:ext cx="49530" cy="708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59670" id="Freccia in giù 2" o:spid="_x0000_s1026" type="#_x0000_t67" style="position:absolute;margin-left:188.4pt;margin-top:20.3pt;width:3.9pt;height:5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25fwIAAEIFAAAOAAAAZHJzL2Uyb0RvYy54bWysVM1u2zAMvg/YOwi6r3ay9C+oUwQtOgwo&#10;2mLt0LMqS7EAWdQoJU72ZjvvxUbJjlu0xQ7DfJBFkfxIfiJ1dr5tLdsoDAZcxScHJWfKSaiNW1X8&#10;+8PVpxPOQhSuFhacqvhOBX6++PjhrPNzNYUGbK2QEYgL885XvInRz4siyEa1IhyAV46UGrAVkURc&#10;FTWKjtBbW0zL8qjoAGuPIFUIdHrZK/ki42utZLzVOqjIbMUpt5hXzOtTWovFmZivUPjGyCEN8Q9Z&#10;tMI4CjpCXYoo2BrNG6jWSIQAOh5IaAvQ2kiVa6BqJuWrau4b4VWuhcgJfqQp/D9YebO5Q2bqik85&#10;c6KlK7pCJaURzDi2Mr9/sWkiqfNhTrb3/g4HKdA2VbzV2KY/1cK2mdjdSKzaRibpcHZ6+JnYl6Q5&#10;Lk+OjjLvxbOvxxC/KGhZ2lS8hs4tEaHLlIrNdYgUlOz3diSkhPoU8i7urEpZWPdNaaqHgk6zd+4k&#10;dWGRbQT1gJBSuTjpVY2oVX98WNKX6qQgo0eWMmBC1sbaEXsASF36FruHGeyTq8qNODqXf0usdx49&#10;cmRwcXRujQN8D8BSVUPk3n5PUk9NYukJ6h3dNkI/BsHLK0OEX4sQ7wRS39Md0SzHW1q0ha7iMOw4&#10;awB/vnee7KkdSctZR3NU8fBjLVBxZr86atTTyWyWBi8Ls8PjKQn4UvP0UuPW7QXQNU3o1fAyb5N9&#10;tPutRmgfaeSXKSqphJMUu+Iy4l64iP1806Mh1XKZzWjYvIjX7t7LBJ5YTb30sH0U6Ieui9StN7Cf&#10;OTF/1Xe9bfJ0sFxH0CY35TOvA980qLlxhkclvQQv5Wz1/PQt/gAAAP//AwBQSwMEFAAGAAgAAAAh&#10;AOKFL13dAAAACgEAAA8AAABkcnMvZG93bnJldi54bWxMj01Pg0AQhu8m/ofNmHgxdldAaChLY4y9&#10;S1vvCzsC6X4QdtvSf+940ttM5sk7z1ttF2vYBecweifhZSWAoeu8Hl0v4XjYPa+BhaicVsY7lHDD&#10;ANv6/q5SpfZX1+BlH3tGIS6USsIQ41RyHroBrQorP6Gj27efrYq0zj3Xs7pSuDU8ESLnVo2OPgxq&#10;wvcBu9P+bCW0DS+8uKVF89TvzJf4PH5knZDy8WF52wCLuMQ/GH71SR1qcmr92enAjIS0yEk9SshE&#10;DoyAdJ3R0BL5miTA64r/r1D/AAAA//8DAFBLAQItABQABgAIAAAAIQC2gziS/gAAAOEBAAATAAAA&#10;AAAAAAAAAAAAAAAAAABbQ29udGVudF9UeXBlc10ueG1sUEsBAi0AFAAGAAgAAAAhADj9If/WAAAA&#10;lAEAAAsAAAAAAAAAAAAAAAAALwEAAF9yZWxzLy5yZWxzUEsBAi0AFAAGAAgAAAAhANmiDbl/AgAA&#10;QgUAAA4AAAAAAAAAAAAAAAAALgIAAGRycy9lMm9Eb2MueG1sUEsBAi0AFAAGAAgAAAAhAOKFL13d&#10;AAAACgEAAA8AAAAAAAAAAAAAAAAA2QQAAGRycy9kb3ducmV2LnhtbFBLBQYAAAAABAAEAPMAAADj&#10;BQAAAAA=&#10;" adj="20845" fillcolor="#4472c4 [3204]" strokecolor="#1f3763 [1604]" strokeweight="1pt"/>
            </w:pict>
          </mc:Fallback>
        </mc:AlternateContent>
      </w:r>
      <w:r>
        <w:rPr>
          <w:rFonts w:ascii="Cambria Math" w:hAnsi="Cambria Math" w:cs="Cambria Math"/>
          <w:noProof/>
          <w:sz w:val="24"/>
          <w:szCs w:val="24"/>
          <w:lang w:eastAsia="it-IT"/>
        </w:rPr>
        <mc:AlternateContent>
          <mc:Choice Requires="wps">
            <w:drawing>
              <wp:anchor distT="0" distB="0" distL="114300" distR="114300" simplePos="0" relativeHeight="251661312" behindDoc="0" locked="0" layoutInCell="1" allowOverlap="1" wp14:anchorId="4C707D1E" wp14:editId="127CBC59">
                <wp:simplePos x="0" y="0"/>
                <wp:positionH relativeFrom="column">
                  <wp:posOffset>1744843</wp:posOffset>
                </wp:positionH>
                <wp:positionV relativeFrom="paragraph">
                  <wp:posOffset>233355</wp:posOffset>
                </wp:positionV>
                <wp:extent cx="57110" cy="424862"/>
                <wp:effectExtent l="114300" t="0" r="114935" b="0"/>
                <wp:wrapNone/>
                <wp:docPr id="4" name="Freccia in giù 4"/>
                <wp:cNvGraphicFramePr/>
                <a:graphic xmlns:a="http://schemas.openxmlformats.org/drawingml/2006/main">
                  <a:graphicData uri="http://schemas.microsoft.com/office/word/2010/wordprocessingShape">
                    <wps:wsp>
                      <wps:cNvSpPr/>
                      <wps:spPr>
                        <a:xfrm rot="2005560">
                          <a:off x="0" y="0"/>
                          <a:ext cx="57110" cy="4248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88D91" id="Freccia in giù 4" o:spid="_x0000_s1026" type="#_x0000_t67" style="position:absolute;margin-left:137.4pt;margin-top:18.35pt;width:4.5pt;height:33.45pt;rotation:219060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Q6fiQIAAFAFAAAOAAAAZHJzL2Uyb0RvYy54bWysVMFu2zAMvQ/YPwi6r04Cp+2COkXQosOA&#10;oi3WDj2rshQLkEWNUuJkf7bzfmyU7Lhd29MwHwxRJB/JR1Jn57vWsq3CYMBVfHo04Uw5CbVx64p/&#10;f7j6dMpZiMLVwoJTFd+rwM+XHz+cdX6hZtCArRUyAnFh0fmKNzH6RVEE2ahWhCPwypFSA7Yikojr&#10;okbREXpri9lkclx0gLVHkCoEur3slXyZ8bVWMt5qHVRktuKUW8x/zP+n9C+WZ2KxRuEbI4c0xD9k&#10;0QrjKOgIdSmiYBs0b6BaIxEC6HgkoS1AayNVroGqmU5eVXPfCK9yLURO8CNN4f/BypvtHTJTV7zk&#10;zImWWnSFSkojmHFsbX7/YmUiqfNhQbb3/g4HKdAxVbzT2DIEYpb6MZ8fTzIPVBnbZZr3I81qF5mk&#10;y/nJdEq9kKQpZ+Xp8SwFKHqkhOgxxC8KWpYOFa+hcytE6DKw2F6H2Nsf7Mg5pdcnlE9xb1VCsu6b&#10;0lQdBZ1l7zxX6sIi2wqaCCGlcnHaqxpRq/56PqFvSGr0yClmwISsjbUj9gCQZvYtdp/rYJ9cVR7L&#10;0bnnawzzd2K98+iRI4OLo3NrHOB7lVmqaojc2x9I6qlJLD1Bvafe59ZRO4KXV4YIvxYh3gmkLaBL&#10;2ux4Sz9toas4DCfOGsCf790nexpO0nLW0VZVPPzYCFSc2a+OxvbztCzTGmahnJ/MSMCXmqeXGrdp&#10;L4DaNM3Z5WOyj/Zw1AjtIz0AqxSVVMJJil1xGfEgXMR+2+kJkWq1yma0el7Ea3fvZQJPrKZZetg9&#10;CvTD1EWa1hs4bKBYvJq73jZ5OlhtImiTh/KZ14FvWts8OMMTk96Fl3K2en4Il38AAAD//wMAUEsD&#10;BBQABgAIAAAAIQDx3fwp4AAAAAoBAAAPAAAAZHJzL2Rvd25yZXYueG1sTI/BSsNAEIbvgu+wjODN&#10;bpqUtMZsiqyIoKBYRTxus2MSmp0N2W0a397xpMeZ+fjn+8vt7Hox4Rg6TwqWiwQEUu1tR42C97f7&#10;qw2IEA1Z03tCBd8YYFudn5WmsP5ErzjtYiM4hEJhFLQxDoWUoW7RmbDwAxLfvvzoTORxbKQdzYnD&#10;XS/TJMmlMx3xh9YMqFusD7ujU6APn3f4/KIftf5or5c4Paye6kypy4v59gZExDn+wfCrz+pQsdPe&#10;H8kG0StI1ytWjwqyfA2CgXST8WLPZJLlIKtS/q9Q/QAAAP//AwBQSwECLQAUAAYACAAAACEAtoM4&#10;kv4AAADhAQAAEwAAAAAAAAAAAAAAAAAAAAAAW0NvbnRlbnRfVHlwZXNdLnhtbFBLAQItABQABgAI&#10;AAAAIQA4/SH/1gAAAJQBAAALAAAAAAAAAAAAAAAAAC8BAABfcmVscy8ucmVsc1BLAQItABQABgAI&#10;AAAAIQD8yQ6fiQIAAFAFAAAOAAAAAAAAAAAAAAAAAC4CAABkcnMvZTJvRG9jLnhtbFBLAQItABQA&#10;BgAIAAAAIQDx3fwp4AAAAAoBAAAPAAAAAAAAAAAAAAAAAOMEAABkcnMvZG93bnJldi54bWxQSwUG&#10;AAAAAAQABADzAAAA8AUAAAAA&#10;" adj="20148" fillcolor="#4472c4 [3204]" strokecolor="#1f3763 [1604]" strokeweight="1pt"/>
            </w:pict>
          </mc:Fallback>
        </mc:AlternateContent>
      </w:r>
      <w:r>
        <w:rPr>
          <w:rFonts w:ascii="Cambria Math" w:hAnsi="Cambria Math" w:cs="Cambria Math"/>
          <w:sz w:val="24"/>
          <w:szCs w:val="24"/>
          <w:lang w:eastAsia="it-IT"/>
        </w:rPr>
        <w:t xml:space="preserve">  </w:t>
      </w:r>
      <w:r w:rsidRPr="00C30141">
        <w:rPr>
          <w:rFonts w:ascii="Cambria Math" w:hAnsi="Cambria Math" w:cs="Cambria Math"/>
          <w:sz w:val="24"/>
          <w:szCs w:val="24"/>
          <w:lang w:eastAsia="it-IT"/>
        </w:rPr>
        <w:t>𝐶𝐼𝑁</w:t>
      </w:r>
      <w:r w:rsidRPr="00C30141">
        <w:rPr>
          <w:rFonts w:ascii="Cambria Math" w:hAnsi="Cambria Math" w:cs="Cambria Math"/>
          <w:sz w:val="24"/>
          <w:szCs w:val="24"/>
          <w:vertAlign w:val="subscript"/>
          <w:lang w:eastAsia="it-IT"/>
        </w:rPr>
        <w:t>𝑎</w:t>
      </w:r>
      <w:r w:rsidRPr="00C30141">
        <w:rPr>
          <w:rFonts w:cstheme="minorHAnsi"/>
          <w:sz w:val="24"/>
          <w:szCs w:val="24"/>
          <w:lang w:eastAsia="it-IT"/>
        </w:rPr>
        <w:t xml:space="preserve"> = </w:t>
      </w:r>
      <w:r w:rsidRPr="00C30141">
        <w:rPr>
          <w:rFonts w:ascii="Cambria Math" w:hAnsi="Cambria Math" w:cs="Cambria Math"/>
          <w:sz w:val="24"/>
          <w:szCs w:val="24"/>
          <w:lang w:eastAsia="it-IT"/>
        </w:rPr>
        <w:t>𝑀𝑎𝑥</w:t>
      </w:r>
      <w:r>
        <w:rPr>
          <w:rFonts w:ascii="Cambria Math" w:hAnsi="Cambria Math" w:cs="Cambria Math"/>
          <w:sz w:val="24"/>
          <w:szCs w:val="24"/>
          <w:lang w:eastAsia="it-IT"/>
        </w:rPr>
        <w:t xml:space="preserve"> </w:t>
      </w:r>
      <w:r w:rsidRPr="00C30141">
        <w:rPr>
          <w:rFonts w:cstheme="minorHAnsi"/>
          <w:sz w:val="24"/>
          <w:szCs w:val="24"/>
          <w:lang w:eastAsia="it-IT"/>
        </w:rPr>
        <w:t>{(</w:t>
      </w:r>
      <w:r w:rsidRPr="00C30141">
        <w:rPr>
          <w:rFonts w:ascii="Cambria Math" w:hAnsi="Cambria Math" w:cs="Cambria Math"/>
          <w:sz w:val="24"/>
          <w:szCs w:val="24"/>
          <w:lang w:eastAsia="it-IT"/>
        </w:rPr>
        <w:t>𝐼𝑀𝑁</w:t>
      </w:r>
      <w:r w:rsidRPr="00C30141">
        <w:rPr>
          <w:rFonts w:ascii="Cambria Math" w:hAnsi="Cambria Math" w:cs="Cambria Math"/>
          <w:sz w:val="24"/>
          <w:szCs w:val="24"/>
          <w:vertAlign w:val="subscript"/>
          <w:lang w:eastAsia="it-IT"/>
        </w:rPr>
        <w:t>𝑎</w:t>
      </w:r>
      <w:r w:rsidRPr="00C30141">
        <w:rPr>
          <w:rFonts w:cstheme="minorHAnsi"/>
          <w:sz w:val="24"/>
          <w:szCs w:val="24"/>
          <w:lang w:eastAsia="it-IT"/>
        </w:rPr>
        <w:t xml:space="preserve"> + </w:t>
      </w:r>
      <w:r w:rsidRPr="00C30141">
        <w:rPr>
          <w:rFonts w:ascii="Cambria Math" w:hAnsi="Cambria Math" w:cs="Cambria Math"/>
          <w:sz w:val="24"/>
          <w:szCs w:val="24"/>
          <w:lang w:eastAsia="it-IT"/>
        </w:rPr>
        <w:t>𝐶𝐶𝑁</w:t>
      </w:r>
      <w:r w:rsidRPr="00C30141">
        <w:rPr>
          <w:rFonts w:ascii="Cambria Math" w:hAnsi="Cambria Math" w:cs="Cambria Math"/>
          <w:sz w:val="24"/>
          <w:szCs w:val="24"/>
          <w:vertAlign w:val="subscript"/>
          <w:lang w:eastAsia="it-IT"/>
        </w:rPr>
        <w:t>𝑎</w:t>
      </w:r>
      <w:r w:rsidRPr="00C30141">
        <w:rPr>
          <w:rFonts w:cstheme="minorHAnsi"/>
          <w:sz w:val="24"/>
          <w:szCs w:val="24"/>
          <w:lang w:eastAsia="it-IT"/>
        </w:rPr>
        <w:t xml:space="preserve"> − </w:t>
      </w:r>
      <w:r w:rsidRPr="00C30141">
        <w:rPr>
          <w:rFonts w:ascii="Cambria Math" w:hAnsi="Cambria Math" w:cs="Cambria Math"/>
          <w:sz w:val="24"/>
          <w:szCs w:val="24"/>
          <w:lang w:eastAsia="it-IT"/>
        </w:rPr>
        <w:t>𝑃𝑅</w:t>
      </w:r>
      <w:r w:rsidRPr="00C30141">
        <w:rPr>
          <w:rFonts w:ascii="Cambria Math" w:hAnsi="Cambria Math" w:cs="Cambria Math"/>
          <w:sz w:val="24"/>
          <w:szCs w:val="24"/>
          <w:vertAlign w:val="subscript"/>
          <w:lang w:eastAsia="it-IT"/>
        </w:rPr>
        <w:t>𝑎</w:t>
      </w:r>
      <w:r w:rsidRPr="00C30141">
        <w:rPr>
          <w:rFonts w:cstheme="minorHAnsi"/>
          <w:sz w:val="24"/>
          <w:szCs w:val="24"/>
          <w:lang w:eastAsia="it-IT"/>
        </w:rPr>
        <w:t>); 0}</w:t>
      </w:r>
    </w:p>
    <w:p w14:paraId="47FC0B6F" w14:textId="77777777" w:rsidR="00906F33" w:rsidRDefault="00906F33" w:rsidP="00906F33">
      <w:pPr>
        <w:spacing w:line="276" w:lineRule="auto"/>
        <w:jc w:val="both"/>
        <w:rPr>
          <w:rFonts w:cstheme="minorHAnsi"/>
          <w:sz w:val="24"/>
          <w:szCs w:val="24"/>
          <w:lang w:eastAsia="it-IT"/>
        </w:rPr>
      </w:pPr>
    </w:p>
    <w:p w14:paraId="2B4F7206" w14:textId="77777777" w:rsidR="00906F33" w:rsidRDefault="00906F33" w:rsidP="00906F33">
      <w:pPr>
        <w:spacing w:line="276" w:lineRule="auto"/>
        <w:jc w:val="both"/>
        <w:rPr>
          <w:rFonts w:ascii="Cambria Math" w:hAnsi="Cambria Math" w:cs="Cambria Math"/>
          <w:sz w:val="24"/>
          <w:szCs w:val="24"/>
          <w:lang w:eastAsia="it-IT"/>
        </w:rPr>
      </w:pPr>
      <w:r w:rsidRPr="00C30141">
        <w:rPr>
          <w:rFonts w:ascii="Cambria Math" w:hAnsi="Cambria Math" w:cs="Cambria Math"/>
          <w:sz w:val="24"/>
          <w:szCs w:val="24"/>
          <w:lang w:eastAsia="it-IT"/>
        </w:rPr>
        <w:t>𝐼𝑀𝑁</w:t>
      </w:r>
      <w:r w:rsidRPr="00B909E2">
        <w:rPr>
          <w:rFonts w:ascii="Cambria Math" w:hAnsi="Cambria Math" w:cs="Cambria Math"/>
          <w:sz w:val="24"/>
          <w:szCs w:val="24"/>
          <w:vertAlign w:val="subscript"/>
          <w:lang w:eastAsia="it-IT"/>
        </w:rPr>
        <w:t>𝑎</w:t>
      </w:r>
      <w:r w:rsidRPr="00C30141">
        <w:rPr>
          <w:rFonts w:cstheme="minorHAnsi"/>
          <w:sz w:val="24"/>
          <w:szCs w:val="24"/>
          <w:lang w:eastAsia="it-IT"/>
        </w:rPr>
        <w:t xml:space="preserve"> = </w:t>
      </w:r>
      <w:r w:rsidRPr="00B909E2">
        <w:rPr>
          <w:rFonts w:cstheme="minorHAnsi"/>
          <w:sz w:val="40"/>
          <w:szCs w:val="40"/>
          <w:lang w:eastAsia="it-IT"/>
        </w:rPr>
        <w:t>Σ</w:t>
      </w:r>
      <w:r>
        <w:rPr>
          <w:rFonts w:cstheme="minorHAnsi"/>
          <w:sz w:val="24"/>
          <w:szCs w:val="24"/>
          <w:lang w:eastAsia="it-IT"/>
        </w:rPr>
        <w:t xml:space="preserve"> </w:t>
      </w:r>
      <w:r w:rsidRPr="00C30141">
        <w:rPr>
          <w:rFonts w:cstheme="minorHAnsi"/>
          <w:sz w:val="24"/>
          <w:szCs w:val="24"/>
          <w:lang w:eastAsia="it-IT"/>
        </w:rPr>
        <w:t>(</w:t>
      </w:r>
      <w:r w:rsidRPr="00C30141">
        <w:rPr>
          <w:rFonts w:ascii="Cambria Math" w:hAnsi="Cambria Math" w:cs="Cambria Math"/>
          <w:sz w:val="24"/>
          <w:szCs w:val="24"/>
          <w:lang w:eastAsia="it-IT"/>
        </w:rPr>
        <w:t>𝐶𝐼</w:t>
      </w:r>
      <w:r w:rsidRPr="00C30141">
        <w:rPr>
          <w:rFonts w:cstheme="minorHAnsi"/>
          <w:sz w:val="24"/>
          <w:szCs w:val="24"/>
          <w:lang w:eastAsia="it-IT"/>
        </w:rPr>
        <w:t xml:space="preserve"> </w:t>
      </w:r>
      <w:r>
        <w:rPr>
          <w:rFonts w:cstheme="minorHAnsi"/>
          <w:sz w:val="24"/>
          <w:szCs w:val="24"/>
          <w:lang w:eastAsia="it-IT"/>
        </w:rPr>
        <w:t>–</w:t>
      </w:r>
      <w:r w:rsidRPr="00C30141">
        <w:rPr>
          <w:rFonts w:cstheme="minorHAnsi"/>
          <w:sz w:val="24"/>
          <w:szCs w:val="24"/>
          <w:lang w:eastAsia="it-IT"/>
        </w:rPr>
        <w:t xml:space="preserve"> </w:t>
      </w:r>
      <w:r w:rsidRPr="00C30141">
        <w:rPr>
          <w:rFonts w:ascii="Cambria Math" w:hAnsi="Cambria Math" w:cs="Cambria Math"/>
          <w:sz w:val="24"/>
          <w:szCs w:val="24"/>
          <w:lang w:eastAsia="it-IT"/>
        </w:rPr>
        <w:t>𝐹𝐴</w:t>
      </w:r>
      <w:r>
        <w:rPr>
          <w:rFonts w:ascii="Cambria Math" w:hAnsi="Cambria Math" w:cs="Cambria Math"/>
          <w:sz w:val="24"/>
          <w:szCs w:val="24"/>
          <w:lang w:eastAsia="it-IT"/>
        </w:rPr>
        <w:t>)*</w:t>
      </w:r>
      <w:proofErr w:type="spellStart"/>
      <w:r>
        <w:rPr>
          <w:rFonts w:ascii="Cambria Math" w:hAnsi="Cambria Math" w:cs="Cambria Math"/>
          <w:sz w:val="24"/>
          <w:szCs w:val="24"/>
          <w:lang w:eastAsia="it-IT"/>
        </w:rPr>
        <w:t>dfl</w:t>
      </w:r>
      <w:proofErr w:type="spellEnd"/>
    </w:p>
    <w:p w14:paraId="21D61BB6" w14:textId="77777777" w:rsidR="00906F33" w:rsidRDefault="00906F33" w:rsidP="00906F33">
      <w:pPr>
        <w:spacing w:line="276" w:lineRule="auto"/>
        <w:ind w:left="2124" w:firstLine="708"/>
        <w:jc w:val="both"/>
        <w:rPr>
          <w:rFonts w:cstheme="minorHAnsi"/>
          <w:sz w:val="24"/>
          <w:szCs w:val="24"/>
          <w:lang w:eastAsia="it-IT"/>
        </w:rPr>
      </w:pPr>
      <w:r w:rsidRPr="00F958F1">
        <w:rPr>
          <w:rFonts w:ascii="Cambria Math" w:hAnsi="Cambria Math" w:cs="Cambria Math"/>
          <w:sz w:val="24"/>
          <w:szCs w:val="24"/>
          <w:lang w:eastAsia="it-IT"/>
        </w:rPr>
        <w:t>𝐶𝐶𝑁</w:t>
      </w:r>
      <w:r w:rsidRPr="00F958F1">
        <w:rPr>
          <w:rFonts w:ascii="Cambria Math" w:hAnsi="Cambria Math" w:cs="Cambria Math"/>
          <w:sz w:val="24"/>
          <w:szCs w:val="24"/>
          <w:vertAlign w:val="subscript"/>
          <w:lang w:eastAsia="it-IT"/>
        </w:rPr>
        <w:t>𝑎</w:t>
      </w:r>
      <w:r w:rsidRPr="00F958F1">
        <w:rPr>
          <w:rFonts w:ascii="Cambria Math" w:hAnsi="Cambria Math" w:cs="Cambria Math"/>
          <w:sz w:val="24"/>
          <w:szCs w:val="24"/>
          <w:lang w:eastAsia="it-IT"/>
        </w:rPr>
        <w:t xml:space="preserve"> = (90</w:t>
      </w:r>
      <w:r>
        <w:rPr>
          <w:rFonts w:ascii="Cambria Math" w:hAnsi="Cambria Math" w:cs="Cambria Math"/>
          <w:sz w:val="24"/>
          <w:szCs w:val="24"/>
          <w:lang w:eastAsia="it-IT"/>
        </w:rPr>
        <w:t>/</w:t>
      </w:r>
      <w:r w:rsidRPr="00F958F1">
        <w:rPr>
          <w:rFonts w:ascii="Cambria Math" w:hAnsi="Cambria Math" w:cs="Cambria Math"/>
          <w:sz w:val="24"/>
          <w:szCs w:val="24"/>
          <w:lang w:eastAsia="it-IT"/>
        </w:rPr>
        <w:t>365∗𝑅𝑖𝑐𝑎𝑣𝑖</w:t>
      </w:r>
      <w:r w:rsidRPr="00F958F1">
        <w:rPr>
          <w:rFonts w:ascii="Cambria Math" w:hAnsi="Cambria Math" w:cs="Cambria Math"/>
          <w:sz w:val="24"/>
          <w:szCs w:val="24"/>
          <w:vertAlign w:val="subscript"/>
          <w:lang w:eastAsia="it-IT"/>
        </w:rPr>
        <w:t>𝑎−2</w:t>
      </w:r>
      <w:r w:rsidRPr="00F958F1">
        <w:rPr>
          <w:rFonts w:ascii="Cambria Math" w:hAnsi="Cambria Math" w:cs="Cambria Math"/>
          <w:sz w:val="24"/>
          <w:szCs w:val="24"/>
          <w:lang w:eastAsia="it-IT"/>
        </w:rPr>
        <w:t xml:space="preserve"> </w:t>
      </w:r>
      <w:r>
        <w:rPr>
          <w:rFonts w:ascii="Cambria Math" w:hAnsi="Cambria Math" w:cs="Cambria Math"/>
          <w:sz w:val="24"/>
          <w:szCs w:val="24"/>
          <w:lang w:eastAsia="it-IT"/>
        </w:rPr>
        <w:t xml:space="preserve">– </w:t>
      </w:r>
      <w:r w:rsidRPr="00F958F1">
        <w:rPr>
          <w:rFonts w:ascii="Cambria Math" w:hAnsi="Cambria Math" w:cs="Cambria Math"/>
          <w:sz w:val="24"/>
          <w:szCs w:val="24"/>
          <w:lang w:eastAsia="it-IT"/>
        </w:rPr>
        <w:t>60</w:t>
      </w:r>
      <w:r>
        <w:rPr>
          <w:rFonts w:ascii="Cambria Math" w:hAnsi="Cambria Math" w:cs="Cambria Math"/>
          <w:sz w:val="24"/>
          <w:szCs w:val="24"/>
          <w:lang w:eastAsia="it-IT"/>
        </w:rPr>
        <w:t>/</w:t>
      </w:r>
      <w:r w:rsidRPr="00F958F1">
        <w:rPr>
          <w:rFonts w:ascii="Cambria Math" w:hAnsi="Cambria Math" w:cs="Cambria Math"/>
          <w:sz w:val="24"/>
          <w:szCs w:val="24"/>
          <w:lang w:eastAsia="it-IT"/>
        </w:rPr>
        <w:t>365∗𝐶𝑜𝑠𝑡𝑖</w:t>
      </w:r>
      <w:r w:rsidRPr="00F958F1">
        <w:rPr>
          <w:rFonts w:ascii="Cambria Math" w:hAnsi="Cambria Math" w:cs="Cambria Math"/>
          <w:sz w:val="24"/>
          <w:szCs w:val="24"/>
          <w:vertAlign w:val="subscript"/>
          <w:lang w:eastAsia="it-IT"/>
        </w:rPr>
        <w:t>𝑎−2</w:t>
      </w:r>
      <w:r w:rsidRPr="00F958F1">
        <w:rPr>
          <w:rFonts w:ascii="Cambria Math" w:hAnsi="Cambria Math" w:cs="Cambria Math"/>
          <w:sz w:val="24"/>
          <w:szCs w:val="24"/>
          <w:lang w:eastAsia="it-IT"/>
        </w:rPr>
        <w:t>)</w:t>
      </w:r>
      <w:r>
        <w:rPr>
          <w:rFonts w:ascii="Cambria Math" w:hAnsi="Cambria Math" w:cs="Cambria Math"/>
          <w:sz w:val="24"/>
          <w:szCs w:val="24"/>
          <w:lang w:eastAsia="it-IT"/>
        </w:rPr>
        <w:t>*</w:t>
      </w:r>
      <w:r w:rsidRPr="00F958F1">
        <w:rPr>
          <w:rFonts w:ascii="Cambria Math" w:hAnsi="Cambria Math" w:cs="Cambria Math"/>
          <w:sz w:val="24"/>
          <w:szCs w:val="24"/>
          <w:lang w:eastAsia="it-IT"/>
        </w:rPr>
        <w:t>(1</w:t>
      </w:r>
      <w:r>
        <w:rPr>
          <w:rFonts w:ascii="Cambria Math" w:hAnsi="Cambria Math" w:cs="Cambria Math"/>
          <w:sz w:val="24"/>
          <w:szCs w:val="24"/>
          <w:lang w:eastAsia="it-IT"/>
        </w:rPr>
        <w:t>,011</w:t>
      </w:r>
      <w:r w:rsidRPr="00F958F1">
        <w:rPr>
          <w:rFonts w:ascii="Cambria Math" w:hAnsi="Cambria Math" w:cs="Cambria Math"/>
          <w:sz w:val="24"/>
          <w:szCs w:val="24"/>
          <w:lang w:eastAsia="it-IT"/>
        </w:rPr>
        <w:t>)</w:t>
      </w:r>
      <w:r>
        <w:rPr>
          <w:rFonts w:ascii="Cambria Math" w:hAnsi="Cambria Math" w:cs="Cambria Math"/>
          <w:sz w:val="24"/>
          <w:szCs w:val="24"/>
          <w:lang w:eastAsia="it-IT"/>
        </w:rPr>
        <w:t>*(1,001)</w:t>
      </w:r>
    </w:p>
    <w:p w14:paraId="2DF1CC31" w14:textId="77777777" w:rsidR="00906F33" w:rsidRPr="008C71BD" w:rsidRDefault="00906F33" w:rsidP="00906F33">
      <w:pPr>
        <w:spacing w:line="276" w:lineRule="auto"/>
        <w:jc w:val="both"/>
        <w:rPr>
          <w:rFonts w:ascii="Corbel" w:hAnsi="Corbel" w:cstheme="minorHAnsi"/>
          <w:sz w:val="24"/>
          <w:szCs w:val="24"/>
          <w:lang w:eastAsia="it-IT"/>
        </w:rPr>
      </w:pPr>
      <w:r w:rsidRPr="008C71BD">
        <w:rPr>
          <w:rFonts w:ascii="Corbel" w:hAnsi="Corbel" w:cstheme="minorHAnsi"/>
          <w:sz w:val="24"/>
          <w:szCs w:val="24"/>
          <w:lang w:eastAsia="it-IT"/>
        </w:rPr>
        <w:t>dove:</w:t>
      </w:r>
    </w:p>
    <w:p w14:paraId="30333AAF" w14:textId="77777777" w:rsidR="00906F33" w:rsidRPr="008C71BD" w:rsidRDefault="00906F33" w:rsidP="00906F33">
      <w:pPr>
        <w:spacing w:line="276" w:lineRule="auto"/>
        <w:jc w:val="both"/>
        <w:rPr>
          <w:rFonts w:ascii="Corbel" w:hAnsi="Corbel" w:cstheme="minorHAnsi"/>
          <w:sz w:val="24"/>
          <w:szCs w:val="24"/>
          <w:lang w:eastAsia="it-IT"/>
        </w:rPr>
      </w:pPr>
      <w:r w:rsidRPr="00C30141">
        <w:rPr>
          <w:rFonts w:ascii="Cambria Math" w:hAnsi="Cambria Math" w:cs="Cambria Math"/>
          <w:sz w:val="24"/>
          <w:szCs w:val="24"/>
          <w:lang w:eastAsia="it-IT"/>
        </w:rPr>
        <w:t>𝑊𝐴𝐶𝐶</w:t>
      </w:r>
      <w:r w:rsidRPr="00C30141">
        <w:rPr>
          <w:rFonts w:ascii="Cambria Math" w:hAnsi="Cambria Math" w:cs="Cambria Math"/>
          <w:sz w:val="24"/>
          <w:szCs w:val="24"/>
          <w:vertAlign w:val="subscript"/>
          <w:lang w:eastAsia="it-IT"/>
        </w:rPr>
        <w:t>𝑎</w:t>
      </w:r>
      <w:r>
        <w:rPr>
          <w:rFonts w:cstheme="minorHAnsi"/>
          <w:sz w:val="24"/>
          <w:szCs w:val="24"/>
          <w:lang w:eastAsia="it-IT"/>
        </w:rPr>
        <w:t xml:space="preserve"> </w:t>
      </w:r>
      <w:r w:rsidRPr="008C71BD">
        <w:rPr>
          <w:rFonts w:ascii="Corbel" w:hAnsi="Corbel" w:cstheme="minorHAnsi"/>
          <w:sz w:val="24"/>
          <w:szCs w:val="24"/>
          <w:lang w:eastAsia="it-IT"/>
        </w:rPr>
        <w:t>è il tasso di remunerazione del capitale investito netto per il servizio del ciclo integrato (6,3%)</w:t>
      </w:r>
      <w:r>
        <w:rPr>
          <w:rFonts w:ascii="Corbel" w:hAnsi="Corbel" w:cstheme="minorHAnsi"/>
          <w:sz w:val="24"/>
          <w:szCs w:val="24"/>
          <w:lang w:eastAsia="it-IT"/>
        </w:rPr>
        <w:t xml:space="preserve">. </w:t>
      </w:r>
      <w:r w:rsidRPr="00D551A4">
        <w:rPr>
          <w:rFonts w:ascii="Corbel" w:hAnsi="Corbel" w:cstheme="minorHAnsi"/>
          <w:sz w:val="24"/>
          <w:szCs w:val="24"/>
          <w:lang w:eastAsia="it-IT"/>
        </w:rPr>
        <w:t>Agli investimenti effettuati successivamente al 31 dicembre 201</w:t>
      </w:r>
      <w:r>
        <w:rPr>
          <w:rFonts w:ascii="Corbel" w:hAnsi="Corbel" w:cstheme="minorHAnsi"/>
          <w:sz w:val="24"/>
          <w:szCs w:val="24"/>
          <w:lang w:eastAsia="it-IT"/>
        </w:rPr>
        <w:t>7</w:t>
      </w:r>
      <w:r w:rsidRPr="00D551A4">
        <w:rPr>
          <w:rFonts w:ascii="Corbel" w:hAnsi="Corbel" w:cstheme="minorHAnsi"/>
          <w:sz w:val="24"/>
          <w:szCs w:val="24"/>
          <w:lang w:eastAsia="it-IT"/>
        </w:rPr>
        <w:t>, si applica una</w:t>
      </w:r>
      <w:r>
        <w:rPr>
          <w:rFonts w:ascii="Corbel" w:hAnsi="Corbel" w:cstheme="minorHAnsi"/>
          <w:sz w:val="24"/>
          <w:szCs w:val="24"/>
          <w:lang w:eastAsia="it-IT"/>
        </w:rPr>
        <w:t xml:space="preserve"> </w:t>
      </w:r>
      <w:r w:rsidRPr="00D551A4">
        <w:rPr>
          <w:rFonts w:ascii="Corbel" w:hAnsi="Corbel" w:cstheme="minorHAnsi"/>
          <w:sz w:val="24"/>
          <w:szCs w:val="24"/>
          <w:lang w:eastAsia="it-IT"/>
        </w:rPr>
        <w:t>maggiorazione del tasso di remunerazione del capitale investito (time lag) pari all’1%, a</w:t>
      </w:r>
      <w:r>
        <w:rPr>
          <w:rFonts w:ascii="Corbel" w:hAnsi="Corbel" w:cstheme="minorHAnsi"/>
          <w:sz w:val="24"/>
          <w:szCs w:val="24"/>
          <w:lang w:eastAsia="it-IT"/>
        </w:rPr>
        <w:t xml:space="preserve"> </w:t>
      </w:r>
      <w:r w:rsidRPr="00D551A4">
        <w:rPr>
          <w:rFonts w:ascii="Corbel" w:hAnsi="Corbel" w:cstheme="minorHAnsi"/>
          <w:sz w:val="24"/>
          <w:szCs w:val="24"/>
          <w:lang w:eastAsia="it-IT"/>
        </w:rPr>
        <w:t>copertura degli oneri derivanti dallo sfasamento temporale tra l’anno di realizzazione degli</w:t>
      </w:r>
      <w:r>
        <w:rPr>
          <w:rFonts w:ascii="Corbel" w:hAnsi="Corbel" w:cstheme="minorHAnsi"/>
          <w:sz w:val="24"/>
          <w:szCs w:val="24"/>
          <w:lang w:eastAsia="it-IT"/>
        </w:rPr>
        <w:t xml:space="preserve"> </w:t>
      </w:r>
      <w:r w:rsidRPr="00D551A4">
        <w:rPr>
          <w:rFonts w:ascii="Corbel" w:hAnsi="Corbel" w:cstheme="minorHAnsi"/>
          <w:sz w:val="24"/>
          <w:szCs w:val="24"/>
          <w:lang w:eastAsia="it-IT"/>
        </w:rPr>
        <w:t>investimenti (a-2) e l’anno di riconoscimento tariffario (a).</w:t>
      </w:r>
    </w:p>
    <w:p w14:paraId="385F1EF8" w14:textId="77777777" w:rsidR="00906F33" w:rsidRPr="008C71BD" w:rsidRDefault="00906F33" w:rsidP="00906F33">
      <w:pPr>
        <w:spacing w:line="276" w:lineRule="auto"/>
        <w:jc w:val="both"/>
        <w:rPr>
          <w:rFonts w:ascii="Corbel" w:hAnsi="Corbel" w:cstheme="minorHAnsi"/>
          <w:sz w:val="24"/>
          <w:szCs w:val="24"/>
          <w:lang w:eastAsia="it-IT"/>
        </w:rPr>
      </w:pPr>
      <w:r w:rsidRPr="00C30141">
        <w:rPr>
          <w:rFonts w:ascii="Cambria Math" w:hAnsi="Cambria Math" w:cs="Cambria Math"/>
          <w:sz w:val="24"/>
          <w:szCs w:val="24"/>
          <w:lang w:eastAsia="it-IT"/>
        </w:rPr>
        <w:t>𝐶𝐼𝑁</w:t>
      </w:r>
      <w:r w:rsidRPr="00C30141">
        <w:rPr>
          <w:rFonts w:ascii="Cambria Math" w:hAnsi="Cambria Math" w:cs="Cambria Math"/>
          <w:sz w:val="24"/>
          <w:szCs w:val="24"/>
          <w:vertAlign w:val="subscript"/>
          <w:lang w:eastAsia="it-IT"/>
        </w:rPr>
        <w:t>𝑎</w:t>
      </w:r>
      <w:r>
        <w:rPr>
          <w:rFonts w:cstheme="minorHAnsi"/>
          <w:sz w:val="24"/>
          <w:szCs w:val="24"/>
          <w:lang w:eastAsia="it-IT"/>
        </w:rPr>
        <w:t xml:space="preserve"> </w:t>
      </w:r>
      <w:r w:rsidRPr="008C71BD">
        <w:rPr>
          <w:rFonts w:ascii="Corbel" w:hAnsi="Corbel" w:cstheme="minorHAnsi"/>
          <w:sz w:val="24"/>
          <w:szCs w:val="24"/>
          <w:lang w:eastAsia="it-IT"/>
        </w:rPr>
        <w:t>è il capitale investito netto riconosciuto a fini regolatori</w:t>
      </w:r>
    </w:p>
    <w:p w14:paraId="3433F04D" w14:textId="77777777" w:rsidR="00906F33" w:rsidRPr="008C71BD" w:rsidRDefault="00906F33" w:rsidP="00906F33">
      <w:pPr>
        <w:spacing w:line="276" w:lineRule="auto"/>
        <w:jc w:val="both"/>
        <w:rPr>
          <w:rFonts w:ascii="Corbel" w:hAnsi="Corbel" w:cstheme="minorHAnsi"/>
          <w:sz w:val="24"/>
          <w:szCs w:val="24"/>
          <w:lang w:eastAsia="it-IT"/>
        </w:rPr>
      </w:pPr>
      <w:r w:rsidRPr="00C30141">
        <w:rPr>
          <w:rFonts w:ascii="Cambria Math" w:hAnsi="Cambria Math" w:cs="Cambria Math"/>
          <w:sz w:val="24"/>
          <w:szCs w:val="24"/>
          <w:lang w:eastAsia="it-IT"/>
        </w:rPr>
        <w:t>𝐼𝑀𝑁</w:t>
      </w:r>
      <w:r w:rsidRPr="00C30141">
        <w:rPr>
          <w:rFonts w:ascii="Cambria Math" w:hAnsi="Cambria Math" w:cs="Cambria Math"/>
          <w:sz w:val="24"/>
          <w:szCs w:val="24"/>
          <w:vertAlign w:val="subscript"/>
          <w:lang w:eastAsia="it-IT"/>
        </w:rPr>
        <w:t>𝑎</w:t>
      </w:r>
      <w:r>
        <w:rPr>
          <w:rFonts w:cstheme="minorHAnsi"/>
          <w:sz w:val="24"/>
          <w:szCs w:val="24"/>
          <w:lang w:eastAsia="it-IT"/>
        </w:rPr>
        <w:t xml:space="preserve"> </w:t>
      </w:r>
      <w:r w:rsidRPr="008C71BD">
        <w:rPr>
          <w:rFonts w:ascii="Corbel" w:hAnsi="Corbel" w:cstheme="minorHAnsi"/>
          <w:sz w:val="24"/>
          <w:szCs w:val="24"/>
          <w:lang w:eastAsia="it-IT"/>
        </w:rPr>
        <w:t>sono le immobilizzazioni nette</w:t>
      </w:r>
    </w:p>
    <w:p w14:paraId="47969C81" w14:textId="77777777" w:rsidR="00906F33" w:rsidRDefault="00906F33" w:rsidP="00906F33">
      <w:pPr>
        <w:spacing w:line="276" w:lineRule="auto"/>
        <w:jc w:val="both"/>
        <w:rPr>
          <w:rFonts w:cstheme="minorHAnsi"/>
          <w:sz w:val="24"/>
          <w:szCs w:val="24"/>
          <w:lang w:eastAsia="it-IT"/>
        </w:rPr>
      </w:pPr>
      <w:r w:rsidRPr="00F958F1">
        <w:rPr>
          <w:rFonts w:ascii="Cambria Math" w:hAnsi="Cambria Math" w:cs="Cambria Math"/>
          <w:sz w:val="24"/>
          <w:szCs w:val="24"/>
          <w:lang w:eastAsia="it-IT"/>
        </w:rPr>
        <w:t>𝐶𝐶𝑁</w:t>
      </w:r>
      <w:r w:rsidRPr="00F958F1">
        <w:rPr>
          <w:rFonts w:ascii="Cambria Math" w:hAnsi="Cambria Math" w:cs="Cambria Math"/>
          <w:sz w:val="24"/>
          <w:szCs w:val="24"/>
          <w:vertAlign w:val="subscript"/>
          <w:lang w:eastAsia="it-IT"/>
        </w:rPr>
        <w:t>𝑎</w:t>
      </w:r>
      <w:r>
        <w:rPr>
          <w:rFonts w:cstheme="minorHAnsi"/>
          <w:sz w:val="24"/>
          <w:szCs w:val="24"/>
          <w:lang w:eastAsia="it-IT"/>
        </w:rPr>
        <w:t xml:space="preserve"> </w:t>
      </w:r>
      <w:r w:rsidRPr="008C71BD">
        <w:rPr>
          <w:rFonts w:ascii="Corbel" w:hAnsi="Corbel" w:cstheme="minorHAnsi"/>
          <w:sz w:val="24"/>
          <w:szCs w:val="24"/>
          <w:lang w:eastAsia="it-IT"/>
        </w:rPr>
        <w:t>è la quota a compensazione del capitale circolante netto</w:t>
      </w:r>
    </w:p>
    <w:p w14:paraId="77FED53B" w14:textId="77777777" w:rsidR="00906F33" w:rsidRPr="008C71BD" w:rsidRDefault="00906F33" w:rsidP="00906F33">
      <w:pPr>
        <w:spacing w:line="276" w:lineRule="auto"/>
        <w:jc w:val="both"/>
        <w:rPr>
          <w:rFonts w:ascii="Corbel" w:hAnsi="Corbel" w:cstheme="minorHAnsi"/>
          <w:sz w:val="24"/>
          <w:szCs w:val="24"/>
          <w:lang w:eastAsia="it-IT"/>
        </w:rPr>
      </w:pPr>
      <w:r w:rsidRPr="00C30141">
        <w:rPr>
          <w:rFonts w:ascii="Cambria Math" w:hAnsi="Cambria Math" w:cs="Cambria Math"/>
          <w:sz w:val="24"/>
          <w:szCs w:val="24"/>
          <w:lang w:eastAsia="it-IT"/>
        </w:rPr>
        <w:t>𝑃𝑅</w:t>
      </w:r>
      <w:r w:rsidRPr="00C30141">
        <w:rPr>
          <w:rFonts w:ascii="Cambria Math" w:hAnsi="Cambria Math" w:cs="Cambria Math"/>
          <w:sz w:val="24"/>
          <w:szCs w:val="24"/>
          <w:vertAlign w:val="subscript"/>
          <w:lang w:eastAsia="it-IT"/>
        </w:rPr>
        <w:t>𝑎</w:t>
      </w:r>
      <w:r w:rsidRPr="009A46C3">
        <w:rPr>
          <w:rFonts w:cstheme="minorHAnsi"/>
          <w:sz w:val="24"/>
          <w:szCs w:val="24"/>
          <w:lang w:eastAsia="it-IT"/>
        </w:rPr>
        <w:t xml:space="preserve"> </w:t>
      </w:r>
      <w:r w:rsidRPr="008C71BD">
        <w:rPr>
          <w:rFonts w:ascii="Corbel" w:hAnsi="Corbel" w:cstheme="minorHAnsi"/>
          <w:sz w:val="24"/>
          <w:szCs w:val="24"/>
          <w:lang w:eastAsia="it-IT"/>
        </w:rPr>
        <w:t>è il valore delle poste rettificative del capitale che includono forme alternative di finanziamento presenti nel bilancio dell’anno 201</w:t>
      </w:r>
      <w:r>
        <w:rPr>
          <w:rFonts w:ascii="Corbel" w:hAnsi="Corbel" w:cstheme="minorHAnsi"/>
          <w:sz w:val="24"/>
          <w:szCs w:val="24"/>
          <w:lang w:eastAsia="it-IT"/>
        </w:rPr>
        <w:t>9</w:t>
      </w:r>
      <w:r w:rsidRPr="008C71BD">
        <w:rPr>
          <w:rFonts w:ascii="Corbel" w:hAnsi="Corbel" w:cstheme="minorHAnsi"/>
          <w:sz w:val="24"/>
          <w:szCs w:val="24"/>
          <w:lang w:eastAsia="it-IT"/>
        </w:rPr>
        <w:t>; in particolare il valore dei fondi per il trattamento di fine rapporto, incluso il fondo di trattamento di fine mandato degli amministratori, nonché i fondi rischi e oneri ed eventuali fondi per il ripristino beni di terzi.</w:t>
      </w:r>
    </w:p>
    <w:p w14:paraId="06472682" w14:textId="77777777" w:rsidR="00906F33" w:rsidRPr="008C71BD" w:rsidRDefault="00906F33" w:rsidP="00906F33">
      <w:pPr>
        <w:spacing w:line="276" w:lineRule="auto"/>
        <w:jc w:val="both"/>
        <w:rPr>
          <w:rFonts w:ascii="Corbel" w:hAnsi="Corbel" w:cstheme="minorHAnsi"/>
          <w:sz w:val="24"/>
          <w:szCs w:val="24"/>
          <w:lang w:eastAsia="it-IT"/>
        </w:rPr>
      </w:pPr>
    </w:p>
    <w:p w14:paraId="729CF641" w14:textId="77777777" w:rsidR="00906F33" w:rsidRPr="008C71BD" w:rsidRDefault="00906F33" w:rsidP="00906F33">
      <w:pPr>
        <w:spacing w:line="276" w:lineRule="auto"/>
        <w:jc w:val="both"/>
        <w:rPr>
          <w:rFonts w:ascii="Corbel" w:hAnsi="Corbel" w:cstheme="minorHAnsi"/>
          <w:i/>
          <w:iCs/>
          <w:sz w:val="24"/>
          <w:szCs w:val="24"/>
          <w:u w:val="single"/>
          <w:lang w:eastAsia="it-IT"/>
        </w:rPr>
      </w:pPr>
      <w:r w:rsidRPr="008C71BD">
        <w:rPr>
          <w:rFonts w:ascii="Corbel" w:hAnsi="Corbel" w:cstheme="minorHAnsi"/>
          <w:i/>
          <w:iCs/>
          <w:sz w:val="24"/>
          <w:szCs w:val="24"/>
          <w:u w:val="single"/>
          <w:lang w:eastAsia="it-IT"/>
        </w:rPr>
        <w:t>IMN</w:t>
      </w:r>
    </w:p>
    <w:p w14:paraId="0AA02230" w14:textId="77777777" w:rsidR="00906F33" w:rsidRPr="008C71BD" w:rsidRDefault="00906F33" w:rsidP="00906F33">
      <w:pPr>
        <w:spacing w:line="276" w:lineRule="auto"/>
        <w:jc w:val="both"/>
        <w:rPr>
          <w:rFonts w:ascii="Corbel" w:hAnsi="Corbel" w:cstheme="minorHAnsi"/>
          <w:sz w:val="24"/>
          <w:szCs w:val="24"/>
        </w:rPr>
      </w:pPr>
      <w:r w:rsidRPr="008C71BD">
        <w:rPr>
          <w:rFonts w:ascii="Corbel" w:hAnsi="Corbel" w:cstheme="minorHAnsi"/>
          <w:sz w:val="24"/>
          <w:szCs w:val="24"/>
          <w:lang w:eastAsia="it-IT"/>
        </w:rPr>
        <w:t xml:space="preserve">La componente IMN </w:t>
      </w:r>
      <w:r w:rsidRPr="008C71BD">
        <w:rPr>
          <w:rFonts w:ascii="Corbel" w:hAnsi="Corbel" w:cstheme="minorHAnsi"/>
          <w:sz w:val="24"/>
          <w:szCs w:val="24"/>
        </w:rPr>
        <w:t>comprende tutti i cespiti di proprietà dell’ente in esercizio al 31 dicembre 201</w:t>
      </w:r>
      <w:r>
        <w:rPr>
          <w:rFonts w:ascii="Corbel" w:hAnsi="Corbel" w:cstheme="minorHAnsi"/>
          <w:sz w:val="24"/>
          <w:szCs w:val="24"/>
        </w:rPr>
        <w:t>9</w:t>
      </w:r>
      <w:r w:rsidRPr="008C71BD">
        <w:rPr>
          <w:rFonts w:ascii="Corbel" w:hAnsi="Corbel" w:cstheme="minorHAnsi"/>
          <w:sz w:val="24"/>
          <w:szCs w:val="24"/>
        </w:rPr>
        <w:t xml:space="preserve"> per i quali il fondo di ammortamento non abbia già coperto il valore lordo degli stessi.</w:t>
      </w:r>
    </w:p>
    <w:p w14:paraId="3C4C479B" w14:textId="77777777" w:rsidR="00906F33" w:rsidRPr="008C71BD" w:rsidRDefault="00906F33" w:rsidP="00906F33">
      <w:pPr>
        <w:spacing w:line="276" w:lineRule="auto"/>
        <w:jc w:val="both"/>
        <w:rPr>
          <w:rFonts w:ascii="Corbel" w:hAnsi="Corbel" w:cstheme="minorHAnsi"/>
          <w:sz w:val="24"/>
          <w:szCs w:val="24"/>
        </w:rPr>
      </w:pPr>
      <w:r w:rsidRPr="008C71BD">
        <w:rPr>
          <w:rFonts w:ascii="Corbel" w:hAnsi="Corbel" w:cstheme="minorHAnsi"/>
          <w:sz w:val="24"/>
          <w:szCs w:val="24"/>
        </w:rPr>
        <w:t xml:space="preserve">Sono da considerare sia i cespiti specifici, desumibili dalla classificazione riportata nella delibera ARERA </w:t>
      </w:r>
      <w:r>
        <w:rPr>
          <w:rFonts w:ascii="Corbel" w:hAnsi="Corbel" w:cstheme="minorHAnsi"/>
          <w:sz w:val="24"/>
          <w:szCs w:val="24"/>
        </w:rPr>
        <w:t>Articolo</w:t>
      </w:r>
      <w:r w:rsidRPr="008C71BD">
        <w:rPr>
          <w:rFonts w:ascii="Corbel" w:hAnsi="Corbel" w:cstheme="minorHAnsi"/>
          <w:sz w:val="24"/>
          <w:szCs w:val="24"/>
        </w:rPr>
        <w:t xml:space="preserve"> 13.2, sia i cespiti comuni quali ad esempio sistemi informativi, telecontrollo, autoveicoli.</w:t>
      </w:r>
    </w:p>
    <w:p w14:paraId="5563D9AD" w14:textId="77777777" w:rsidR="00906F33" w:rsidRPr="008C71BD" w:rsidRDefault="00906F33" w:rsidP="00906F33">
      <w:pPr>
        <w:spacing w:line="276" w:lineRule="auto"/>
        <w:jc w:val="both"/>
        <w:rPr>
          <w:rFonts w:ascii="Corbel" w:hAnsi="Corbel" w:cstheme="minorHAnsi"/>
          <w:sz w:val="24"/>
          <w:szCs w:val="24"/>
          <w:lang w:eastAsia="it-IT"/>
        </w:rPr>
      </w:pPr>
      <w:r w:rsidRPr="008C71BD">
        <w:rPr>
          <w:rFonts w:ascii="Corbel" w:hAnsi="Corbel" w:cstheme="minorHAnsi"/>
          <w:sz w:val="24"/>
          <w:szCs w:val="24"/>
          <w:lang w:eastAsia="it-IT"/>
        </w:rPr>
        <w:t>Questa grandezza viene utilizzata nelle formule della determinazione degli ammortamenti (</w:t>
      </w:r>
      <w:r w:rsidRPr="008C71BD">
        <w:rPr>
          <w:rFonts w:ascii="Cambria Math" w:hAnsi="Cambria Math" w:cs="Cambria Math"/>
          <w:sz w:val="24"/>
          <w:szCs w:val="24"/>
        </w:rPr>
        <w:t>𝐴𝑚𝑚</w:t>
      </w:r>
      <w:r w:rsidRPr="008C71BD">
        <w:rPr>
          <w:rFonts w:ascii="Corbel" w:hAnsi="Corbel" w:cstheme="minorHAnsi"/>
          <w:sz w:val="24"/>
          <w:szCs w:val="24"/>
          <w:lang w:eastAsia="it-IT"/>
        </w:rPr>
        <w:t>) e nella determinazione della remunerazione del capitale (</w:t>
      </w:r>
      <w:r w:rsidRPr="008C71BD">
        <w:rPr>
          <w:rFonts w:ascii="Cambria Math" w:hAnsi="Cambria Math" w:cs="Cambria Math"/>
          <w:sz w:val="24"/>
          <w:szCs w:val="24"/>
        </w:rPr>
        <w:t>𝑅</w:t>
      </w:r>
      <w:r w:rsidRPr="008C71BD">
        <w:rPr>
          <w:rFonts w:ascii="Corbel" w:hAnsi="Corbel" w:cstheme="minorHAnsi"/>
          <w:sz w:val="24"/>
          <w:szCs w:val="24"/>
          <w:lang w:eastAsia="it-IT"/>
        </w:rPr>
        <w:t>).</w:t>
      </w:r>
    </w:p>
    <w:p w14:paraId="72A2AFEA" w14:textId="77777777" w:rsidR="00906F33" w:rsidRPr="008C71BD" w:rsidRDefault="00906F33" w:rsidP="00906F33">
      <w:pPr>
        <w:spacing w:line="276" w:lineRule="auto"/>
        <w:jc w:val="both"/>
        <w:rPr>
          <w:rFonts w:ascii="Corbel" w:hAnsi="Corbel" w:cstheme="minorHAnsi"/>
          <w:sz w:val="24"/>
          <w:szCs w:val="24"/>
          <w:lang w:eastAsia="it-IT"/>
        </w:rPr>
      </w:pPr>
    </w:p>
    <w:p w14:paraId="66439DB0" w14:textId="77777777" w:rsidR="00906F33" w:rsidRPr="008C71BD" w:rsidRDefault="00906F33" w:rsidP="00906F33">
      <w:pPr>
        <w:spacing w:line="276" w:lineRule="auto"/>
        <w:jc w:val="both"/>
        <w:rPr>
          <w:rFonts w:ascii="Corbel" w:hAnsi="Corbel" w:cstheme="minorHAnsi"/>
          <w:sz w:val="24"/>
          <w:szCs w:val="24"/>
          <w:lang w:eastAsia="it-IT"/>
        </w:rPr>
      </w:pPr>
      <w:r w:rsidRPr="008C71BD">
        <w:rPr>
          <w:rFonts w:ascii="Corbel" w:hAnsi="Corbel" w:cstheme="minorHAnsi"/>
          <w:sz w:val="24"/>
          <w:szCs w:val="24"/>
          <w:lang w:eastAsia="it-IT"/>
        </w:rPr>
        <w:t>Il valore complessivo delle immobilizzazioni (</w:t>
      </w:r>
      <w:proofErr w:type="spellStart"/>
      <w:r w:rsidRPr="008C71BD">
        <w:rPr>
          <w:rFonts w:ascii="Corbel" w:hAnsi="Corbel" w:cstheme="minorHAnsi"/>
          <w:sz w:val="24"/>
          <w:szCs w:val="24"/>
          <w:lang w:eastAsia="it-IT"/>
        </w:rPr>
        <w:t>IMN</w:t>
      </w:r>
      <w:r w:rsidRPr="008C71BD">
        <w:rPr>
          <w:rFonts w:ascii="Corbel" w:hAnsi="Corbel" w:cstheme="minorHAnsi"/>
          <w:sz w:val="24"/>
          <w:szCs w:val="24"/>
          <w:vertAlign w:val="subscript"/>
          <w:lang w:eastAsia="it-IT"/>
        </w:rPr>
        <w:t>a</w:t>
      </w:r>
      <w:proofErr w:type="spellEnd"/>
      <w:r w:rsidRPr="008C71BD">
        <w:rPr>
          <w:rFonts w:ascii="Corbel" w:hAnsi="Corbel" w:cstheme="minorHAnsi"/>
          <w:sz w:val="24"/>
          <w:szCs w:val="24"/>
          <w:lang w:eastAsia="it-IT"/>
        </w:rPr>
        <w:t>) è quindi determinato dalla sommatoria dei valori residui (valore di iscrizione – fondo ammortamento) di ogni singolo cespite, ognuno dei quali rettificato dal deflatore in base all’anno di acquisizione</w:t>
      </w:r>
      <w:r>
        <w:rPr>
          <w:rFonts w:ascii="Corbel" w:hAnsi="Corbel" w:cstheme="minorHAnsi"/>
          <w:sz w:val="24"/>
          <w:szCs w:val="24"/>
          <w:lang w:eastAsia="it-IT"/>
        </w:rPr>
        <w:t xml:space="preserve"> e da eventuali contributi in conto capitale.</w:t>
      </w:r>
    </w:p>
    <w:p w14:paraId="4B05688A" w14:textId="77777777" w:rsidR="00906F33" w:rsidRPr="008C71BD" w:rsidRDefault="00906F33" w:rsidP="00906F33">
      <w:pPr>
        <w:spacing w:line="276" w:lineRule="auto"/>
        <w:jc w:val="both"/>
        <w:rPr>
          <w:rFonts w:ascii="Corbel" w:hAnsi="Corbel" w:cstheme="minorHAnsi"/>
          <w:sz w:val="24"/>
          <w:szCs w:val="24"/>
          <w:lang w:eastAsia="it-IT"/>
        </w:rPr>
      </w:pPr>
      <w:r w:rsidRPr="008C71BD">
        <w:rPr>
          <w:rFonts w:ascii="Corbel" w:hAnsi="Corbel" w:cstheme="minorHAnsi"/>
          <w:sz w:val="24"/>
          <w:szCs w:val="24"/>
          <w:lang w:eastAsia="it-IT"/>
        </w:rPr>
        <w:t>I dettagli dei beni presi in esame e le risultanze dei calcoli sono rappresentat</w:t>
      </w:r>
      <w:r w:rsidRPr="003B1697">
        <w:rPr>
          <w:rFonts w:ascii="Corbel" w:hAnsi="Corbel" w:cstheme="minorHAnsi"/>
          <w:sz w:val="24"/>
          <w:szCs w:val="24"/>
          <w:lang w:eastAsia="it-IT"/>
        </w:rPr>
        <w:t>i nell’Allegato A.</w:t>
      </w:r>
    </w:p>
    <w:p w14:paraId="29885CC9" w14:textId="77777777" w:rsidR="00906F33" w:rsidRDefault="00906F33" w:rsidP="00906F33">
      <w:pPr>
        <w:spacing w:line="276" w:lineRule="auto"/>
        <w:jc w:val="both"/>
        <w:rPr>
          <w:rFonts w:ascii="Corbel" w:hAnsi="Corbel" w:cstheme="minorHAnsi"/>
          <w:sz w:val="24"/>
          <w:szCs w:val="24"/>
          <w:lang w:eastAsia="it-IT"/>
        </w:rPr>
      </w:pPr>
      <w:r w:rsidRPr="008C71BD">
        <w:rPr>
          <w:rFonts w:ascii="Corbel" w:hAnsi="Corbel" w:cstheme="minorHAnsi"/>
          <w:sz w:val="24"/>
          <w:szCs w:val="24"/>
          <w:lang w:eastAsia="it-IT"/>
        </w:rPr>
        <w:t>Il valore così determinato è pari ad eur</w:t>
      </w:r>
      <w:r w:rsidRPr="00B52FE9">
        <w:rPr>
          <w:rFonts w:ascii="Corbel" w:hAnsi="Corbel" w:cstheme="minorHAnsi"/>
          <w:sz w:val="24"/>
          <w:szCs w:val="24"/>
          <w:lang w:eastAsia="it-IT"/>
        </w:rPr>
        <w:t xml:space="preserve">o </w:t>
      </w:r>
      <w:r>
        <w:rPr>
          <w:rFonts w:ascii="Corbel" w:hAnsi="Corbel" w:cstheme="minorHAnsi"/>
          <w:sz w:val="24"/>
          <w:szCs w:val="24"/>
          <w:lang w:eastAsia="it-IT"/>
        </w:rPr>
        <w:t>23.855,17 di cui euro 22.297,60 relative ad investimenti effettuati successivamente al 31/12/2017.</w:t>
      </w:r>
    </w:p>
    <w:p w14:paraId="6F5C5F03" w14:textId="77777777" w:rsidR="00906F33" w:rsidRPr="008C71BD" w:rsidRDefault="00906F33" w:rsidP="00906F33">
      <w:pPr>
        <w:spacing w:line="276" w:lineRule="auto"/>
        <w:jc w:val="both"/>
        <w:rPr>
          <w:rFonts w:ascii="Corbel" w:hAnsi="Corbel" w:cstheme="minorHAnsi"/>
          <w:sz w:val="24"/>
          <w:szCs w:val="24"/>
          <w:lang w:eastAsia="it-IT"/>
        </w:rPr>
      </w:pPr>
    </w:p>
    <w:p w14:paraId="45B5E7AE" w14:textId="77777777" w:rsidR="00906F33" w:rsidRPr="008C71BD" w:rsidRDefault="00906F33" w:rsidP="00906F33">
      <w:pPr>
        <w:spacing w:line="276" w:lineRule="auto"/>
        <w:jc w:val="both"/>
        <w:rPr>
          <w:rFonts w:ascii="Corbel" w:hAnsi="Corbel" w:cstheme="minorHAnsi"/>
          <w:i/>
          <w:iCs/>
          <w:sz w:val="24"/>
          <w:szCs w:val="24"/>
          <w:u w:val="single"/>
          <w:lang w:eastAsia="it-IT"/>
        </w:rPr>
      </w:pPr>
      <w:r w:rsidRPr="008C71BD">
        <w:rPr>
          <w:rFonts w:ascii="Corbel" w:hAnsi="Corbel" w:cstheme="minorHAnsi"/>
          <w:i/>
          <w:iCs/>
          <w:sz w:val="24"/>
          <w:szCs w:val="24"/>
          <w:u w:val="single"/>
          <w:lang w:eastAsia="it-IT"/>
        </w:rPr>
        <w:t>CCN</w:t>
      </w:r>
    </w:p>
    <w:p w14:paraId="6E85E622" w14:textId="77777777" w:rsidR="00906F33" w:rsidRPr="008C71BD" w:rsidRDefault="00906F33" w:rsidP="00906F33">
      <w:pPr>
        <w:spacing w:line="276" w:lineRule="auto"/>
        <w:jc w:val="both"/>
        <w:rPr>
          <w:rFonts w:ascii="Corbel" w:hAnsi="Corbel" w:cstheme="minorHAnsi"/>
          <w:sz w:val="24"/>
          <w:szCs w:val="24"/>
          <w:lang w:eastAsia="it-IT"/>
        </w:rPr>
      </w:pPr>
      <w:r w:rsidRPr="008C71BD">
        <w:rPr>
          <w:rFonts w:ascii="Corbel" w:hAnsi="Corbel" w:cstheme="minorHAnsi"/>
          <w:sz w:val="24"/>
          <w:szCs w:val="24"/>
          <w:lang w:eastAsia="it-IT"/>
        </w:rPr>
        <w:t xml:space="preserve">La quota di compensazione del capitale circolante netto, relativamente al ciclo integrato dei rifiuti, prende in considerazione la differenza tra i ricavi </w:t>
      </w:r>
      <w:r>
        <w:rPr>
          <w:rFonts w:ascii="Corbel" w:hAnsi="Corbel" w:cstheme="minorHAnsi"/>
          <w:sz w:val="24"/>
          <w:szCs w:val="24"/>
          <w:lang w:eastAsia="it-IT"/>
        </w:rPr>
        <w:t>delle vendite e delle prestazioni</w:t>
      </w:r>
      <w:r w:rsidRPr="008C71BD">
        <w:rPr>
          <w:rFonts w:ascii="Corbel" w:hAnsi="Corbel" w:cstheme="minorHAnsi"/>
          <w:sz w:val="24"/>
          <w:szCs w:val="24"/>
          <w:lang w:eastAsia="it-IT"/>
        </w:rPr>
        <w:t xml:space="preserve"> ed i costi per materie prime e servizi.</w:t>
      </w:r>
      <w:r>
        <w:rPr>
          <w:rFonts w:ascii="Corbel" w:hAnsi="Corbel" w:cstheme="minorHAnsi"/>
          <w:sz w:val="24"/>
          <w:szCs w:val="24"/>
          <w:lang w:eastAsia="it-IT"/>
        </w:rPr>
        <w:t xml:space="preserve"> In considerazione del fatto che il Comune non realizza tale attività, la componente è azzerata.</w:t>
      </w:r>
    </w:p>
    <w:p w14:paraId="21DAA415" w14:textId="77777777" w:rsidR="00906F33" w:rsidRPr="008C71BD" w:rsidRDefault="00906F33" w:rsidP="00906F33">
      <w:pPr>
        <w:spacing w:line="276" w:lineRule="auto"/>
        <w:jc w:val="both"/>
        <w:rPr>
          <w:rFonts w:ascii="Corbel" w:hAnsi="Corbel" w:cstheme="minorHAnsi"/>
          <w:sz w:val="24"/>
          <w:szCs w:val="24"/>
        </w:rPr>
      </w:pPr>
    </w:p>
    <w:p w14:paraId="5BD58BAD" w14:textId="77777777" w:rsidR="00906F33" w:rsidRPr="008C71BD" w:rsidRDefault="00906F33" w:rsidP="00906F33">
      <w:pPr>
        <w:spacing w:line="276" w:lineRule="auto"/>
        <w:jc w:val="both"/>
        <w:rPr>
          <w:rFonts w:ascii="Corbel" w:hAnsi="Corbel" w:cstheme="minorHAnsi"/>
          <w:i/>
          <w:iCs/>
          <w:sz w:val="24"/>
          <w:szCs w:val="24"/>
          <w:u w:val="single"/>
        </w:rPr>
      </w:pPr>
      <w:r w:rsidRPr="008C71BD">
        <w:rPr>
          <w:rFonts w:ascii="Corbel" w:hAnsi="Corbel" w:cstheme="minorHAnsi"/>
          <w:i/>
          <w:iCs/>
          <w:sz w:val="24"/>
          <w:szCs w:val="24"/>
          <w:u w:val="single"/>
        </w:rPr>
        <w:t>PR</w:t>
      </w:r>
    </w:p>
    <w:p w14:paraId="2A5C41B8" w14:textId="77777777" w:rsidR="00906F33" w:rsidRPr="008C71BD" w:rsidRDefault="00906F33" w:rsidP="00906F33">
      <w:pPr>
        <w:spacing w:line="276" w:lineRule="auto"/>
        <w:jc w:val="both"/>
        <w:rPr>
          <w:rFonts w:ascii="Corbel" w:hAnsi="Corbel" w:cstheme="minorHAnsi"/>
          <w:sz w:val="24"/>
          <w:szCs w:val="24"/>
        </w:rPr>
      </w:pPr>
      <w:r w:rsidRPr="008C71BD">
        <w:rPr>
          <w:rFonts w:ascii="Corbel" w:hAnsi="Corbel" w:cstheme="minorHAnsi"/>
          <w:sz w:val="24"/>
          <w:szCs w:val="24"/>
        </w:rPr>
        <w:t>Le poste dello stato patrimoniale 31/12/201</w:t>
      </w:r>
      <w:r>
        <w:rPr>
          <w:rFonts w:ascii="Corbel" w:hAnsi="Corbel" w:cstheme="minorHAnsi"/>
          <w:sz w:val="24"/>
          <w:szCs w:val="24"/>
        </w:rPr>
        <w:t>9</w:t>
      </w:r>
      <w:r w:rsidRPr="008C71BD">
        <w:rPr>
          <w:rFonts w:ascii="Corbel" w:hAnsi="Corbel" w:cstheme="minorHAnsi"/>
          <w:sz w:val="24"/>
          <w:szCs w:val="24"/>
        </w:rPr>
        <w:t xml:space="preserve"> considerate</w:t>
      </w:r>
      <w:r>
        <w:rPr>
          <w:rFonts w:ascii="Corbel" w:hAnsi="Corbel" w:cstheme="minorHAnsi"/>
          <w:sz w:val="24"/>
          <w:szCs w:val="24"/>
        </w:rPr>
        <w:t xml:space="preserve">, </w:t>
      </w:r>
      <w:r w:rsidRPr="008C71BD">
        <w:rPr>
          <w:rFonts w:ascii="Corbel" w:hAnsi="Corbel" w:cstheme="minorHAnsi"/>
          <w:sz w:val="24"/>
          <w:szCs w:val="24"/>
        </w:rPr>
        <w:t>B</w:t>
      </w:r>
      <w:r>
        <w:rPr>
          <w:rFonts w:ascii="Corbel" w:hAnsi="Corbel" w:cstheme="minorHAnsi"/>
          <w:sz w:val="24"/>
          <w:szCs w:val="24"/>
        </w:rPr>
        <w:t>1</w:t>
      </w:r>
      <w:r w:rsidRPr="008C71BD">
        <w:rPr>
          <w:rFonts w:ascii="Corbel" w:hAnsi="Corbel" w:cstheme="minorHAnsi"/>
          <w:sz w:val="24"/>
          <w:szCs w:val="24"/>
        </w:rPr>
        <w:t xml:space="preserve">) </w:t>
      </w:r>
      <w:r>
        <w:rPr>
          <w:rFonts w:ascii="Corbel" w:hAnsi="Corbel" w:cstheme="minorHAnsi"/>
          <w:sz w:val="24"/>
          <w:szCs w:val="24"/>
        </w:rPr>
        <w:t xml:space="preserve">Per trattamenti di quiescenza, </w:t>
      </w:r>
      <w:r w:rsidRPr="008C71BD">
        <w:rPr>
          <w:rFonts w:ascii="Corbel" w:hAnsi="Corbel" w:cstheme="minorHAnsi"/>
          <w:sz w:val="24"/>
          <w:szCs w:val="24"/>
        </w:rPr>
        <w:t>B</w:t>
      </w:r>
      <w:r>
        <w:rPr>
          <w:rFonts w:ascii="Corbel" w:hAnsi="Corbel" w:cstheme="minorHAnsi"/>
          <w:sz w:val="24"/>
          <w:szCs w:val="24"/>
        </w:rPr>
        <w:t>2</w:t>
      </w:r>
      <w:r w:rsidRPr="008C71BD">
        <w:rPr>
          <w:rFonts w:ascii="Corbel" w:hAnsi="Corbel" w:cstheme="minorHAnsi"/>
          <w:sz w:val="24"/>
          <w:szCs w:val="24"/>
        </w:rPr>
        <w:t xml:space="preserve">) </w:t>
      </w:r>
      <w:r>
        <w:rPr>
          <w:rFonts w:ascii="Corbel" w:hAnsi="Corbel" w:cstheme="minorHAnsi"/>
          <w:sz w:val="24"/>
          <w:szCs w:val="24"/>
        </w:rPr>
        <w:t xml:space="preserve">Per imposte, </w:t>
      </w:r>
      <w:r w:rsidRPr="008C71BD">
        <w:rPr>
          <w:rFonts w:ascii="Corbel" w:hAnsi="Corbel" w:cstheme="minorHAnsi"/>
          <w:sz w:val="24"/>
          <w:szCs w:val="24"/>
        </w:rPr>
        <w:t>B</w:t>
      </w:r>
      <w:r>
        <w:rPr>
          <w:rFonts w:ascii="Corbel" w:hAnsi="Corbel" w:cstheme="minorHAnsi"/>
          <w:sz w:val="24"/>
          <w:szCs w:val="24"/>
        </w:rPr>
        <w:t>3</w:t>
      </w:r>
      <w:r w:rsidRPr="008C71BD">
        <w:rPr>
          <w:rFonts w:ascii="Corbel" w:hAnsi="Corbel" w:cstheme="minorHAnsi"/>
          <w:sz w:val="24"/>
          <w:szCs w:val="24"/>
        </w:rPr>
        <w:t>) Altri</w:t>
      </w:r>
      <w:r>
        <w:rPr>
          <w:rFonts w:ascii="Corbel" w:hAnsi="Corbel" w:cstheme="minorHAnsi"/>
          <w:sz w:val="24"/>
          <w:szCs w:val="24"/>
        </w:rPr>
        <w:t xml:space="preserve">, </w:t>
      </w:r>
      <w:r w:rsidRPr="008C71BD">
        <w:rPr>
          <w:rFonts w:ascii="Corbel" w:hAnsi="Corbel" w:cstheme="minorHAnsi"/>
          <w:sz w:val="24"/>
          <w:szCs w:val="24"/>
        </w:rPr>
        <w:t>C) Trattamento di fine rapporto</w:t>
      </w:r>
      <w:r>
        <w:rPr>
          <w:rFonts w:ascii="Corbel" w:hAnsi="Corbel" w:cstheme="minorHAnsi"/>
          <w:sz w:val="24"/>
          <w:szCs w:val="24"/>
        </w:rPr>
        <w:t>, sono pari ad euro 0,00</w:t>
      </w:r>
    </w:p>
    <w:p w14:paraId="3051E977" w14:textId="77777777" w:rsidR="00906F33" w:rsidRPr="00D551A4" w:rsidRDefault="00906F33" w:rsidP="00906F33">
      <w:pPr>
        <w:spacing w:line="276" w:lineRule="auto"/>
        <w:jc w:val="both"/>
        <w:rPr>
          <w:rFonts w:ascii="Corbel" w:hAnsi="Corbel" w:cstheme="minorHAnsi"/>
          <w:sz w:val="24"/>
          <w:szCs w:val="24"/>
        </w:rPr>
      </w:pPr>
    </w:p>
    <w:p w14:paraId="517647DB" w14:textId="77777777" w:rsidR="00906F33" w:rsidRPr="00D551A4" w:rsidRDefault="00906F33" w:rsidP="00906F33">
      <w:pPr>
        <w:spacing w:line="276" w:lineRule="auto"/>
        <w:jc w:val="both"/>
        <w:rPr>
          <w:rFonts w:ascii="Corbel" w:hAnsi="Corbel" w:cstheme="minorHAnsi"/>
          <w:i/>
          <w:iCs/>
          <w:sz w:val="24"/>
          <w:szCs w:val="24"/>
          <w:u w:val="single"/>
        </w:rPr>
      </w:pPr>
      <w:r w:rsidRPr="00D551A4">
        <w:rPr>
          <w:rFonts w:ascii="Corbel" w:hAnsi="Corbel" w:cstheme="minorHAnsi"/>
          <w:i/>
          <w:iCs/>
          <w:sz w:val="24"/>
          <w:szCs w:val="24"/>
          <w:u w:val="single"/>
        </w:rPr>
        <w:t>CIN e R</w:t>
      </w:r>
    </w:p>
    <w:p w14:paraId="41AF7D4B" w14:textId="77777777" w:rsidR="00906F33" w:rsidRPr="00D551A4" w:rsidRDefault="00906F33" w:rsidP="00906F33">
      <w:pPr>
        <w:spacing w:line="276" w:lineRule="auto"/>
        <w:jc w:val="both"/>
        <w:rPr>
          <w:rFonts w:ascii="Corbel" w:hAnsi="Corbel" w:cstheme="minorHAnsi"/>
          <w:sz w:val="24"/>
          <w:szCs w:val="24"/>
        </w:rPr>
      </w:pPr>
      <w:r w:rsidRPr="00D551A4">
        <w:rPr>
          <w:rFonts w:ascii="Corbel" w:hAnsi="Corbel" w:cstheme="minorHAnsi"/>
          <w:sz w:val="24"/>
          <w:szCs w:val="24"/>
        </w:rPr>
        <w:t>Il capitale investito netto risulta pertanto</w:t>
      </w:r>
      <w:r>
        <w:rPr>
          <w:rFonts w:ascii="Corbel" w:hAnsi="Corbel" w:cstheme="minorHAnsi"/>
          <w:sz w:val="24"/>
          <w:szCs w:val="24"/>
        </w:rPr>
        <w:t xml:space="preserve"> pari alle sole immobilizzazioni</w:t>
      </w:r>
      <w:r w:rsidRPr="00D551A4">
        <w:rPr>
          <w:rFonts w:ascii="Corbel" w:hAnsi="Corbel" w:cstheme="minorHAnsi"/>
          <w:sz w:val="24"/>
          <w:szCs w:val="24"/>
        </w:rPr>
        <w:t>:</w:t>
      </w:r>
    </w:p>
    <w:p w14:paraId="04666CD5" w14:textId="77777777" w:rsidR="00906F33" w:rsidRPr="00D551A4" w:rsidRDefault="00906F33" w:rsidP="00906F33">
      <w:pPr>
        <w:spacing w:line="276" w:lineRule="auto"/>
        <w:jc w:val="both"/>
        <w:rPr>
          <w:rFonts w:ascii="Corbel" w:hAnsi="Corbel" w:cstheme="minorHAnsi"/>
          <w:sz w:val="24"/>
          <w:szCs w:val="24"/>
        </w:rPr>
      </w:pPr>
      <w:r w:rsidRPr="00D551A4">
        <w:rPr>
          <w:rFonts w:ascii="Corbel" w:hAnsi="Corbel" w:cstheme="minorHAnsi"/>
          <w:sz w:val="24"/>
          <w:szCs w:val="24"/>
        </w:rPr>
        <w:t>IMN (</w:t>
      </w:r>
      <w:r>
        <w:rPr>
          <w:rFonts w:ascii="Corbel" w:hAnsi="Corbel" w:cstheme="minorHAnsi"/>
          <w:sz w:val="24"/>
          <w:szCs w:val="24"/>
        </w:rPr>
        <w:t>23.855.17</w:t>
      </w:r>
      <w:r w:rsidRPr="00D551A4">
        <w:rPr>
          <w:rFonts w:ascii="Corbel" w:hAnsi="Corbel" w:cstheme="minorHAnsi"/>
          <w:sz w:val="24"/>
          <w:szCs w:val="24"/>
        </w:rPr>
        <w:t>) + CCN (</w:t>
      </w:r>
      <w:r>
        <w:rPr>
          <w:rFonts w:ascii="Corbel" w:hAnsi="Corbel" w:cstheme="minorHAnsi"/>
          <w:sz w:val="24"/>
          <w:szCs w:val="24"/>
        </w:rPr>
        <w:t>0,00</w:t>
      </w:r>
      <w:r w:rsidRPr="00D551A4">
        <w:rPr>
          <w:rFonts w:ascii="Corbel" w:hAnsi="Corbel" w:cstheme="minorHAnsi"/>
          <w:sz w:val="24"/>
          <w:szCs w:val="24"/>
        </w:rPr>
        <w:t>) – PR (</w:t>
      </w:r>
      <w:r>
        <w:rPr>
          <w:rFonts w:ascii="Corbel" w:hAnsi="Corbel" w:cstheme="minorHAnsi"/>
          <w:sz w:val="24"/>
          <w:szCs w:val="24"/>
        </w:rPr>
        <w:t>0,00</w:t>
      </w:r>
      <w:r w:rsidRPr="00D551A4">
        <w:rPr>
          <w:rFonts w:ascii="Corbel" w:hAnsi="Corbel" w:cstheme="minorHAnsi"/>
          <w:sz w:val="24"/>
          <w:szCs w:val="24"/>
        </w:rPr>
        <w:t xml:space="preserve">) = </w:t>
      </w:r>
      <w:r>
        <w:rPr>
          <w:rFonts w:ascii="Corbel" w:hAnsi="Corbel" w:cstheme="minorHAnsi"/>
          <w:sz w:val="24"/>
          <w:szCs w:val="24"/>
        </w:rPr>
        <w:t>23.855,17</w:t>
      </w:r>
    </w:p>
    <w:p w14:paraId="6869DEE6" w14:textId="77777777" w:rsidR="00906F33" w:rsidRPr="00D551A4" w:rsidRDefault="00906F33" w:rsidP="00906F33">
      <w:pPr>
        <w:spacing w:line="276" w:lineRule="auto"/>
        <w:jc w:val="both"/>
        <w:rPr>
          <w:rFonts w:ascii="Corbel" w:hAnsi="Corbel" w:cstheme="minorHAnsi"/>
          <w:sz w:val="24"/>
          <w:szCs w:val="24"/>
        </w:rPr>
      </w:pPr>
    </w:p>
    <w:p w14:paraId="40990E3F" w14:textId="77777777" w:rsidR="00906F33" w:rsidRPr="00D551A4" w:rsidRDefault="00906F33" w:rsidP="00906F33">
      <w:pPr>
        <w:spacing w:line="276" w:lineRule="auto"/>
        <w:jc w:val="both"/>
        <w:rPr>
          <w:rFonts w:ascii="Corbel" w:hAnsi="Corbel" w:cstheme="minorHAnsi"/>
          <w:sz w:val="24"/>
          <w:szCs w:val="24"/>
        </w:rPr>
      </w:pPr>
      <w:r w:rsidRPr="00D551A4">
        <w:rPr>
          <w:rFonts w:ascii="Corbel" w:hAnsi="Corbel" w:cstheme="minorHAnsi"/>
          <w:sz w:val="24"/>
          <w:szCs w:val="24"/>
        </w:rPr>
        <w:t>La remunerazione del capitale investito netto sarà quindi:</w:t>
      </w:r>
    </w:p>
    <w:p w14:paraId="4AC467EB" w14:textId="77777777" w:rsidR="00906F33" w:rsidRPr="00D551A4" w:rsidRDefault="00906F33" w:rsidP="00906F33">
      <w:pPr>
        <w:spacing w:line="276" w:lineRule="auto"/>
        <w:jc w:val="both"/>
        <w:rPr>
          <w:rFonts w:ascii="Corbel" w:hAnsi="Corbel" w:cstheme="minorHAnsi"/>
          <w:sz w:val="24"/>
          <w:szCs w:val="24"/>
        </w:rPr>
      </w:pPr>
      <w:r w:rsidRPr="00D551A4">
        <w:rPr>
          <w:rFonts w:ascii="Corbel" w:hAnsi="Corbel" w:cstheme="minorHAnsi"/>
          <w:sz w:val="24"/>
          <w:szCs w:val="24"/>
        </w:rPr>
        <w:t>[WACC (6,3%) * CIN (</w:t>
      </w:r>
      <w:r>
        <w:rPr>
          <w:rFonts w:ascii="Corbel" w:hAnsi="Corbel" w:cstheme="minorHAnsi"/>
          <w:sz w:val="24"/>
          <w:szCs w:val="24"/>
        </w:rPr>
        <w:t>23.855,17</w:t>
      </w:r>
      <w:r w:rsidRPr="00D551A4">
        <w:rPr>
          <w:rFonts w:ascii="Corbel" w:hAnsi="Corbel" w:cstheme="minorHAnsi"/>
          <w:sz w:val="24"/>
          <w:szCs w:val="24"/>
        </w:rPr>
        <w:t xml:space="preserve">)] + [1% * IMN </w:t>
      </w:r>
      <w:r w:rsidRPr="00D551A4">
        <w:rPr>
          <w:rFonts w:ascii="Corbel" w:hAnsi="Corbel" w:cstheme="minorHAnsi"/>
          <w:sz w:val="24"/>
          <w:szCs w:val="24"/>
          <w:vertAlign w:val="subscript"/>
        </w:rPr>
        <w:t>post 2017</w:t>
      </w:r>
      <w:r w:rsidRPr="00D551A4">
        <w:rPr>
          <w:rFonts w:ascii="Corbel" w:hAnsi="Corbel" w:cstheme="minorHAnsi"/>
          <w:sz w:val="24"/>
          <w:szCs w:val="24"/>
        </w:rPr>
        <w:t xml:space="preserve"> (</w:t>
      </w:r>
      <w:r>
        <w:rPr>
          <w:rFonts w:ascii="Corbel" w:hAnsi="Corbel" w:cstheme="minorHAnsi"/>
          <w:sz w:val="24"/>
          <w:szCs w:val="24"/>
        </w:rPr>
        <w:t>22.297,60</w:t>
      </w:r>
      <w:r w:rsidRPr="00D551A4">
        <w:rPr>
          <w:rFonts w:ascii="Corbel" w:hAnsi="Corbel" w:cstheme="minorHAnsi"/>
          <w:sz w:val="24"/>
          <w:szCs w:val="24"/>
        </w:rPr>
        <w:t xml:space="preserve">)] = </w:t>
      </w:r>
      <w:r>
        <w:rPr>
          <w:rFonts w:ascii="Corbel" w:hAnsi="Corbel" w:cstheme="minorHAnsi"/>
          <w:sz w:val="24"/>
          <w:szCs w:val="24"/>
        </w:rPr>
        <w:t>1.725,85</w:t>
      </w:r>
    </w:p>
    <w:p w14:paraId="6BD384D3" w14:textId="77777777" w:rsidR="00906F33" w:rsidRPr="00D551A4" w:rsidRDefault="00906F33" w:rsidP="00906F33">
      <w:pPr>
        <w:spacing w:line="276" w:lineRule="auto"/>
        <w:jc w:val="both"/>
        <w:rPr>
          <w:rFonts w:ascii="Corbel" w:hAnsi="Corbel" w:cstheme="minorHAnsi"/>
          <w:sz w:val="24"/>
          <w:szCs w:val="24"/>
        </w:rPr>
      </w:pPr>
    </w:p>
    <w:p w14:paraId="2C9B866B" w14:textId="77777777" w:rsidR="00906F33" w:rsidRPr="00CA10DE" w:rsidRDefault="00906F33" w:rsidP="00906F33">
      <w:pPr>
        <w:spacing w:line="276" w:lineRule="auto"/>
        <w:jc w:val="both"/>
        <w:rPr>
          <w:rFonts w:ascii="Corbel" w:hAnsi="Corbel" w:cstheme="minorHAnsi"/>
          <w:b/>
          <w:bCs/>
          <w:sz w:val="24"/>
          <w:szCs w:val="24"/>
          <w:u w:val="single"/>
          <w:lang w:eastAsia="it-IT"/>
        </w:rPr>
      </w:pPr>
      <w:r w:rsidRPr="00CA10DE">
        <w:rPr>
          <w:rFonts w:ascii="Corbel" w:hAnsi="Corbel" w:cstheme="minorHAnsi"/>
          <w:b/>
          <w:bCs/>
          <w:sz w:val="24"/>
          <w:szCs w:val="24"/>
          <w:u w:val="single"/>
          <w:lang w:eastAsia="it-IT"/>
        </w:rPr>
        <w:t>Remunerazione delle immobilizzazioni in corso</w:t>
      </w:r>
    </w:p>
    <w:p w14:paraId="5D5F9056" w14:textId="505B2174" w:rsidR="00906F33" w:rsidRPr="00D551A4" w:rsidRDefault="00906F33" w:rsidP="00906F33">
      <w:pPr>
        <w:spacing w:line="276" w:lineRule="auto"/>
        <w:jc w:val="both"/>
        <w:rPr>
          <w:rFonts w:ascii="Corbel" w:hAnsi="Corbel" w:cstheme="minorHAnsi"/>
          <w:sz w:val="24"/>
          <w:szCs w:val="24"/>
        </w:rPr>
      </w:pPr>
      <w:r w:rsidRPr="00E8218B">
        <w:rPr>
          <w:rFonts w:ascii="Corbel" w:hAnsi="Corbel" w:cstheme="minorHAnsi"/>
          <w:sz w:val="24"/>
          <w:szCs w:val="24"/>
        </w:rPr>
        <w:t>Il Comune non detiene all'interno del proprio patrimonio immobilizzazioni in corso destinat</w:t>
      </w:r>
      <w:r>
        <w:rPr>
          <w:rFonts w:ascii="Corbel" w:hAnsi="Corbel" w:cstheme="minorHAnsi"/>
          <w:sz w:val="24"/>
          <w:szCs w:val="24"/>
        </w:rPr>
        <w:t>e</w:t>
      </w:r>
      <w:r w:rsidRPr="00E8218B">
        <w:rPr>
          <w:rFonts w:ascii="Corbel" w:hAnsi="Corbel" w:cstheme="minorHAnsi"/>
          <w:sz w:val="24"/>
          <w:szCs w:val="24"/>
        </w:rPr>
        <w:t xml:space="preserve"> alle attività afferenti al ciclo integrato dei rifiuti.</w:t>
      </w:r>
    </w:p>
    <w:p w14:paraId="593D9A1C" w14:textId="77777777" w:rsidR="00906F33" w:rsidRPr="00D551A4" w:rsidRDefault="00906F33" w:rsidP="00906F33">
      <w:pPr>
        <w:spacing w:line="276" w:lineRule="auto"/>
        <w:jc w:val="both"/>
        <w:rPr>
          <w:rFonts w:ascii="Corbel" w:hAnsi="Corbel" w:cstheme="minorHAnsi"/>
          <w:b/>
          <w:sz w:val="24"/>
          <w:szCs w:val="24"/>
          <w:u w:val="single"/>
        </w:rPr>
      </w:pPr>
      <w:r w:rsidRPr="00D551A4">
        <w:rPr>
          <w:rFonts w:ascii="Corbel" w:hAnsi="Corbel" w:cstheme="minorHAnsi"/>
          <w:b/>
          <w:sz w:val="24"/>
          <w:szCs w:val="24"/>
          <w:u w:val="single"/>
        </w:rPr>
        <w:t>COSTI D’USO DEL CAPITALE (CK)</w:t>
      </w:r>
    </w:p>
    <w:p w14:paraId="2B4DF971" w14:textId="77777777" w:rsidR="00906F33" w:rsidRPr="00D551A4" w:rsidRDefault="00906F33" w:rsidP="00906F33">
      <w:pPr>
        <w:spacing w:line="276" w:lineRule="auto"/>
        <w:jc w:val="both"/>
        <w:rPr>
          <w:rFonts w:ascii="Corbel" w:hAnsi="Corbel" w:cstheme="minorHAnsi"/>
          <w:sz w:val="24"/>
          <w:szCs w:val="24"/>
        </w:rPr>
      </w:pPr>
      <w:r w:rsidRPr="00D551A4">
        <w:rPr>
          <w:rFonts w:ascii="Corbel" w:hAnsi="Corbel" w:cstheme="minorHAnsi"/>
          <w:sz w:val="24"/>
          <w:szCs w:val="24"/>
        </w:rPr>
        <w:t>Il costo d’uso del capitale è determinato dalla somma delle grandezze sopra riportate:</w:t>
      </w:r>
    </w:p>
    <w:p w14:paraId="696732A6" w14:textId="2E4ED5A6" w:rsidR="00906F33" w:rsidRPr="00D551A4" w:rsidRDefault="00906F33" w:rsidP="00906F33">
      <w:pPr>
        <w:spacing w:line="276" w:lineRule="auto"/>
        <w:jc w:val="both"/>
        <w:rPr>
          <w:rFonts w:ascii="Corbel" w:hAnsi="Corbel" w:cstheme="minorHAnsi"/>
          <w:sz w:val="24"/>
          <w:szCs w:val="24"/>
        </w:rPr>
      </w:pPr>
      <w:r w:rsidRPr="00D551A4">
        <w:rPr>
          <w:rFonts w:ascii="Corbel" w:hAnsi="Corbel" w:cstheme="minorHAnsi"/>
          <w:sz w:val="24"/>
          <w:szCs w:val="24"/>
        </w:rPr>
        <w:t>AMM (</w:t>
      </w:r>
      <w:r>
        <w:rPr>
          <w:rFonts w:ascii="Corbel" w:hAnsi="Corbel" w:cstheme="minorHAnsi"/>
          <w:sz w:val="24"/>
          <w:szCs w:val="24"/>
        </w:rPr>
        <w:t>€ 3.422,22</w:t>
      </w:r>
      <w:r w:rsidRPr="00D551A4">
        <w:rPr>
          <w:rFonts w:ascii="Corbel" w:hAnsi="Corbel" w:cstheme="minorHAnsi"/>
          <w:sz w:val="24"/>
          <w:szCs w:val="24"/>
        </w:rPr>
        <w:t>) + ACC (</w:t>
      </w:r>
      <w:r>
        <w:rPr>
          <w:rFonts w:ascii="Corbel" w:hAnsi="Corbel" w:cstheme="minorHAnsi"/>
          <w:sz w:val="24"/>
          <w:szCs w:val="24"/>
        </w:rPr>
        <w:t>€ 0,00</w:t>
      </w:r>
      <w:r w:rsidRPr="00D551A4">
        <w:rPr>
          <w:rFonts w:ascii="Corbel" w:hAnsi="Corbel" w:cstheme="minorHAnsi"/>
          <w:sz w:val="24"/>
          <w:szCs w:val="24"/>
        </w:rPr>
        <w:t>) + R (</w:t>
      </w:r>
      <w:r>
        <w:rPr>
          <w:rFonts w:ascii="Corbel" w:hAnsi="Corbel" w:cstheme="minorHAnsi"/>
          <w:sz w:val="24"/>
          <w:szCs w:val="24"/>
        </w:rPr>
        <w:t>€ 1.725,85</w:t>
      </w:r>
      <w:r w:rsidRPr="00D551A4">
        <w:rPr>
          <w:rFonts w:ascii="Corbel" w:hAnsi="Corbel" w:cstheme="minorHAnsi"/>
          <w:sz w:val="24"/>
          <w:szCs w:val="24"/>
        </w:rPr>
        <w:t>) + R</w:t>
      </w:r>
      <w:r w:rsidRPr="00D551A4">
        <w:rPr>
          <w:rFonts w:ascii="Corbel" w:hAnsi="Corbel" w:cstheme="minorHAnsi"/>
          <w:sz w:val="24"/>
          <w:szCs w:val="24"/>
          <w:vertAlign w:val="subscript"/>
        </w:rPr>
        <w:t>LIC</w:t>
      </w:r>
      <w:r w:rsidRPr="00D551A4">
        <w:rPr>
          <w:rFonts w:ascii="Corbel" w:hAnsi="Corbel" w:cstheme="minorHAnsi"/>
          <w:sz w:val="24"/>
          <w:szCs w:val="24"/>
        </w:rPr>
        <w:t xml:space="preserve"> (</w:t>
      </w:r>
      <w:r>
        <w:rPr>
          <w:rFonts w:ascii="Corbel" w:hAnsi="Corbel" w:cstheme="minorHAnsi"/>
          <w:sz w:val="24"/>
          <w:szCs w:val="24"/>
        </w:rPr>
        <w:t>€ 0,00</w:t>
      </w:r>
      <w:r w:rsidRPr="00D551A4">
        <w:rPr>
          <w:rFonts w:ascii="Corbel" w:hAnsi="Corbel" w:cstheme="minorHAnsi"/>
          <w:sz w:val="24"/>
          <w:szCs w:val="24"/>
        </w:rPr>
        <w:t xml:space="preserve">) = </w:t>
      </w:r>
      <w:r>
        <w:rPr>
          <w:rFonts w:ascii="Corbel" w:hAnsi="Corbel" w:cstheme="minorHAnsi"/>
          <w:sz w:val="24"/>
          <w:szCs w:val="24"/>
        </w:rPr>
        <w:t>€ 5.148,07</w:t>
      </w:r>
    </w:p>
    <w:p w14:paraId="651E5B23" w14:textId="77777777" w:rsidR="00F21CDD" w:rsidRDefault="00F21CDD" w:rsidP="004A7B3B">
      <w:pPr>
        <w:jc w:val="both"/>
        <w:rPr>
          <w:rFonts w:ascii="Corbel" w:hAnsi="Corbel"/>
          <w:color w:val="000000" w:themeColor="text1"/>
          <w:sz w:val="24"/>
          <w:szCs w:val="24"/>
          <w:lang w:eastAsia="it-IT"/>
        </w:rPr>
      </w:pPr>
    </w:p>
    <w:p w14:paraId="66B39CD9" w14:textId="5BD2791C" w:rsidR="006F7F1F" w:rsidRPr="006F7F1F" w:rsidRDefault="006F7F1F" w:rsidP="006F7F1F">
      <w:pPr>
        <w:pStyle w:val="Titolo4"/>
      </w:pPr>
      <w:r w:rsidRPr="006F7F1F">
        <w:t>2.1.2 Campagne ambientali e misure di prevenzione</w:t>
      </w:r>
    </w:p>
    <w:p w14:paraId="13952858" w14:textId="4A4F2DBC" w:rsidR="006F7F1F" w:rsidRDefault="006F7F1F" w:rsidP="006F7F1F">
      <w:pPr>
        <w:jc w:val="both"/>
        <w:rPr>
          <w:rFonts w:ascii="Corbel" w:hAnsi="Corbel"/>
          <w:sz w:val="24"/>
          <w:szCs w:val="24"/>
          <w:lang w:eastAsia="it-IT"/>
        </w:rPr>
      </w:pPr>
      <w:r w:rsidRPr="006F7F1F">
        <w:rPr>
          <w:rFonts w:ascii="Corbel" w:hAnsi="Corbel"/>
          <w:sz w:val="24"/>
          <w:szCs w:val="24"/>
          <w:lang w:eastAsia="it-IT"/>
        </w:rPr>
        <w:t>Il Comune non ha sostenuto nell’anno 201</w:t>
      </w:r>
      <w:r w:rsidR="00115197">
        <w:rPr>
          <w:rFonts w:ascii="Corbel" w:hAnsi="Corbel"/>
          <w:sz w:val="24"/>
          <w:szCs w:val="24"/>
          <w:lang w:eastAsia="it-IT"/>
        </w:rPr>
        <w:t>9</w:t>
      </w:r>
      <w:r w:rsidRPr="006F7F1F">
        <w:rPr>
          <w:rFonts w:ascii="Corbel" w:hAnsi="Corbel"/>
          <w:sz w:val="24"/>
          <w:szCs w:val="24"/>
          <w:lang w:eastAsia="it-IT"/>
        </w:rPr>
        <w:t xml:space="preserve"> oneri relativi all’attività di campagne ambientali e misure di prevenzione.</w:t>
      </w:r>
    </w:p>
    <w:p w14:paraId="46431435" w14:textId="166B20EE" w:rsidR="006F7F1F" w:rsidRDefault="006F7F1F" w:rsidP="006F7F1F">
      <w:pPr>
        <w:jc w:val="both"/>
        <w:rPr>
          <w:rFonts w:ascii="Corbel" w:hAnsi="Corbel"/>
          <w:sz w:val="24"/>
          <w:szCs w:val="24"/>
          <w:lang w:eastAsia="it-IT"/>
        </w:rPr>
      </w:pPr>
    </w:p>
    <w:p w14:paraId="3A6690B2" w14:textId="77777777" w:rsidR="006F7F1F" w:rsidRPr="00B205D5" w:rsidRDefault="006F7F1F" w:rsidP="006F7F1F">
      <w:pPr>
        <w:pStyle w:val="Titolo4"/>
      </w:pPr>
      <w:r w:rsidRPr="00B205D5">
        <w:t>2.1.3 Costi per il funzionamento dell’Ente Territorialmente Competente, di ARERA e altri oneri locali (</w:t>
      </w:r>
      <w:proofErr w:type="spellStart"/>
      <w:r w:rsidRPr="00B205D5">
        <w:t>COal</w:t>
      </w:r>
      <w:proofErr w:type="spellEnd"/>
      <w:r w:rsidRPr="00B205D5">
        <w:t>)</w:t>
      </w:r>
    </w:p>
    <w:p w14:paraId="4634936E" w14:textId="23297043" w:rsidR="00B205D5" w:rsidRDefault="00B205D5" w:rsidP="00B205D5">
      <w:pPr>
        <w:jc w:val="both"/>
        <w:rPr>
          <w:rFonts w:ascii="Corbel" w:hAnsi="Corbel"/>
          <w:sz w:val="24"/>
          <w:szCs w:val="24"/>
          <w:lang w:eastAsia="it-IT"/>
        </w:rPr>
      </w:pPr>
      <w:r>
        <w:rPr>
          <w:rFonts w:ascii="Corbel" w:hAnsi="Corbel"/>
          <w:sz w:val="24"/>
          <w:szCs w:val="24"/>
          <w:lang w:eastAsia="it-IT"/>
        </w:rPr>
        <w:t xml:space="preserve">Il Comune di </w:t>
      </w:r>
      <w:r w:rsidR="00095A51">
        <w:rPr>
          <w:rFonts w:ascii="Corbel" w:hAnsi="Corbel"/>
          <w:sz w:val="24"/>
          <w:szCs w:val="24"/>
          <w:lang w:eastAsia="it-IT"/>
        </w:rPr>
        <w:t xml:space="preserve">Montalto delle Marche </w:t>
      </w:r>
      <w:r>
        <w:rPr>
          <w:rFonts w:ascii="Corbel" w:hAnsi="Corbel"/>
          <w:sz w:val="24"/>
          <w:szCs w:val="24"/>
          <w:lang w:eastAsia="it-IT"/>
        </w:rPr>
        <w:t>ha sostenuto</w:t>
      </w:r>
      <w:r w:rsidR="00095A51">
        <w:rPr>
          <w:rFonts w:ascii="Corbel" w:hAnsi="Corbel"/>
          <w:sz w:val="24"/>
          <w:szCs w:val="24"/>
          <w:lang w:eastAsia="it-IT"/>
        </w:rPr>
        <w:t>,</w:t>
      </w:r>
      <w:r>
        <w:rPr>
          <w:rFonts w:ascii="Corbel" w:hAnsi="Corbel"/>
          <w:sz w:val="24"/>
          <w:szCs w:val="24"/>
          <w:lang w:eastAsia="it-IT"/>
        </w:rPr>
        <w:t xml:space="preserve"> nell’anno 2019</w:t>
      </w:r>
      <w:r w:rsidR="00095A51">
        <w:rPr>
          <w:rFonts w:ascii="Corbel" w:hAnsi="Corbel"/>
          <w:sz w:val="24"/>
          <w:szCs w:val="24"/>
          <w:lang w:eastAsia="it-IT"/>
        </w:rPr>
        <w:t>,</w:t>
      </w:r>
      <w:r>
        <w:rPr>
          <w:rFonts w:ascii="Corbel" w:hAnsi="Corbel"/>
          <w:sz w:val="24"/>
          <w:szCs w:val="24"/>
          <w:lang w:eastAsia="it-IT"/>
        </w:rPr>
        <w:t xml:space="preserve"> </w:t>
      </w:r>
      <w:r w:rsidR="00095A51">
        <w:rPr>
          <w:rFonts w:ascii="Corbel" w:hAnsi="Corbel"/>
          <w:sz w:val="24"/>
          <w:szCs w:val="24"/>
          <w:lang w:eastAsia="it-IT"/>
        </w:rPr>
        <w:t>l’</w:t>
      </w:r>
      <w:r>
        <w:rPr>
          <w:rFonts w:ascii="Corbel" w:hAnsi="Corbel"/>
          <w:sz w:val="24"/>
          <w:szCs w:val="24"/>
          <w:lang w:eastAsia="it-IT"/>
        </w:rPr>
        <w:t>onere relativo al funzionamento dell’Ente Territorialmente Competente</w:t>
      </w:r>
      <w:r w:rsidR="00095A51">
        <w:rPr>
          <w:rFonts w:ascii="Corbel" w:hAnsi="Corbel"/>
          <w:sz w:val="24"/>
          <w:szCs w:val="24"/>
          <w:lang w:eastAsia="it-IT"/>
        </w:rPr>
        <w:t>, come di seguito illustrato:</w:t>
      </w:r>
      <w:r>
        <w:rPr>
          <w:rFonts w:ascii="Corbel" w:hAnsi="Corbel"/>
          <w:sz w:val="24"/>
          <w:szCs w:val="24"/>
          <w:lang w:eastAsia="it-IT"/>
        </w:rPr>
        <w:t xml:space="preserve"> </w:t>
      </w:r>
    </w:p>
    <w:p w14:paraId="64B7B210" w14:textId="574F9C18" w:rsidR="00095A51" w:rsidRDefault="00095A51" w:rsidP="00B205D5">
      <w:pPr>
        <w:jc w:val="both"/>
        <w:rPr>
          <w:rFonts w:ascii="Corbel" w:hAnsi="Corbel"/>
          <w:sz w:val="24"/>
          <w:szCs w:val="24"/>
        </w:rPr>
      </w:pPr>
      <w:r w:rsidRPr="00095A51">
        <w:rPr>
          <w:noProof/>
          <w:lang w:eastAsia="it-IT"/>
        </w:rPr>
        <w:drawing>
          <wp:inline distT="0" distB="0" distL="0" distR="0" wp14:anchorId="7E48F6AF" wp14:editId="55346D3D">
            <wp:extent cx="5829300" cy="927100"/>
            <wp:effectExtent l="0" t="0" r="0" b="635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927100"/>
                    </a:xfrm>
                    <a:prstGeom prst="rect">
                      <a:avLst/>
                    </a:prstGeom>
                    <a:noFill/>
                    <a:ln>
                      <a:noFill/>
                    </a:ln>
                  </pic:spPr>
                </pic:pic>
              </a:graphicData>
            </a:graphic>
          </wp:inline>
        </w:drawing>
      </w:r>
    </w:p>
    <w:p w14:paraId="35AE3FAA" w14:textId="2192F70C" w:rsidR="00725E80" w:rsidRDefault="005B6162" w:rsidP="00F0689F">
      <w:pPr>
        <w:jc w:val="both"/>
        <w:rPr>
          <w:rFonts w:ascii="Corbel" w:hAnsi="Corbel"/>
          <w:sz w:val="24"/>
          <w:szCs w:val="24"/>
        </w:rPr>
      </w:pPr>
      <w:r>
        <w:rPr>
          <w:rFonts w:ascii="Corbel" w:hAnsi="Corbel"/>
          <w:sz w:val="24"/>
          <w:szCs w:val="24"/>
        </w:rPr>
        <w:t xml:space="preserve">Non si rilevano invece oneri relativi al funzionamento di ARERA né altri oneri locali. </w:t>
      </w:r>
    </w:p>
    <w:p w14:paraId="2D4623AC" w14:textId="77777777" w:rsidR="00F66B74" w:rsidRDefault="00F66B74" w:rsidP="00F0689F">
      <w:pPr>
        <w:jc w:val="both"/>
        <w:rPr>
          <w:rFonts w:ascii="Corbel" w:hAnsi="Corbel"/>
          <w:sz w:val="24"/>
          <w:szCs w:val="24"/>
        </w:rPr>
      </w:pPr>
    </w:p>
    <w:p w14:paraId="10D34D04" w14:textId="08405C5F" w:rsidR="005C1F95" w:rsidRPr="005C1F95" w:rsidRDefault="005C1F95" w:rsidP="005C1F95">
      <w:pPr>
        <w:pStyle w:val="Titolo4"/>
      </w:pPr>
      <w:r w:rsidRPr="00A14600">
        <w:t>2.1.4 Entrate ammesse a sgravio dei costi nel Piano Finanziario</w:t>
      </w:r>
    </w:p>
    <w:p w14:paraId="10FDFB6C" w14:textId="77777777" w:rsidR="00A14600" w:rsidRPr="00E93D02" w:rsidRDefault="00A14600" w:rsidP="00A14600">
      <w:pPr>
        <w:jc w:val="both"/>
        <w:rPr>
          <w:rFonts w:ascii="Corbel" w:hAnsi="Corbel"/>
          <w:sz w:val="24"/>
          <w:szCs w:val="24"/>
          <w:lang w:eastAsia="it-IT"/>
        </w:rPr>
      </w:pPr>
      <w:r w:rsidRPr="00E93D02">
        <w:rPr>
          <w:rFonts w:ascii="Corbel" w:hAnsi="Corbel"/>
          <w:sz w:val="24"/>
          <w:szCs w:val="24"/>
          <w:lang w:eastAsia="it-IT"/>
        </w:rPr>
        <w:t xml:space="preserve">Per quanto concerne i proventi ammessi a riconoscimento tariffario a scomputo dei costi individuati, </w:t>
      </w:r>
      <w:r>
        <w:rPr>
          <w:rFonts w:ascii="Corbel" w:hAnsi="Corbel"/>
          <w:sz w:val="24"/>
          <w:szCs w:val="24"/>
          <w:lang w:eastAsia="it-IT"/>
        </w:rPr>
        <w:t xml:space="preserve">occorre fare riferimento a </w:t>
      </w:r>
      <w:r w:rsidRPr="00E93D02">
        <w:rPr>
          <w:rFonts w:ascii="Corbel" w:hAnsi="Corbel"/>
          <w:sz w:val="24"/>
          <w:szCs w:val="24"/>
          <w:lang w:eastAsia="it-IT"/>
        </w:rPr>
        <w:t>quanto previsto dall’art. 1 – comma 1.4 della Determinazione ARERA n.02/DRIF/2020 che prevede espressamente quanto segue:</w:t>
      </w:r>
    </w:p>
    <w:p w14:paraId="7AA30DD0" w14:textId="77777777" w:rsidR="00A14600" w:rsidRPr="00932B10" w:rsidRDefault="00A14600" w:rsidP="00A14600">
      <w:pPr>
        <w:jc w:val="both"/>
        <w:rPr>
          <w:rFonts w:ascii="Corbel" w:hAnsi="Corbel"/>
          <w:i/>
          <w:iCs/>
          <w:sz w:val="24"/>
          <w:szCs w:val="24"/>
          <w:lang w:eastAsia="it-IT"/>
        </w:rPr>
      </w:pPr>
      <w:r w:rsidRPr="00E93D02">
        <w:rPr>
          <w:rFonts w:ascii="Corbel" w:hAnsi="Corbel"/>
          <w:sz w:val="24"/>
          <w:szCs w:val="24"/>
          <w:lang w:eastAsia="it-IT"/>
        </w:rPr>
        <w:t>“</w:t>
      </w:r>
      <w:r w:rsidRPr="00932B10">
        <w:rPr>
          <w:rFonts w:ascii="Corbel" w:hAnsi="Corbel"/>
          <w:i/>
          <w:iCs/>
          <w:sz w:val="24"/>
          <w:szCs w:val="24"/>
          <w:lang w:eastAsia="it-IT"/>
        </w:rPr>
        <w:t>Dal totale dei costi del PEF sono sottratte le seguenti entrate:</w:t>
      </w:r>
    </w:p>
    <w:p w14:paraId="5C55CB83" w14:textId="77777777" w:rsidR="00A14600" w:rsidRPr="00932B10" w:rsidRDefault="00A14600" w:rsidP="00A14600">
      <w:pPr>
        <w:jc w:val="both"/>
        <w:rPr>
          <w:rFonts w:ascii="Corbel" w:hAnsi="Corbel"/>
          <w:i/>
          <w:iCs/>
          <w:sz w:val="24"/>
          <w:szCs w:val="24"/>
          <w:lang w:eastAsia="it-IT"/>
        </w:rPr>
      </w:pPr>
      <w:r w:rsidRPr="00932B10">
        <w:rPr>
          <w:rFonts w:ascii="Corbel" w:hAnsi="Corbel"/>
          <w:i/>
          <w:iCs/>
          <w:sz w:val="24"/>
          <w:szCs w:val="24"/>
          <w:lang w:eastAsia="it-IT"/>
        </w:rPr>
        <w:t>a) il contributo del MIUR per le istituzioni scolastiche statali ai sensi dell’articolo 33 bis del decreto-legge 248/07;</w:t>
      </w:r>
    </w:p>
    <w:p w14:paraId="626D509B" w14:textId="77777777" w:rsidR="00A14600" w:rsidRPr="00932B10" w:rsidRDefault="00A14600" w:rsidP="00A14600">
      <w:pPr>
        <w:jc w:val="both"/>
        <w:rPr>
          <w:rFonts w:ascii="Corbel" w:hAnsi="Corbel"/>
          <w:i/>
          <w:iCs/>
          <w:sz w:val="24"/>
          <w:szCs w:val="24"/>
          <w:lang w:eastAsia="it-IT"/>
        </w:rPr>
      </w:pPr>
      <w:r w:rsidRPr="00932B10">
        <w:rPr>
          <w:rFonts w:ascii="Corbel" w:hAnsi="Corbel"/>
          <w:i/>
          <w:iCs/>
          <w:sz w:val="24"/>
          <w:szCs w:val="24"/>
          <w:lang w:eastAsia="it-IT"/>
        </w:rPr>
        <w:t>b) le entrate effettivamente conseguite a seguito dell’attività di recupero dell’evasione;</w:t>
      </w:r>
    </w:p>
    <w:p w14:paraId="16BA395B" w14:textId="77777777" w:rsidR="00A14600" w:rsidRPr="00932B10" w:rsidRDefault="00A14600" w:rsidP="00A14600">
      <w:pPr>
        <w:jc w:val="both"/>
        <w:rPr>
          <w:rFonts w:ascii="Corbel" w:hAnsi="Corbel"/>
          <w:i/>
          <w:iCs/>
          <w:sz w:val="24"/>
          <w:szCs w:val="24"/>
          <w:lang w:eastAsia="it-IT"/>
        </w:rPr>
      </w:pPr>
      <w:r w:rsidRPr="00932B10">
        <w:rPr>
          <w:rFonts w:ascii="Corbel" w:hAnsi="Corbel"/>
          <w:i/>
          <w:iCs/>
          <w:sz w:val="24"/>
          <w:szCs w:val="24"/>
          <w:lang w:eastAsia="it-IT"/>
        </w:rPr>
        <w:t>c) le entrate derivanti da procedure sanzionatorie;</w:t>
      </w:r>
    </w:p>
    <w:p w14:paraId="013712E2" w14:textId="77777777" w:rsidR="00A14600" w:rsidRDefault="00A14600" w:rsidP="00A14600">
      <w:pPr>
        <w:jc w:val="both"/>
        <w:rPr>
          <w:rFonts w:ascii="Corbel" w:hAnsi="Corbel"/>
          <w:sz w:val="24"/>
          <w:szCs w:val="24"/>
          <w:lang w:eastAsia="it-IT"/>
        </w:rPr>
      </w:pPr>
      <w:r w:rsidRPr="00932B10">
        <w:rPr>
          <w:rFonts w:ascii="Corbel" w:hAnsi="Corbel"/>
          <w:i/>
          <w:iCs/>
          <w:sz w:val="24"/>
          <w:szCs w:val="24"/>
          <w:lang w:eastAsia="it-IT"/>
        </w:rPr>
        <w:t>d) le ulteriori partite approvate dall’Ente territorialmente competente</w:t>
      </w:r>
      <w:r w:rsidRPr="00E93D02">
        <w:rPr>
          <w:rFonts w:ascii="Corbel" w:hAnsi="Corbel"/>
          <w:sz w:val="24"/>
          <w:szCs w:val="24"/>
          <w:lang w:eastAsia="it-IT"/>
        </w:rPr>
        <w:t>”</w:t>
      </w:r>
      <w:r>
        <w:rPr>
          <w:rFonts w:ascii="Corbel" w:hAnsi="Corbel"/>
          <w:sz w:val="24"/>
          <w:szCs w:val="24"/>
          <w:lang w:eastAsia="it-IT"/>
        </w:rPr>
        <w:t>.</w:t>
      </w:r>
    </w:p>
    <w:p w14:paraId="335B4B78" w14:textId="5AFF4642" w:rsidR="00B04C78" w:rsidRDefault="00A14600" w:rsidP="00FC6508">
      <w:pPr>
        <w:jc w:val="both"/>
        <w:rPr>
          <w:rFonts w:ascii="Corbel" w:hAnsi="Corbel"/>
          <w:sz w:val="24"/>
          <w:szCs w:val="24"/>
          <w:lang w:eastAsia="it-IT"/>
        </w:rPr>
      </w:pPr>
      <w:bookmarkStart w:id="7" w:name="_Hlk71712626"/>
      <w:r w:rsidRPr="00152A78">
        <w:rPr>
          <w:rFonts w:ascii="Corbel" w:hAnsi="Corbel"/>
          <w:sz w:val="24"/>
          <w:szCs w:val="24"/>
          <w:lang w:eastAsia="it-IT"/>
        </w:rPr>
        <w:t>Per l’anno 201</w:t>
      </w:r>
      <w:r w:rsidR="00710353" w:rsidRPr="00152A78">
        <w:rPr>
          <w:rFonts w:ascii="Corbel" w:hAnsi="Corbel"/>
          <w:sz w:val="24"/>
          <w:szCs w:val="24"/>
          <w:lang w:eastAsia="it-IT"/>
        </w:rPr>
        <w:t>9</w:t>
      </w:r>
      <w:r w:rsidRPr="00152A78">
        <w:rPr>
          <w:rFonts w:ascii="Corbel" w:hAnsi="Corbel"/>
          <w:sz w:val="24"/>
          <w:szCs w:val="24"/>
          <w:lang w:eastAsia="it-IT"/>
        </w:rPr>
        <w:t xml:space="preserve"> </w:t>
      </w:r>
      <w:r w:rsidR="00C66BFC" w:rsidRPr="00152A78">
        <w:rPr>
          <w:rFonts w:ascii="Corbel" w:hAnsi="Corbel"/>
          <w:sz w:val="24"/>
          <w:szCs w:val="24"/>
          <w:lang w:eastAsia="it-IT"/>
        </w:rPr>
        <w:t xml:space="preserve">per il Comune di </w:t>
      </w:r>
      <w:r w:rsidR="00AB5C55">
        <w:rPr>
          <w:rFonts w:ascii="Corbel" w:hAnsi="Corbel"/>
          <w:sz w:val="24"/>
          <w:szCs w:val="24"/>
          <w:lang w:eastAsia="it-IT"/>
        </w:rPr>
        <w:t xml:space="preserve">Montalto delle Marche </w:t>
      </w:r>
      <w:r w:rsidR="001518A7" w:rsidRPr="00152A78">
        <w:rPr>
          <w:rFonts w:ascii="Corbel" w:hAnsi="Corbel"/>
          <w:sz w:val="24"/>
          <w:szCs w:val="24"/>
          <w:lang w:eastAsia="it-IT"/>
        </w:rPr>
        <w:t>risulta valorizzat</w:t>
      </w:r>
      <w:r w:rsidR="00AB5C55">
        <w:rPr>
          <w:rFonts w:ascii="Corbel" w:hAnsi="Corbel"/>
          <w:sz w:val="24"/>
          <w:szCs w:val="24"/>
          <w:lang w:eastAsia="it-IT"/>
        </w:rPr>
        <w:t>a solo la voce relativa al contributo MIUR, come di seguito indicato:</w:t>
      </w:r>
      <w:r w:rsidR="00B04C78">
        <w:rPr>
          <w:rFonts w:ascii="Corbel" w:hAnsi="Corbel"/>
          <w:sz w:val="24"/>
          <w:szCs w:val="24"/>
          <w:lang w:eastAsia="it-IT"/>
        </w:rPr>
        <w:t xml:space="preserve"> </w:t>
      </w:r>
    </w:p>
    <w:p w14:paraId="7BAC160F" w14:textId="3A118F03" w:rsidR="00842565" w:rsidRPr="00152A78" w:rsidRDefault="00AB5C55" w:rsidP="00FC6508">
      <w:pPr>
        <w:jc w:val="both"/>
        <w:rPr>
          <w:rFonts w:ascii="Corbel" w:eastAsia="Times New Roman" w:hAnsi="Corbel" w:cs="Calibri"/>
          <w:color w:val="000000"/>
          <w:sz w:val="24"/>
          <w:szCs w:val="24"/>
        </w:rPr>
      </w:pPr>
      <w:r w:rsidRPr="00AB5C55">
        <w:rPr>
          <w:noProof/>
          <w:lang w:eastAsia="it-IT"/>
        </w:rPr>
        <w:drawing>
          <wp:inline distT="0" distB="0" distL="0" distR="0" wp14:anchorId="7094522B" wp14:editId="0FDA057F">
            <wp:extent cx="5829300" cy="111125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0" cy="1111250"/>
                    </a:xfrm>
                    <a:prstGeom prst="rect">
                      <a:avLst/>
                    </a:prstGeom>
                    <a:noFill/>
                    <a:ln>
                      <a:noFill/>
                    </a:ln>
                  </pic:spPr>
                </pic:pic>
              </a:graphicData>
            </a:graphic>
          </wp:inline>
        </w:drawing>
      </w:r>
      <w:r w:rsidR="00FC6508" w:rsidRPr="00152A78">
        <w:rPr>
          <w:rFonts w:ascii="Corbel" w:hAnsi="Corbel"/>
          <w:sz w:val="24"/>
          <w:szCs w:val="24"/>
          <w:lang w:eastAsia="it-IT"/>
        </w:rPr>
        <w:t xml:space="preserve"> </w:t>
      </w:r>
    </w:p>
    <w:bookmarkEnd w:id="7"/>
    <w:p w14:paraId="49B73EC1" w14:textId="77777777" w:rsidR="00FC6508" w:rsidRPr="00FC6508" w:rsidRDefault="00FC6508" w:rsidP="00FC6508">
      <w:pPr>
        <w:jc w:val="both"/>
        <w:rPr>
          <w:rFonts w:ascii="Corbel" w:eastAsia="Times New Roman" w:hAnsi="Corbel" w:cs="Calibri"/>
          <w:color w:val="000000"/>
        </w:rPr>
      </w:pPr>
    </w:p>
    <w:p w14:paraId="1979B309" w14:textId="1074544E" w:rsidR="00A05D05" w:rsidRPr="001518A7" w:rsidRDefault="00864102" w:rsidP="006F7F1F">
      <w:pPr>
        <w:pStyle w:val="Titolo3"/>
      </w:pPr>
      <w:bookmarkStart w:id="8" w:name="_Toc74642242"/>
      <w:r w:rsidRPr="001518A7">
        <w:t xml:space="preserve">2.2 </w:t>
      </w:r>
      <w:r w:rsidR="00A05D05" w:rsidRPr="001518A7">
        <w:t>Proventi della vendita di materiale derivante dai rifiuti (AR)</w:t>
      </w:r>
      <w:bookmarkEnd w:id="8"/>
    </w:p>
    <w:p w14:paraId="49DCCD2F" w14:textId="54E15FFB" w:rsidR="00152A78" w:rsidRDefault="008C250A" w:rsidP="00E563A4">
      <w:pPr>
        <w:jc w:val="both"/>
        <w:rPr>
          <w:rFonts w:ascii="Corbel" w:hAnsi="Corbel"/>
          <w:sz w:val="24"/>
          <w:szCs w:val="24"/>
        </w:rPr>
      </w:pPr>
      <w:r w:rsidRPr="008C250A">
        <w:rPr>
          <w:rFonts w:ascii="Corbel" w:hAnsi="Corbel"/>
          <w:sz w:val="24"/>
          <w:szCs w:val="24"/>
        </w:rPr>
        <w:lastRenderedPageBreak/>
        <w:t>Non risultano proventi derivanti dalla vendita di materiale ed energia relativamente all’anno 201</w:t>
      </w:r>
      <w:r>
        <w:rPr>
          <w:rFonts w:ascii="Corbel" w:hAnsi="Corbel"/>
          <w:sz w:val="24"/>
          <w:szCs w:val="24"/>
        </w:rPr>
        <w:t>9</w:t>
      </w:r>
      <w:r w:rsidRPr="008C250A">
        <w:rPr>
          <w:rFonts w:ascii="Corbel" w:hAnsi="Corbel"/>
          <w:sz w:val="24"/>
          <w:szCs w:val="24"/>
        </w:rPr>
        <w:t xml:space="preserve"> gestiti direttamente dal Comune; gli eventuali proventi saranno inseriti nel Piano Finanziario del Gestore affidatario che si occupa della raccolta e trasporto dei rifiuti.</w:t>
      </w:r>
    </w:p>
    <w:p w14:paraId="652BFA8C" w14:textId="77777777" w:rsidR="00E563A4" w:rsidRPr="00E563A4" w:rsidRDefault="00E563A4" w:rsidP="00E563A4">
      <w:pPr>
        <w:jc w:val="both"/>
        <w:rPr>
          <w:rFonts w:ascii="Corbel" w:hAnsi="Corbel"/>
          <w:sz w:val="24"/>
          <w:szCs w:val="24"/>
        </w:rPr>
      </w:pPr>
    </w:p>
    <w:p w14:paraId="1BCBB812" w14:textId="70F032E1" w:rsidR="006F7F1F" w:rsidRDefault="006F7F1F" w:rsidP="006F7F1F">
      <w:pPr>
        <w:pStyle w:val="Titolo3"/>
      </w:pPr>
      <w:bookmarkStart w:id="9" w:name="_Toc74642243"/>
      <w:r>
        <w:t>2</w:t>
      </w:r>
      <w:r w:rsidRPr="00590453">
        <w:t>.</w:t>
      </w:r>
      <w:r>
        <w:t>3</w:t>
      </w:r>
      <w:r w:rsidRPr="00590453">
        <w:t xml:space="preserve"> Fonti di finanziamento</w:t>
      </w:r>
      <w:bookmarkEnd w:id="9"/>
      <w:r w:rsidRPr="00590453">
        <w:t xml:space="preserve"> </w:t>
      </w:r>
    </w:p>
    <w:p w14:paraId="20108B35" w14:textId="6A471364" w:rsidR="00A14600" w:rsidRDefault="006F7F1F" w:rsidP="00A14600">
      <w:pPr>
        <w:rPr>
          <w:rFonts w:ascii="Corbel" w:hAnsi="Corbel"/>
          <w:sz w:val="24"/>
          <w:szCs w:val="24"/>
          <w:lang w:eastAsia="it-IT"/>
        </w:rPr>
      </w:pPr>
      <w:r>
        <w:rPr>
          <w:rFonts w:ascii="Corbel" w:hAnsi="Corbel"/>
          <w:sz w:val="24"/>
          <w:szCs w:val="24"/>
          <w:lang w:eastAsia="it-IT"/>
        </w:rPr>
        <w:t xml:space="preserve">Non si rilevano, con riferimento </w:t>
      </w:r>
      <w:r w:rsidR="00182160">
        <w:rPr>
          <w:rFonts w:ascii="Corbel" w:hAnsi="Corbel"/>
          <w:sz w:val="24"/>
          <w:szCs w:val="24"/>
          <w:lang w:eastAsia="it-IT"/>
        </w:rPr>
        <w:t>agli anni</w:t>
      </w:r>
      <w:r>
        <w:rPr>
          <w:rFonts w:ascii="Corbel" w:hAnsi="Corbel"/>
          <w:sz w:val="24"/>
          <w:szCs w:val="24"/>
          <w:lang w:eastAsia="it-IT"/>
        </w:rPr>
        <w:t xml:space="preserve"> </w:t>
      </w:r>
      <w:r w:rsidRPr="00182160">
        <w:rPr>
          <w:rFonts w:ascii="Corbel" w:hAnsi="Corbel"/>
          <w:sz w:val="24"/>
          <w:szCs w:val="24"/>
          <w:lang w:eastAsia="it-IT"/>
        </w:rPr>
        <w:t>2018</w:t>
      </w:r>
      <w:r w:rsidR="00182160">
        <w:rPr>
          <w:rFonts w:ascii="Corbel" w:hAnsi="Corbel"/>
          <w:sz w:val="24"/>
          <w:szCs w:val="24"/>
          <w:lang w:eastAsia="it-IT"/>
        </w:rPr>
        <w:t xml:space="preserve"> e 2019</w:t>
      </w:r>
      <w:r>
        <w:rPr>
          <w:rFonts w:ascii="Corbel" w:hAnsi="Corbel"/>
          <w:sz w:val="24"/>
          <w:szCs w:val="24"/>
          <w:lang w:eastAsia="it-IT"/>
        </w:rPr>
        <w:t xml:space="preserve">, </w:t>
      </w:r>
      <w:r w:rsidR="00182160">
        <w:rPr>
          <w:rFonts w:ascii="Corbel" w:hAnsi="Corbel"/>
          <w:sz w:val="24"/>
          <w:szCs w:val="24"/>
          <w:lang w:eastAsia="it-IT"/>
        </w:rPr>
        <w:t xml:space="preserve">operazioni finanziarie relative alla gestione della Tassa Rifiuti. </w:t>
      </w:r>
    </w:p>
    <w:p w14:paraId="43BFD3F2" w14:textId="4DC5C315" w:rsidR="00283E9A" w:rsidRDefault="00283E9A" w:rsidP="00A14600">
      <w:pPr>
        <w:rPr>
          <w:rFonts w:ascii="Corbel" w:hAnsi="Corbel"/>
          <w:sz w:val="24"/>
          <w:szCs w:val="24"/>
          <w:lang w:eastAsia="it-IT"/>
        </w:rPr>
      </w:pPr>
    </w:p>
    <w:p w14:paraId="36D9CBFB" w14:textId="2F284F8F" w:rsidR="00283E9A" w:rsidRDefault="00283E9A">
      <w:pPr>
        <w:rPr>
          <w:rFonts w:ascii="Corbel" w:hAnsi="Corbel"/>
          <w:sz w:val="24"/>
          <w:szCs w:val="24"/>
          <w:lang w:eastAsia="it-IT"/>
        </w:rPr>
      </w:pPr>
      <w:r>
        <w:rPr>
          <w:rFonts w:ascii="Corbel" w:hAnsi="Corbel"/>
          <w:sz w:val="24"/>
          <w:szCs w:val="24"/>
          <w:lang w:eastAsia="it-IT"/>
        </w:rPr>
        <w:br w:type="page"/>
      </w:r>
    </w:p>
    <w:p w14:paraId="18CA7137" w14:textId="20240EFA" w:rsidR="00D521E9" w:rsidRPr="006F7F1F" w:rsidRDefault="00B56AF4" w:rsidP="006F7F1F">
      <w:pPr>
        <w:pStyle w:val="Titolo2"/>
        <w:rPr>
          <w:i/>
          <w:iCs/>
        </w:rPr>
      </w:pPr>
      <w:bookmarkStart w:id="10" w:name="_Toc74642244"/>
      <w:r>
        <w:lastRenderedPageBreak/>
        <w:t>3</w:t>
      </w:r>
      <w:r w:rsidR="00D521E9">
        <w:t xml:space="preserve">. </w:t>
      </w:r>
      <w:r w:rsidR="00D521E9" w:rsidRPr="00807B26">
        <w:t>Dati tecnici e patrimoniali</w:t>
      </w:r>
      <w:bookmarkEnd w:id="10"/>
    </w:p>
    <w:p w14:paraId="2965FFCE" w14:textId="186EBC98" w:rsidR="00D521E9" w:rsidRPr="001518A7" w:rsidRDefault="00D521E9" w:rsidP="00D521E9">
      <w:pPr>
        <w:jc w:val="both"/>
        <w:rPr>
          <w:rFonts w:ascii="Corbel" w:hAnsi="Corbel"/>
          <w:sz w:val="24"/>
          <w:szCs w:val="24"/>
          <w:lang w:eastAsia="it-IT"/>
        </w:rPr>
      </w:pPr>
      <w:r w:rsidRPr="001518A7">
        <w:rPr>
          <w:rFonts w:ascii="Corbel" w:hAnsi="Corbel"/>
          <w:sz w:val="24"/>
          <w:szCs w:val="24"/>
          <w:lang w:eastAsia="it-IT"/>
        </w:rPr>
        <w:t>Nei paragrafi successivi verranno illustrate eventuali variazioni di costo, con relative motivazioni, che il Comune sosterrà nell’anno 202</w:t>
      </w:r>
      <w:r w:rsidR="00E26FF1" w:rsidRPr="001518A7">
        <w:rPr>
          <w:rFonts w:ascii="Corbel" w:hAnsi="Corbel"/>
          <w:sz w:val="24"/>
          <w:szCs w:val="24"/>
          <w:lang w:eastAsia="it-IT"/>
        </w:rPr>
        <w:t>1</w:t>
      </w:r>
      <w:r w:rsidRPr="001518A7">
        <w:rPr>
          <w:rFonts w:ascii="Corbel" w:hAnsi="Corbel"/>
          <w:sz w:val="24"/>
          <w:szCs w:val="24"/>
          <w:lang w:eastAsia="it-IT"/>
        </w:rPr>
        <w:t xml:space="preserve"> rispetto all’anno 201</w:t>
      </w:r>
      <w:r w:rsidR="00E26FF1" w:rsidRPr="001518A7">
        <w:rPr>
          <w:rFonts w:ascii="Corbel" w:hAnsi="Corbel"/>
          <w:sz w:val="24"/>
          <w:szCs w:val="24"/>
          <w:lang w:eastAsia="it-IT"/>
        </w:rPr>
        <w:t>9</w:t>
      </w:r>
      <w:r w:rsidRPr="001518A7">
        <w:rPr>
          <w:rFonts w:ascii="Corbel" w:hAnsi="Corbel"/>
          <w:sz w:val="24"/>
          <w:szCs w:val="24"/>
          <w:lang w:eastAsia="it-IT"/>
        </w:rPr>
        <w:t xml:space="preserve"> connesse alle modifiche del perimetro gestionale e alle variazioni nella qualità del servizio erogato.</w:t>
      </w:r>
    </w:p>
    <w:p w14:paraId="49135DD9" w14:textId="77777777" w:rsidR="00D521E9" w:rsidRPr="001518A7" w:rsidRDefault="00D521E9" w:rsidP="00D521E9">
      <w:pPr>
        <w:jc w:val="both"/>
        <w:rPr>
          <w:rFonts w:ascii="Corbel" w:hAnsi="Corbel"/>
          <w:sz w:val="24"/>
          <w:szCs w:val="24"/>
          <w:lang w:eastAsia="it-IT"/>
        </w:rPr>
      </w:pPr>
      <w:r w:rsidRPr="001518A7">
        <w:rPr>
          <w:rFonts w:ascii="Corbel" w:hAnsi="Corbel"/>
          <w:sz w:val="24"/>
          <w:szCs w:val="24"/>
          <w:lang w:eastAsia="it-IT"/>
        </w:rPr>
        <w:t xml:space="preserve">L’indicazione delle variazioni connesse al perimetro gestionale e alla qualità del servizio permetteranno all’Ente Territorialmente Competente una corretta rivalutazione dei coefficienti PG e QL (art. 4, comma 4 del MTR). </w:t>
      </w:r>
    </w:p>
    <w:p w14:paraId="070429C6" w14:textId="77777777" w:rsidR="00D521E9" w:rsidRPr="001518A7" w:rsidRDefault="00D521E9" w:rsidP="00D521E9">
      <w:pPr>
        <w:pStyle w:val="Sottotitolo"/>
        <w:rPr>
          <w:rFonts w:ascii="Corbel" w:hAnsi="Corbel"/>
          <w:sz w:val="24"/>
          <w:szCs w:val="24"/>
          <w:lang w:eastAsia="it-IT"/>
        </w:rPr>
      </w:pPr>
    </w:p>
    <w:p w14:paraId="45C33F89" w14:textId="68258A09" w:rsidR="00D521E9" w:rsidRPr="001518A7" w:rsidRDefault="00B56AF4" w:rsidP="00C77BF1">
      <w:pPr>
        <w:pStyle w:val="Titolo3"/>
      </w:pPr>
      <w:bookmarkStart w:id="11" w:name="_Toc74642245"/>
      <w:r w:rsidRPr="001518A7">
        <w:t>3</w:t>
      </w:r>
      <w:r w:rsidR="00D521E9" w:rsidRPr="001518A7">
        <w:t>.1 Perimetro gestionale</w:t>
      </w:r>
      <w:bookmarkEnd w:id="11"/>
    </w:p>
    <w:p w14:paraId="6E6943DB" w14:textId="5510C359" w:rsidR="00D521E9" w:rsidRPr="001518A7" w:rsidRDefault="00D521E9" w:rsidP="00D521E9">
      <w:pPr>
        <w:jc w:val="both"/>
        <w:rPr>
          <w:rFonts w:ascii="Corbel" w:hAnsi="Corbel"/>
          <w:sz w:val="24"/>
          <w:szCs w:val="24"/>
          <w:lang w:eastAsia="it-IT"/>
        </w:rPr>
      </w:pPr>
      <w:r w:rsidRPr="001518A7">
        <w:rPr>
          <w:rFonts w:ascii="Corbel" w:hAnsi="Corbel"/>
          <w:sz w:val="24"/>
          <w:szCs w:val="24"/>
          <w:lang w:eastAsia="it-IT"/>
        </w:rPr>
        <w:t>La variazione di costo connessa alle modifiche del perimetro gestionale riguarda nello specifico l’introduzione di nuovi servizi nell’anno 202</w:t>
      </w:r>
      <w:r w:rsidR="00E26FF1" w:rsidRPr="001518A7">
        <w:rPr>
          <w:rFonts w:ascii="Corbel" w:hAnsi="Corbel"/>
          <w:sz w:val="24"/>
          <w:szCs w:val="24"/>
          <w:lang w:eastAsia="it-IT"/>
        </w:rPr>
        <w:t>1</w:t>
      </w:r>
      <w:r w:rsidRPr="001518A7">
        <w:rPr>
          <w:rFonts w:ascii="Corbel" w:hAnsi="Corbel"/>
          <w:sz w:val="24"/>
          <w:szCs w:val="24"/>
          <w:lang w:eastAsia="it-IT"/>
        </w:rPr>
        <w:t xml:space="preserve"> rispetto a quelli erogati nell’anno 201</w:t>
      </w:r>
      <w:r w:rsidR="00E26FF1" w:rsidRPr="001518A7">
        <w:rPr>
          <w:rFonts w:ascii="Corbel" w:hAnsi="Corbel"/>
          <w:sz w:val="24"/>
          <w:szCs w:val="24"/>
          <w:lang w:eastAsia="it-IT"/>
        </w:rPr>
        <w:t>9</w:t>
      </w:r>
      <w:r w:rsidRPr="001518A7">
        <w:rPr>
          <w:rFonts w:ascii="Corbel" w:hAnsi="Corbel"/>
          <w:sz w:val="24"/>
          <w:szCs w:val="24"/>
          <w:lang w:eastAsia="it-IT"/>
        </w:rPr>
        <w:t>.</w:t>
      </w:r>
    </w:p>
    <w:p w14:paraId="406DF904" w14:textId="02500F2B" w:rsidR="006F7F1F" w:rsidRPr="001518A7" w:rsidRDefault="00BD7487" w:rsidP="00D521E9">
      <w:pPr>
        <w:jc w:val="both"/>
        <w:rPr>
          <w:rFonts w:ascii="Corbel" w:hAnsi="Corbel"/>
          <w:color w:val="000000" w:themeColor="text1"/>
          <w:sz w:val="24"/>
          <w:szCs w:val="24"/>
          <w:lang w:eastAsia="it-IT"/>
        </w:rPr>
      </w:pPr>
      <w:r w:rsidRPr="001518A7">
        <w:rPr>
          <w:rFonts w:ascii="Corbel" w:hAnsi="Corbel"/>
          <w:sz w:val="24"/>
          <w:szCs w:val="24"/>
          <w:lang w:eastAsia="it-IT"/>
        </w:rPr>
        <w:t xml:space="preserve">Per il Comune di </w:t>
      </w:r>
      <w:r w:rsidR="006F5A21">
        <w:rPr>
          <w:rFonts w:ascii="Corbel" w:hAnsi="Corbel"/>
          <w:sz w:val="24"/>
          <w:szCs w:val="24"/>
          <w:lang w:eastAsia="it-IT"/>
        </w:rPr>
        <w:t>Montalto delle Marche</w:t>
      </w:r>
      <w:r w:rsidRPr="001518A7">
        <w:rPr>
          <w:rFonts w:ascii="Corbel" w:hAnsi="Corbel"/>
          <w:sz w:val="24"/>
          <w:szCs w:val="24"/>
          <w:lang w:eastAsia="it-IT"/>
        </w:rPr>
        <w:t xml:space="preserve"> non si verificano variazioni di costo in ordine al perimetro gestionale</w:t>
      </w:r>
      <w:r w:rsidR="00694BA0" w:rsidRPr="001518A7">
        <w:rPr>
          <w:rFonts w:ascii="Corbel" w:hAnsi="Corbel"/>
          <w:sz w:val="24"/>
          <w:szCs w:val="24"/>
          <w:lang w:eastAsia="it-IT"/>
        </w:rPr>
        <w:t xml:space="preserve">, </w:t>
      </w:r>
      <w:r w:rsidR="00694BA0" w:rsidRPr="001518A7">
        <w:rPr>
          <w:rFonts w:ascii="Corbel" w:hAnsi="Corbel"/>
          <w:color w:val="000000" w:themeColor="text1"/>
          <w:sz w:val="24"/>
          <w:szCs w:val="24"/>
          <w:lang w:eastAsia="it-IT"/>
        </w:rPr>
        <w:t xml:space="preserve">in relazione ai servizi </w:t>
      </w:r>
      <w:r w:rsidR="00BF5224" w:rsidRPr="001518A7">
        <w:rPr>
          <w:rFonts w:ascii="Corbel" w:hAnsi="Corbel"/>
          <w:color w:val="000000" w:themeColor="text1"/>
          <w:sz w:val="24"/>
          <w:szCs w:val="24"/>
          <w:lang w:eastAsia="it-IT"/>
        </w:rPr>
        <w:t xml:space="preserve">erogati </w:t>
      </w:r>
      <w:r w:rsidR="005E05AA">
        <w:rPr>
          <w:rFonts w:ascii="Corbel" w:hAnsi="Corbel"/>
          <w:color w:val="000000" w:themeColor="text1"/>
          <w:sz w:val="24"/>
          <w:szCs w:val="24"/>
          <w:lang w:eastAsia="it-IT"/>
        </w:rPr>
        <w:t>direttamente.</w:t>
      </w:r>
    </w:p>
    <w:p w14:paraId="0B5BDF1D" w14:textId="225F6337" w:rsidR="00D521E9" w:rsidRPr="001518A7" w:rsidRDefault="00BD7487" w:rsidP="00D521E9">
      <w:pPr>
        <w:jc w:val="both"/>
        <w:rPr>
          <w:rFonts w:ascii="Corbel" w:hAnsi="Corbel"/>
          <w:sz w:val="24"/>
          <w:szCs w:val="24"/>
          <w:lang w:eastAsia="it-IT"/>
        </w:rPr>
      </w:pPr>
      <w:r w:rsidRPr="001518A7">
        <w:rPr>
          <w:rFonts w:ascii="Corbel" w:hAnsi="Corbel"/>
          <w:sz w:val="24"/>
          <w:szCs w:val="24"/>
          <w:lang w:eastAsia="it-IT"/>
        </w:rPr>
        <w:t xml:space="preserve"> </w:t>
      </w:r>
    </w:p>
    <w:p w14:paraId="5E8B203E" w14:textId="6FFE36DF" w:rsidR="00D521E9" w:rsidRPr="001518A7" w:rsidRDefault="00B56AF4" w:rsidP="00C77BF1">
      <w:pPr>
        <w:pStyle w:val="Titolo3"/>
      </w:pPr>
      <w:bookmarkStart w:id="12" w:name="_Toc74642246"/>
      <w:r w:rsidRPr="001518A7">
        <w:t>3</w:t>
      </w:r>
      <w:r w:rsidR="00D521E9" w:rsidRPr="001518A7">
        <w:t>.2 Qualità del servizio</w:t>
      </w:r>
      <w:bookmarkEnd w:id="12"/>
      <w:r w:rsidR="00D521E9" w:rsidRPr="001518A7">
        <w:t xml:space="preserve"> </w:t>
      </w:r>
    </w:p>
    <w:p w14:paraId="1A60DA05" w14:textId="34F836E9" w:rsidR="00D521E9" w:rsidRPr="001518A7" w:rsidRDefault="00D521E9" w:rsidP="00D521E9">
      <w:pPr>
        <w:jc w:val="both"/>
        <w:rPr>
          <w:rFonts w:ascii="Corbel" w:hAnsi="Corbel"/>
          <w:sz w:val="24"/>
          <w:szCs w:val="24"/>
          <w:lang w:eastAsia="it-IT"/>
        </w:rPr>
      </w:pPr>
      <w:r w:rsidRPr="001518A7">
        <w:rPr>
          <w:rFonts w:ascii="Corbel" w:hAnsi="Corbel"/>
          <w:sz w:val="24"/>
          <w:szCs w:val="24"/>
          <w:lang w:eastAsia="it-IT"/>
        </w:rPr>
        <w:t>La variazione di costo connessa alle modifiche nella qualità del servizio fornito riguarda nello specifico il miglioramento delle prestazioni erogate nell’anno 202</w:t>
      </w:r>
      <w:r w:rsidR="00E26FF1" w:rsidRPr="001518A7">
        <w:rPr>
          <w:rFonts w:ascii="Corbel" w:hAnsi="Corbel"/>
          <w:sz w:val="24"/>
          <w:szCs w:val="24"/>
          <w:lang w:eastAsia="it-IT"/>
        </w:rPr>
        <w:t>1</w:t>
      </w:r>
      <w:r w:rsidRPr="001518A7">
        <w:rPr>
          <w:rFonts w:ascii="Corbel" w:hAnsi="Corbel"/>
          <w:sz w:val="24"/>
          <w:szCs w:val="24"/>
          <w:lang w:eastAsia="it-IT"/>
        </w:rPr>
        <w:t xml:space="preserve"> rispetto all’anno 201</w:t>
      </w:r>
      <w:r w:rsidR="00E26FF1" w:rsidRPr="001518A7">
        <w:rPr>
          <w:rFonts w:ascii="Corbel" w:hAnsi="Corbel"/>
          <w:sz w:val="24"/>
          <w:szCs w:val="24"/>
          <w:lang w:eastAsia="it-IT"/>
        </w:rPr>
        <w:t>9</w:t>
      </w:r>
      <w:r w:rsidRPr="001518A7">
        <w:rPr>
          <w:rFonts w:ascii="Corbel" w:hAnsi="Corbel"/>
          <w:sz w:val="24"/>
          <w:szCs w:val="24"/>
          <w:lang w:eastAsia="it-IT"/>
        </w:rPr>
        <w:t xml:space="preserve">. </w:t>
      </w:r>
    </w:p>
    <w:p w14:paraId="1098B016" w14:textId="08E6AF5E" w:rsidR="00D521E9" w:rsidRPr="001518A7" w:rsidRDefault="00D521E9" w:rsidP="00D521E9">
      <w:pPr>
        <w:jc w:val="both"/>
        <w:rPr>
          <w:rFonts w:ascii="Corbel" w:hAnsi="Corbel"/>
          <w:color w:val="000000" w:themeColor="text1"/>
          <w:sz w:val="24"/>
          <w:szCs w:val="24"/>
          <w:lang w:eastAsia="it-IT"/>
        </w:rPr>
      </w:pPr>
      <w:r w:rsidRPr="001518A7">
        <w:rPr>
          <w:rFonts w:ascii="Corbel" w:hAnsi="Corbel"/>
          <w:sz w:val="24"/>
          <w:szCs w:val="24"/>
          <w:lang w:eastAsia="it-IT"/>
        </w:rPr>
        <w:t xml:space="preserve">Il Comune di </w:t>
      </w:r>
      <w:r w:rsidR="006F5A21">
        <w:rPr>
          <w:rFonts w:ascii="Corbel" w:hAnsi="Corbel"/>
          <w:sz w:val="24"/>
          <w:szCs w:val="24"/>
          <w:lang w:eastAsia="it-IT"/>
        </w:rPr>
        <w:t>Montalto delle Marche</w:t>
      </w:r>
      <w:r w:rsidR="00BD7487" w:rsidRPr="001518A7">
        <w:rPr>
          <w:rFonts w:ascii="Corbel" w:hAnsi="Corbel"/>
          <w:sz w:val="24"/>
          <w:szCs w:val="24"/>
          <w:lang w:eastAsia="it-IT"/>
        </w:rPr>
        <w:t xml:space="preserve"> </w:t>
      </w:r>
      <w:r w:rsidRPr="001518A7">
        <w:rPr>
          <w:rFonts w:ascii="Corbel" w:hAnsi="Corbel"/>
          <w:sz w:val="24"/>
          <w:szCs w:val="24"/>
          <w:lang w:eastAsia="it-IT"/>
        </w:rPr>
        <w:t xml:space="preserve">non prevede alcuna variazione di costo connessa con </w:t>
      </w:r>
      <w:r w:rsidR="00694BA0" w:rsidRPr="001518A7">
        <w:rPr>
          <w:rFonts w:ascii="Corbel" w:hAnsi="Corbel"/>
          <w:color w:val="000000" w:themeColor="text1"/>
          <w:sz w:val="24"/>
          <w:szCs w:val="24"/>
          <w:lang w:eastAsia="it-IT"/>
        </w:rPr>
        <w:t xml:space="preserve">scostamenti evidenti nella qualità </w:t>
      </w:r>
      <w:r w:rsidRPr="001518A7">
        <w:rPr>
          <w:rFonts w:ascii="Corbel" w:hAnsi="Corbel"/>
          <w:color w:val="000000" w:themeColor="text1"/>
          <w:sz w:val="24"/>
          <w:szCs w:val="24"/>
          <w:lang w:eastAsia="it-IT"/>
        </w:rPr>
        <w:t>dei servizi forniti.</w:t>
      </w:r>
    </w:p>
    <w:p w14:paraId="239D46BB" w14:textId="63AF40CF" w:rsidR="00E26FF1" w:rsidRPr="001518A7" w:rsidRDefault="00E26FF1" w:rsidP="00D521E9">
      <w:pPr>
        <w:jc w:val="both"/>
        <w:rPr>
          <w:rFonts w:ascii="Corbel" w:hAnsi="Corbel"/>
          <w:color w:val="000000" w:themeColor="text1"/>
          <w:sz w:val="24"/>
          <w:szCs w:val="24"/>
          <w:lang w:eastAsia="it-IT"/>
        </w:rPr>
      </w:pPr>
    </w:p>
    <w:p w14:paraId="66083C3F" w14:textId="77777777" w:rsidR="00E26FF1" w:rsidRPr="001518A7" w:rsidRDefault="00E26FF1" w:rsidP="00E26FF1">
      <w:pPr>
        <w:pStyle w:val="Titolo3"/>
      </w:pPr>
      <w:bookmarkStart w:id="13" w:name="_Toc65504842"/>
      <w:bookmarkStart w:id="14" w:name="_Toc74642247"/>
      <w:r w:rsidRPr="001518A7">
        <w:t>3.3 Oneri aggiuntivi riconducibili all’emergenza Covid-19</w:t>
      </w:r>
      <w:bookmarkEnd w:id="13"/>
      <w:bookmarkEnd w:id="14"/>
      <w:r w:rsidRPr="001518A7">
        <w:t xml:space="preserve"> </w:t>
      </w:r>
    </w:p>
    <w:p w14:paraId="64FC3D63" w14:textId="77777777" w:rsidR="00E26FF1" w:rsidRPr="001518A7" w:rsidRDefault="00E26FF1" w:rsidP="00E26FF1">
      <w:pPr>
        <w:jc w:val="both"/>
        <w:rPr>
          <w:rFonts w:ascii="Corbel" w:hAnsi="Corbel"/>
          <w:sz w:val="24"/>
          <w:szCs w:val="24"/>
        </w:rPr>
      </w:pPr>
      <w:r w:rsidRPr="001518A7">
        <w:rPr>
          <w:rFonts w:ascii="Corbel" w:hAnsi="Corbel"/>
          <w:sz w:val="24"/>
          <w:szCs w:val="24"/>
        </w:rPr>
        <w:t>Non si rilevano all’interno del Piano finanziario oneri aggiuntivi connessi all’emergenza da Covid-19; gli eventuali maggiori costi che l’ente sosterrà nell’anno 2021 saranno interamente coperti dalla fiscalità generale del Comune, senza che ciò comporti ricadute dirette sui contribuenti della TARI.</w:t>
      </w:r>
    </w:p>
    <w:p w14:paraId="55562CF9" w14:textId="77777777" w:rsidR="00E26FF1" w:rsidRPr="009946D0" w:rsidRDefault="00E26FF1" w:rsidP="00D521E9">
      <w:pPr>
        <w:jc w:val="both"/>
        <w:rPr>
          <w:rFonts w:ascii="Corbel" w:hAnsi="Corbel"/>
          <w:color w:val="000000" w:themeColor="text1"/>
          <w:sz w:val="24"/>
          <w:szCs w:val="24"/>
          <w:lang w:eastAsia="it-IT"/>
        </w:rPr>
      </w:pPr>
    </w:p>
    <w:p w14:paraId="4CA7ED4B" w14:textId="77777777" w:rsidR="00D521E9" w:rsidRPr="00DC362A" w:rsidRDefault="00D521E9" w:rsidP="00D521E9"/>
    <w:p w14:paraId="61474404" w14:textId="77777777" w:rsidR="00D521E9" w:rsidRDefault="00D521E9" w:rsidP="00D521E9">
      <w:pPr>
        <w:rPr>
          <w:rFonts w:ascii="Corbel" w:hAnsi="Corbel"/>
          <w:sz w:val="24"/>
          <w:szCs w:val="24"/>
          <w:highlight w:val="yellow"/>
        </w:rPr>
      </w:pPr>
    </w:p>
    <w:p w14:paraId="74CCF71A" w14:textId="718FB1F7" w:rsidR="00E717B9" w:rsidRPr="00D521E9" w:rsidRDefault="00E717B9" w:rsidP="00D521E9">
      <w:pPr>
        <w:rPr>
          <w:rFonts w:ascii="Corbel" w:hAnsi="Corbel"/>
          <w:sz w:val="24"/>
          <w:szCs w:val="24"/>
          <w:highlight w:val="yellow"/>
        </w:rPr>
      </w:pPr>
    </w:p>
    <w:sectPr w:rsidR="00E717B9" w:rsidRPr="00D521E9" w:rsidSect="0031567B">
      <w:footerReference w:type="default" r:id="rId15"/>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6ECC" w14:textId="77777777" w:rsidR="00CF0E89" w:rsidRDefault="00CF0E89">
      <w:pPr>
        <w:spacing w:after="0" w:line="240" w:lineRule="auto"/>
      </w:pPr>
      <w:r>
        <w:separator/>
      </w:r>
    </w:p>
  </w:endnote>
  <w:endnote w:type="continuationSeparator" w:id="0">
    <w:p w14:paraId="401CE7C4" w14:textId="77777777" w:rsidR="00CF0E89" w:rsidRDefault="00CF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osaW01-HeadlineBold">
    <w:altName w:val="Corbel"/>
    <w:charset w:val="00"/>
    <w:family w:val="auto"/>
    <w:pitch w:val="variable"/>
    <w:sig w:usb0="800000AF" w:usb1="0000000A" w:usb2="00000000" w:usb3="00000000" w:csb0="00000001" w:csb1="00000000"/>
  </w:font>
  <w:font w:name="Felix Titling">
    <w:altName w:val="Colonna MT"/>
    <w:panose1 w:val="04060505060202020A04"/>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249918"/>
      <w:docPartObj>
        <w:docPartGallery w:val="Page Numbers (Bottom of Page)"/>
        <w:docPartUnique/>
      </w:docPartObj>
    </w:sdtPr>
    <w:sdtEndPr/>
    <w:sdtContent>
      <w:p w14:paraId="6A2F24A9" w14:textId="2E7BF911" w:rsidR="0031567B" w:rsidRDefault="0031567B" w:rsidP="00E34914">
        <w:pPr>
          <w:pStyle w:val="Pidipagina"/>
          <w:jc w:val="center"/>
        </w:pPr>
        <w:r>
          <w:fldChar w:fldCharType="begin"/>
        </w:r>
        <w:r>
          <w:instrText>PAGE   \* MERGEFORMAT</w:instrText>
        </w:r>
        <w:r>
          <w:fldChar w:fldCharType="separate"/>
        </w:r>
        <w:r w:rsidR="000A0A4A">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E68E" w14:textId="77777777" w:rsidR="00CF0E89" w:rsidRDefault="00CF0E89">
      <w:pPr>
        <w:spacing w:after="0" w:line="240" w:lineRule="auto"/>
      </w:pPr>
      <w:r>
        <w:separator/>
      </w:r>
    </w:p>
  </w:footnote>
  <w:footnote w:type="continuationSeparator" w:id="0">
    <w:p w14:paraId="1A60687B" w14:textId="77777777" w:rsidR="00CF0E89" w:rsidRDefault="00CF0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B39"/>
    <w:multiLevelType w:val="hybridMultilevel"/>
    <w:tmpl w:val="1BE696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807B5A"/>
    <w:multiLevelType w:val="hybridMultilevel"/>
    <w:tmpl w:val="DE5AE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9172DE"/>
    <w:multiLevelType w:val="hybridMultilevel"/>
    <w:tmpl w:val="1424F93C"/>
    <w:lvl w:ilvl="0" w:tplc="B25AA8A4">
      <w:start w:val="101"/>
      <w:numFmt w:val="bullet"/>
      <w:lvlText w:val="•"/>
      <w:lvlJc w:val="left"/>
      <w:pPr>
        <w:ind w:left="720" w:hanging="360"/>
      </w:pPr>
      <w:rPr>
        <w:rFonts w:ascii="Corbel" w:eastAsiaTheme="minorHAnsi" w:hAnsi="Corbe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8B33C9"/>
    <w:multiLevelType w:val="hybridMultilevel"/>
    <w:tmpl w:val="A888D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AE7FB6"/>
    <w:multiLevelType w:val="hybridMultilevel"/>
    <w:tmpl w:val="69242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AB3833"/>
    <w:multiLevelType w:val="hybridMultilevel"/>
    <w:tmpl w:val="5DD651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7D3625D"/>
    <w:multiLevelType w:val="hybridMultilevel"/>
    <w:tmpl w:val="8DB03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BE5280"/>
    <w:multiLevelType w:val="hybridMultilevel"/>
    <w:tmpl w:val="91B08C66"/>
    <w:lvl w:ilvl="0" w:tplc="703E5404">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8" w15:restartNumberingAfterBreak="0">
    <w:nsid w:val="42A731DA"/>
    <w:multiLevelType w:val="hybridMultilevel"/>
    <w:tmpl w:val="8CC25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7747E8"/>
    <w:multiLevelType w:val="hybridMultilevel"/>
    <w:tmpl w:val="8A9CE6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D5C09AE"/>
    <w:multiLevelType w:val="hybridMultilevel"/>
    <w:tmpl w:val="F69A27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ED8096C"/>
    <w:multiLevelType w:val="hybridMultilevel"/>
    <w:tmpl w:val="459CEF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FB940FD"/>
    <w:multiLevelType w:val="hybridMultilevel"/>
    <w:tmpl w:val="DF24F1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9820CB7"/>
    <w:multiLevelType w:val="hybridMultilevel"/>
    <w:tmpl w:val="E9841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C74F20"/>
    <w:multiLevelType w:val="hybridMultilevel"/>
    <w:tmpl w:val="9AAAEA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BB43775"/>
    <w:multiLevelType w:val="hybridMultilevel"/>
    <w:tmpl w:val="61F44D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C26959"/>
    <w:multiLevelType w:val="hybridMultilevel"/>
    <w:tmpl w:val="7F288C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5296E39"/>
    <w:multiLevelType w:val="hybridMultilevel"/>
    <w:tmpl w:val="AFCA53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15"/>
  </w:num>
  <w:num w:numId="5">
    <w:abstractNumId w:val="8"/>
  </w:num>
  <w:num w:numId="6">
    <w:abstractNumId w:val="6"/>
  </w:num>
  <w:num w:numId="7">
    <w:abstractNumId w:val="13"/>
  </w:num>
  <w:num w:numId="8">
    <w:abstractNumId w:val="3"/>
  </w:num>
  <w:num w:numId="9">
    <w:abstractNumId w:val="10"/>
  </w:num>
  <w:num w:numId="10">
    <w:abstractNumId w:val="12"/>
  </w:num>
  <w:num w:numId="11">
    <w:abstractNumId w:val="17"/>
  </w:num>
  <w:num w:numId="12">
    <w:abstractNumId w:val="14"/>
  </w:num>
  <w:num w:numId="13">
    <w:abstractNumId w:val="5"/>
  </w:num>
  <w:num w:numId="14">
    <w:abstractNumId w:val="11"/>
  </w:num>
  <w:num w:numId="15">
    <w:abstractNumId w:val="0"/>
  </w:num>
  <w:num w:numId="16">
    <w:abstractNumId w:val="16"/>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B9"/>
    <w:rsid w:val="00013954"/>
    <w:rsid w:val="0003694F"/>
    <w:rsid w:val="00040D2A"/>
    <w:rsid w:val="000657B1"/>
    <w:rsid w:val="00065AD0"/>
    <w:rsid w:val="00066673"/>
    <w:rsid w:val="000718A6"/>
    <w:rsid w:val="00095A51"/>
    <w:rsid w:val="000A0A4A"/>
    <w:rsid w:val="000A7A51"/>
    <w:rsid w:val="000B157F"/>
    <w:rsid w:val="000D1D67"/>
    <w:rsid w:val="000D3B90"/>
    <w:rsid w:val="000D5713"/>
    <w:rsid w:val="000E12CB"/>
    <w:rsid w:val="000F23BE"/>
    <w:rsid w:val="000F5409"/>
    <w:rsid w:val="00115197"/>
    <w:rsid w:val="00117C6B"/>
    <w:rsid w:val="00121FD6"/>
    <w:rsid w:val="00123F8C"/>
    <w:rsid w:val="00126945"/>
    <w:rsid w:val="00130E5D"/>
    <w:rsid w:val="00142C05"/>
    <w:rsid w:val="001518A7"/>
    <w:rsid w:val="00152A78"/>
    <w:rsid w:val="00182160"/>
    <w:rsid w:val="0019406C"/>
    <w:rsid w:val="001B13D2"/>
    <w:rsid w:val="001B36FA"/>
    <w:rsid w:val="001C0EF8"/>
    <w:rsid w:val="001C75BD"/>
    <w:rsid w:val="001D5575"/>
    <w:rsid w:val="001E03F9"/>
    <w:rsid w:val="001E2948"/>
    <w:rsid w:val="001F07C0"/>
    <w:rsid w:val="001F7C4E"/>
    <w:rsid w:val="00202419"/>
    <w:rsid w:val="00206476"/>
    <w:rsid w:val="00210AC9"/>
    <w:rsid w:val="0021292E"/>
    <w:rsid w:val="002149D8"/>
    <w:rsid w:val="0022394B"/>
    <w:rsid w:val="002443C6"/>
    <w:rsid w:val="0025497F"/>
    <w:rsid w:val="00256EDC"/>
    <w:rsid w:val="00265B74"/>
    <w:rsid w:val="0027072C"/>
    <w:rsid w:val="00283E9A"/>
    <w:rsid w:val="00296521"/>
    <w:rsid w:val="002A1441"/>
    <w:rsid w:val="002C3AD1"/>
    <w:rsid w:val="002C61F9"/>
    <w:rsid w:val="002D0ED3"/>
    <w:rsid w:val="002E5CB3"/>
    <w:rsid w:val="002F0448"/>
    <w:rsid w:val="003058DF"/>
    <w:rsid w:val="0031567B"/>
    <w:rsid w:val="003201AC"/>
    <w:rsid w:val="0032060E"/>
    <w:rsid w:val="0033018B"/>
    <w:rsid w:val="00333A4C"/>
    <w:rsid w:val="003379C9"/>
    <w:rsid w:val="00342AA8"/>
    <w:rsid w:val="00346918"/>
    <w:rsid w:val="00347A33"/>
    <w:rsid w:val="00355713"/>
    <w:rsid w:val="00355B40"/>
    <w:rsid w:val="00361E9D"/>
    <w:rsid w:val="00364B42"/>
    <w:rsid w:val="00371C65"/>
    <w:rsid w:val="00372221"/>
    <w:rsid w:val="00374887"/>
    <w:rsid w:val="00375D74"/>
    <w:rsid w:val="003765BD"/>
    <w:rsid w:val="0039473E"/>
    <w:rsid w:val="003B2BDC"/>
    <w:rsid w:val="003B565F"/>
    <w:rsid w:val="003C2158"/>
    <w:rsid w:val="003C7874"/>
    <w:rsid w:val="003F4751"/>
    <w:rsid w:val="00402797"/>
    <w:rsid w:val="004104A5"/>
    <w:rsid w:val="00410AAE"/>
    <w:rsid w:val="00432E7E"/>
    <w:rsid w:val="00450E73"/>
    <w:rsid w:val="00455272"/>
    <w:rsid w:val="004656CB"/>
    <w:rsid w:val="0046624E"/>
    <w:rsid w:val="0048456A"/>
    <w:rsid w:val="00484927"/>
    <w:rsid w:val="00485DB0"/>
    <w:rsid w:val="004963BE"/>
    <w:rsid w:val="004A6EAC"/>
    <w:rsid w:val="004A7B3B"/>
    <w:rsid w:val="004B1035"/>
    <w:rsid w:val="004B3A03"/>
    <w:rsid w:val="004C7AB4"/>
    <w:rsid w:val="004D5457"/>
    <w:rsid w:val="004D7AAF"/>
    <w:rsid w:val="004E09DD"/>
    <w:rsid w:val="004E1D6B"/>
    <w:rsid w:val="004E77CA"/>
    <w:rsid w:val="004E7B94"/>
    <w:rsid w:val="004E7D9E"/>
    <w:rsid w:val="004F1ED0"/>
    <w:rsid w:val="004F273C"/>
    <w:rsid w:val="005028C9"/>
    <w:rsid w:val="005070E5"/>
    <w:rsid w:val="00521C94"/>
    <w:rsid w:val="00523F0B"/>
    <w:rsid w:val="00562710"/>
    <w:rsid w:val="00572A28"/>
    <w:rsid w:val="00572EED"/>
    <w:rsid w:val="00591A75"/>
    <w:rsid w:val="005B310E"/>
    <w:rsid w:val="005B6162"/>
    <w:rsid w:val="005C1928"/>
    <w:rsid w:val="005C1F95"/>
    <w:rsid w:val="005C5F3C"/>
    <w:rsid w:val="005E05AA"/>
    <w:rsid w:val="005F2136"/>
    <w:rsid w:val="005F363F"/>
    <w:rsid w:val="006076F4"/>
    <w:rsid w:val="00625C28"/>
    <w:rsid w:val="00630323"/>
    <w:rsid w:val="006414FB"/>
    <w:rsid w:val="006531DB"/>
    <w:rsid w:val="00653429"/>
    <w:rsid w:val="00663FB4"/>
    <w:rsid w:val="006732A9"/>
    <w:rsid w:val="00692740"/>
    <w:rsid w:val="00694BA0"/>
    <w:rsid w:val="006E5ECD"/>
    <w:rsid w:val="006E7753"/>
    <w:rsid w:val="006F224E"/>
    <w:rsid w:val="006F5A21"/>
    <w:rsid w:val="006F7F1F"/>
    <w:rsid w:val="00705749"/>
    <w:rsid w:val="00706F4B"/>
    <w:rsid w:val="00707365"/>
    <w:rsid w:val="0070757D"/>
    <w:rsid w:val="00710353"/>
    <w:rsid w:val="00710BA1"/>
    <w:rsid w:val="0071380C"/>
    <w:rsid w:val="00725E80"/>
    <w:rsid w:val="0073286A"/>
    <w:rsid w:val="00740AC8"/>
    <w:rsid w:val="00741E6C"/>
    <w:rsid w:val="00745795"/>
    <w:rsid w:val="0075156F"/>
    <w:rsid w:val="00762413"/>
    <w:rsid w:val="00766149"/>
    <w:rsid w:val="007668A4"/>
    <w:rsid w:val="007708F6"/>
    <w:rsid w:val="00770FFC"/>
    <w:rsid w:val="007879A6"/>
    <w:rsid w:val="00792778"/>
    <w:rsid w:val="00797792"/>
    <w:rsid w:val="007A024B"/>
    <w:rsid w:val="007A3D26"/>
    <w:rsid w:val="007B0823"/>
    <w:rsid w:val="007B2977"/>
    <w:rsid w:val="007D0C91"/>
    <w:rsid w:val="007D4DD6"/>
    <w:rsid w:val="007E0163"/>
    <w:rsid w:val="007F082D"/>
    <w:rsid w:val="007F1FE8"/>
    <w:rsid w:val="007F2587"/>
    <w:rsid w:val="008020B3"/>
    <w:rsid w:val="00811FD2"/>
    <w:rsid w:val="00815470"/>
    <w:rsid w:val="00833E0F"/>
    <w:rsid w:val="00842565"/>
    <w:rsid w:val="00856F1E"/>
    <w:rsid w:val="00864102"/>
    <w:rsid w:val="00881F13"/>
    <w:rsid w:val="00887186"/>
    <w:rsid w:val="00897B78"/>
    <w:rsid w:val="008A0049"/>
    <w:rsid w:val="008A7CF1"/>
    <w:rsid w:val="008C001E"/>
    <w:rsid w:val="008C250A"/>
    <w:rsid w:val="008C3213"/>
    <w:rsid w:val="008E0FB7"/>
    <w:rsid w:val="008E3849"/>
    <w:rsid w:val="008E62D7"/>
    <w:rsid w:val="008F0A1F"/>
    <w:rsid w:val="008F0F5C"/>
    <w:rsid w:val="008F57E2"/>
    <w:rsid w:val="00906F33"/>
    <w:rsid w:val="009073E9"/>
    <w:rsid w:val="0091052A"/>
    <w:rsid w:val="00917318"/>
    <w:rsid w:val="009267EC"/>
    <w:rsid w:val="00932B10"/>
    <w:rsid w:val="00933175"/>
    <w:rsid w:val="0093750A"/>
    <w:rsid w:val="00954F9E"/>
    <w:rsid w:val="009639A5"/>
    <w:rsid w:val="00971696"/>
    <w:rsid w:val="009757D7"/>
    <w:rsid w:val="00976F51"/>
    <w:rsid w:val="00985B4A"/>
    <w:rsid w:val="00985F79"/>
    <w:rsid w:val="009946D0"/>
    <w:rsid w:val="009A7ED6"/>
    <w:rsid w:val="009B1886"/>
    <w:rsid w:val="009C2150"/>
    <w:rsid w:val="009D32B0"/>
    <w:rsid w:val="009D4437"/>
    <w:rsid w:val="009E0A69"/>
    <w:rsid w:val="009E2C35"/>
    <w:rsid w:val="009E31A7"/>
    <w:rsid w:val="009E33DB"/>
    <w:rsid w:val="009F755C"/>
    <w:rsid w:val="00A0074F"/>
    <w:rsid w:val="00A04BD0"/>
    <w:rsid w:val="00A05D05"/>
    <w:rsid w:val="00A14600"/>
    <w:rsid w:val="00A227B4"/>
    <w:rsid w:val="00A25EA2"/>
    <w:rsid w:val="00A32F9D"/>
    <w:rsid w:val="00A36E68"/>
    <w:rsid w:val="00A405C4"/>
    <w:rsid w:val="00A4435D"/>
    <w:rsid w:val="00A5694C"/>
    <w:rsid w:val="00A6724B"/>
    <w:rsid w:val="00A86FAA"/>
    <w:rsid w:val="00A904A8"/>
    <w:rsid w:val="00A943FB"/>
    <w:rsid w:val="00AB5C55"/>
    <w:rsid w:val="00AC69D8"/>
    <w:rsid w:val="00AD400D"/>
    <w:rsid w:val="00AE5948"/>
    <w:rsid w:val="00B04C78"/>
    <w:rsid w:val="00B0503C"/>
    <w:rsid w:val="00B1532D"/>
    <w:rsid w:val="00B15A0A"/>
    <w:rsid w:val="00B205D5"/>
    <w:rsid w:val="00B53485"/>
    <w:rsid w:val="00B539B6"/>
    <w:rsid w:val="00B53AAB"/>
    <w:rsid w:val="00B56402"/>
    <w:rsid w:val="00B56AF4"/>
    <w:rsid w:val="00B678D8"/>
    <w:rsid w:val="00B73999"/>
    <w:rsid w:val="00B95FAF"/>
    <w:rsid w:val="00BD7487"/>
    <w:rsid w:val="00BF0738"/>
    <w:rsid w:val="00BF38C5"/>
    <w:rsid w:val="00BF5224"/>
    <w:rsid w:val="00C056FA"/>
    <w:rsid w:val="00C21A3C"/>
    <w:rsid w:val="00C23A17"/>
    <w:rsid w:val="00C23C58"/>
    <w:rsid w:val="00C26229"/>
    <w:rsid w:val="00C27D53"/>
    <w:rsid w:val="00C32AAB"/>
    <w:rsid w:val="00C37559"/>
    <w:rsid w:val="00C66BFC"/>
    <w:rsid w:val="00C67B20"/>
    <w:rsid w:val="00C72F4A"/>
    <w:rsid w:val="00C732F4"/>
    <w:rsid w:val="00C77BF1"/>
    <w:rsid w:val="00C93948"/>
    <w:rsid w:val="00C93F3A"/>
    <w:rsid w:val="00CC19E0"/>
    <w:rsid w:val="00CC252C"/>
    <w:rsid w:val="00CC3825"/>
    <w:rsid w:val="00CC55BF"/>
    <w:rsid w:val="00CD0003"/>
    <w:rsid w:val="00CD18CD"/>
    <w:rsid w:val="00CD675F"/>
    <w:rsid w:val="00CE13B2"/>
    <w:rsid w:val="00CF0E89"/>
    <w:rsid w:val="00CF6AA4"/>
    <w:rsid w:val="00D015DE"/>
    <w:rsid w:val="00D01810"/>
    <w:rsid w:val="00D02D2F"/>
    <w:rsid w:val="00D117FF"/>
    <w:rsid w:val="00D120C2"/>
    <w:rsid w:val="00D16209"/>
    <w:rsid w:val="00D3392B"/>
    <w:rsid w:val="00D40D92"/>
    <w:rsid w:val="00D521E9"/>
    <w:rsid w:val="00D61F9F"/>
    <w:rsid w:val="00D77312"/>
    <w:rsid w:val="00D802D8"/>
    <w:rsid w:val="00D8072E"/>
    <w:rsid w:val="00D86DF4"/>
    <w:rsid w:val="00DA5195"/>
    <w:rsid w:val="00DB1493"/>
    <w:rsid w:val="00DF40FA"/>
    <w:rsid w:val="00DF4274"/>
    <w:rsid w:val="00E06C31"/>
    <w:rsid w:val="00E10891"/>
    <w:rsid w:val="00E158B1"/>
    <w:rsid w:val="00E203DE"/>
    <w:rsid w:val="00E26FF1"/>
    <w:rsid w:val="00E30BC2"/>
    <w:rsid w:val="00E322DA"/>
    <w:rsid w:val="00E33F0A"/>
    <w:rsid w:val="00E34730"/>
    <w:rsid w:val="00E34914"/>
    <w:rsid w:val="00E432DC"/>
    <w:rsid w:val="00E50817"/>
    <w:rsid w:val="00E563A4"/>
    <w:rsid w:val="00E564F0"/>
    <w:rsid w:val="00E70374"/>
    <w:rsid w:val="00E717B9"/>
    <w:rsid w:val="00E875ED"/>
    <w:rsid w:val="00EA14EF"/>
    <w:rsid w:val="00EA2AB2"/>
    <w:rsid w:val="00ED4BDF"/>
    <w:rsid w:val="00EF09A3"/>
    <w:rsid w:val="00F0689F"/>
    <w:rsid w:val="00F10D49"/>
    <w:rsid w:val="00F1100D"/>
    <w:rsid w:val="00F130A4"/>
    <w:rsid w:val="00F21CDD"/>
    <w:rsid w:val="00F2682C"/>
    <w:rsid w:val="00F2734F"/>
    <w:rsid w:val="00F66B74"/>
    <w:rsid w:val="00F66BB7"/>
    <w:rsid w:val="00F80ED7"/>
    <w:rsid w:val="00F81259"/>
    <w:rsid w:val="00FA19BB"/>
    <w:rsid w:val="00FB0910"/>
    <w:rsid w:val="00FB5514"/>
    <w:rsid w:val="00FC6508"/>
    <w:rsid w:val="00FF6A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66D1"/>
  <w15:docId w15:val="{AF855C0E-DBD6-437D-BBE9-A91D842C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17B9"/>
  </w:style>
  <w:style w:type="paragraph" w:styleId="Titolo1">
    <w:name w:val="heading 1"/>
    <w:basedOn w:val="Normale"/>
    <w:next w:val="Normale"/>
    <w:link w:val="Titolo1Carattere"/>
    <w:uiPriority w:val="9"/>
    <w:qFormat/>
    <w:rsid w:val="00E717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C77BF1"/>
    <w:pPr>
      <w:keepNext/>
      <w:keepLines/>
      <w:spacing w:before="40" w:after="240"/>
      <w:outlineLvl w:val="1"/>
    </w:pPr>
    <w:rPr>
      <w:rFonts w:ascii="GlosaW01-HeadlineBold" w:eastAsiaTheme="majorEastAsia" w:hAnsi="GlosaW01-HeadlineBold" w:cstheme="majorBidi"/>
      <w:b/>
      <w:bCs/>
      <w:color w:val="000000" w:themeColor="text1"/>
      <w:sz w:val="34"/>
      <w:szCs w:val="34"/>
      <w:lang w:eastAsia="it-IT"/>
    </w:rPr>
  </w:style>
  <w:style w:type="paragraph" w:styleId="Titolo3">
    <w:name w:val="heading 3"/>
    <w:basedOn w:val="Sottotitolo"/>
    <w:next w:val="Normale"/>
    <w:link w:val="Titolo3Carattere"/>
    <w:uiPriority w:val="9"/>
    <w:unhideWhenUsed/>
    <w:qFormat/>
    <w:rsid w:val="00C77BF1"/>
    <w:pPr>
      <w:spacing w:after="240" w:line="240" w:lineRule="auto"/>
      <w:outlineLvl w:val="2"/>
    </w:pPr>
    <w:rPr>
      <w:rFonts w:ascii="GlosaW01-HeadlineBold" w:hAnsi="GlosaW01-HeadlineBold"/>
      <w:b/>
      <w:bCs/>
      <w:color w:val="000000" w:themeColor="text1"/>
      <w:sz w:val="24"/>
      <w:szCs w:val="24"/>
      <w:lang w:eastAsia="it-IT"/>
    </w:rPr>
  </w:style>
  <w:style w:type="paragraph" w:styleId="Titolo4">
    <w:name w:val="heading 4"/>
    <w:basedOn w:val="Normale"/>
    <w:next w:val="Normale"/>
    <w:link w:val="Titolo4Carattere"/>
    <w:uiPriority w:val="9"/>
    <w:unhideWhenUsed/>
    <w:qFormat/>
    <w:rsid w:val="00C77BF1"/>
    <w:pPr>
      <w:keepNext/>
      <w:keepLines/>
      <w:spacing w:before="40" w:after="240"/>
      <w:outlineLvl w:val="3"/>
    </w:pPr>
    <w:rPr>
      <w:rFonts w:ascii="GlosaW01-HeadlineBold" w:eastAsiaTheme="majorEastAsia" w:hAnsi="GlosaW01-HeadlineBold" w:cstheme="majorBidi"/>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77BF1"/>
    <w:rPr>
      <w:rFonts w:ascii="GlosaW01-HeadlineBold" w:eastAsiaTheme="majorEastAsia" w:hAnsi="GlosaW01-HeadlineBold" w:cstheme="majorBidi"/>
      <w:b/>
      <w:bCs/>
      <w:color w:val="000000" w:themeColor="text1"/>
      <w:sz w:val="34"/>
      <w:szCs w:val="34"/>
      <w:lang w:eastAsia="it-IT"/>
    </w:rPr>
  </w:style>
  <w:style w:type="character" w:customStyle="1" w:styleId="Titolo3Carattere">
    <w:name w:val="Titolo 3 Carattere"/>
    <w:basedOn w:val="Carpredefinitoparagrafo"/>
    <w:link w:val="Titolo3"/>
    <w:uiPriority w:val="9"/>
    <w:rsid w:val="00C77BF1"/>
    <w:rPr>
      <w:rFonts w:ascii="GlosaW01-HeadlineBold" w:eastAsiaTheme="minorEastAsia" w:hAnsi="GlosaW01-HeadlineBold"/>
      <w:b/>
      <w:bCs/>
      <w:color w:val="000000" w:themeColor="text1"/>
      <w:spacing w:val="15"/>
      <w:sz w:val="24"/>
      <w:szCs w:val="24"/>
      <w:lang w:eastAsia="it-IT"/>
    </w:rPr>
  </w:style>
  <w:style w:type="paragraph" w:styleId="Pidipagina">
    <w:name w:val="footer"/>
    <w:basedOn w:val="Normale"/>
    <w:link w:val="PidipaginaCarattere"/>
    <w:uiPriority w:val="99"/>
    <w:unhideWhenUsed/>
    <w:rsid w:val="00E717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17B9"/>
  </w:style>
  <w:style w:type="paragraph" w:styleId="Paragrafoelenco">
    <w:name w:val="List Paragraph"/>
    <w:aliases w:val="Lettre d'introduction,List Paragraph1,1st level - Bullet List Paragraph,Medium Grid 1 - Accent 21,Normal bullet 2,Bullet list,Numbered List"/>
    <w:basedOn w:val="Normale"/>
    <w:link w:val="ParagrafoelencoCarattere"/>
    <w:uiPriority w:val="34"/>
    <w:qFormat/>
    <w:rsid w:val="00E717B9"/>
    <w:pPr>
      <w:ind w:left="720"/>
      <w:contextualSpacing/>
    </w:pPr>
  </w:style>
  <w:style w:type="character" w:customStyle="1" w:styleId="Titolo1Carattere">
    <w:name w:val="Titolo 1 Carattere"/>
    <w:basedOn w:val="Carpredefinitoparagrafo"/>
    <w:link w:val="Titolo1"/>
    <w:uiPriority w:val="9"/>
    <w:rsid w:val="00E717B9"/>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E717B9"/>
    <w:pPr>
      <w:outlineLvl w:val="9"/>
    </w:pPr>
    <w:rPr>
      <w:rFonts w:ascii="Felix Titling" w:hAnsi="Felix Titling"/>
      <w:color w:val="000000" w:themeColor="text1"/>
      <w:lang w:eastAsia="it-IT"/>
    </w:rPr>
  </w:style>
  <w:style w:type="paragraph" w:styleId="Sottotitolo">
    <w:name w:val="Subtitle"/>
    <w:basedOn w:val="Normale"/>
    <w:next w:val="Normale"/>
    <w:link w:val="SottotitoloCarattere"/>
    <w:uiPriority w:val="11"/>
    <w:qFormat/>
    <w:rsid w:val="00E717B9"/>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E717B9"/>
    <w:rPr>
      <w:rFonts w:eastAsiaTheme="minorEastAsia"/>
      <w:color w:val="5A5A5A" w:themeColor="text1" w:themeTint="A5"/>
      <w:spacing w:val="15"/>
    </w:rPr>
  </w:style>
  <w:style w:type="paragraph" w:styleId="Sommario2">
    <w:name w:val="toc 2"/>
    <w:basedOn w:val="Normale"/>
    <w:next w:val="Normale"/>
    <w:autoRedefine/>
    <w:uiPriority w:val="39"/>
    <w:unhideWhenUsed/>
    <w:rsid w:val="00E717B9"/>
    <w:pPr>
      <w:tabs>
        <w:tab w:val="left" w:pos="660"/>
        <w:tab w:val="right" w:leader="dot" w:pos="9628"/>
      </w:tabs>
      <w:spacing w:after="100"/>
      <w:ind w:left="220"/>
    </w:pPr>
    <w:rPr>
      <w:noProof/>
    </w:rPr>
  </w:style>
  <w:style w:type="paragraph" w:styleId="Sommario3">
    <w:name w:val="toc 3"/>
    <w:basedOn w:val="Normale"/>
    <w:next w:val="Normale"/>
    <w:autoRedefine/>
    <w:uiPriority w:val="39"/>
    <w:unhideWhenUsed/>
    <w:rsid w:val="00E717B9"/>
    <w:pPr>
      <w:spacing w:after="100"/>
      <w:ind w:left="440"/>
    </w:pPr>
  </w:style>
  <w:style w:type="character" w:styleId="Collegamentoipertestuale">
    <w:name w:val="Hyperlink"/>
    <w:basedOn w:val="Carpredefinitoparagrafo"/>
    <w:uiPriority w:val="99"/>
    <w:unhideWhenUsed/>
    <w:rsid w:val="00E717B9"/>
    <w:rPr>
      <w:color w:val="0563C1" w:themeColor="hyperlink"/>
      <w:u w:val="single"/>
    </w:rPr>
  </w:style>
  <w:style w:type="character" w:customStyle="1" w:styleId="Titolo4Carattere">
    <w:name w:val="Titolo 4 Carattere"/>
    <w:basedOn w:val="Carpredefinitoparagrafo"/>
    <w:link w:val="Titolo4"/>
    <w:uiPriority w:val="9"/>
    <w:rsid w:val="00C77BF1"/>
    <w:rPr>
      <w:rFonts w:ascii="GlosaW01-HeadlineBold" w:eastAsiaTheme="majorEastAsia" w:hAnsi="GlosaW01-HeadlineBold" w:cstheme="majorBidi"/>
      <w:u w:val="single"/>
    </w:rPr>
  </w:style>
  <w:style w:type="paragraph" w:styleId="Testofumetto">
    <w:name w:val="Balloon Text"/>
    <w:basedOn w:val="Normale"/>
    <w:link w:val="TestofumettoCarattere"/>
    <w:uiPriority w:val="99"/>
    <w:semiHidden/>
    <w:unhideWhenUsed/>
    <w:rsid w:val="008F57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57E2"/>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86410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64102"/>
    <w:rPr>
      <w:sz w:val="20"/>
      <w:szCs w:val="20"/>
    </w:rPr>
  </w:style>
  <w:style w:type="character" w:styleId="Rimandonotaapidipagina">
    <w:name w:val="footnote reference"/>
    <w:basedOn w:val="Carpredefinitoparagrafo"/>
    <w:uiPriority w:val="99"/>
    <w:semiHidden/>
    <w:unhideWhenUsed/>
    <w:rsid w:val="00864102"/>
    <w:rPr>
      <w:vertAlign w:val="superscript"/>
    </w:rPr>
  </w:style>
  <w:style w:type="paragraph" w:styleId="Intestazione">
    <w:name w:val="header"/>
    <w:basedOn w:val="Normale"/>
    <w:link w:val="IntestazioneCarattere"/>
    <w:uiPriority w:val="99"/>
    <w:unhideWhenUsed/>
    <w:rsid w:val="00E349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4914"/>
  </w:style>
  <w:style w:type="table" w:styleId="Grigliatabella">
    <w:name w:val="Table Grid"/>
    <w:basedOn w:val="Tabellanormale"/>
    <w:uiPriority w:val="39"/>
    <w:rsid w:val="0041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Lettre d'introduction Carattere,List Paragraph1 Carattere,1st level - Bullet List Paragraph Carattere,Medium Grid 1 - Accent 21 Carattere,Normal bullet 2 Carattere,Bullet list Carattere,Numbered List Carattere"/>
    <w:link w:val="Paragrafoelenco"/>
    <w:locked/>
    <w:rsid w:val="004B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404">
      <w:bodyDiv w:val="1"/>
      <w:marLeft w:val="0"/>
      <w:marRight w:val="0"/>
      <w:marTop w:val="0"/>
      <w:marBottom w:val="0"/>
      <w:divBdr>
        <w:top w:val="none" w:sz="0" w:space="0" w:color="auto"/>
        <w:left w:val="none" w:sz="0" w:space="0" w:color="auto"/>
        <w:bottom w:val="none" w:sz="0" w:space="0" w:color="auto"/>
        <w:right w:val="none" w:sz="0" w:space="0" w:color="auto"/>
      </w:divBdr>
    </w:div>
    <w:div w:id="166289639">
      <w:bodyDiv w:val="1"/>
      <w:marLeft w:val="0"/>
      <w:marRight w:val="0"/>
      <w:marTop w:val="0"/>
      <w:marBottom w:val="0"/>
      <w:divBdr>
        <w:top w:val="none" w:sz="0" w:space="0" w:color="auto"/>
        <w:left w:val="none" w:sz="0" w:space="0" w:color="auto"/>
        <w:bottom w:val="none" w:sz="0" w:space="0" w:color="auto"/>
        <w:right w:val="none" w:sz="0" w:space="0" w:color="auto"/>
      </w:divBdr>
    </w:div>
    <w:div w:id="236746180">
      <w:bodyDiv w:val="1"/>
      <w:marLeft w:val="0"/>
      <w:marRight w:val="0"/>
      <w:marTop w:val="0"/>
      <w:marBottom w:val="0"/>
      <w:divBdr>
        <w:top w:val="none" w:sz="0" w:space="0" w:color="auto"/>
        <w:left w:val="none" w:sz="0" w:space="0" w:color="auto"/>
        <w:bottom w:val="none" w:sz="0" w:space="0" w:color="auto"/>
        <w:right w:val="none" w:sz="0" w:space="0" w:color="auto"/>
      </w:divBdr>
    </w:div>
    <w:div w:id="334576468">
      <w:bodyDiv w:val="1"/>
      <w:marLeft w:val="0"/>
      <w:marRight w:val="0"/>
      <w:marTop w:val="0"/>
      <w:marBottom w:val="0"/>
      <w:divBdr>
        <w:top w:val="none" w:sz="0" w:space="0" w:color="auto"/>
        <w:left w:val="none" w:sz="0" w:space="0" w:color="auto"/>
        <w:bottom w:val="none" w:sz="0" w:space="0" w:color="auto"/>
        <w:right w:val="none" w:sz="0" w:space="0" w:color="auto"/>
      </w:divBdr>
    </w:div>
    <w:div w:id="414211849">
      <w:bodyDiv w:val="1"/>
      <w:marLeft w:val="0"/>
      <w:marRight w:val="0"/>
      <w:marTop w:val="0"/>
      <w:marBottom w:val="0"/>
      <w:divBdr>
        <w:top w:val="none" w:sz="0" w:space="0" w:color="auto"/>
        <w:left w:val="none" w:sz="0" w:space="0" w:color="auto"/>
        <w:bottom w:val="none" w:sz="0" w:space="0" w:color="auto"/>
        <w:right w:val="none" w:sz="0" w:space="0" w:color="auto"/>
      </w:divBdr>
    </w:div>
    <w:div w:id="457768977">
      <w:bodyDiv w:val="1"/>
      <w:marLeft w:val="0"/>
      <w:marRight w:val="0"/>
      <w:marTop w:val="0"/>
      <w:marBottom w:val="0"/>
      <w:divBdr>
        <w:top w:val="none" w:sz="0" w:space="0" w:color="auto"/>
        <w:left w:val="none" w:sz="0" w:space="0" w:color="auto"/>
        <w:bottom w:val="none" w:sz="0" w:space="0" w:color="auto"/>
        <w:right w:val="none" w:sz="0" w:space="0" w:color="auto"/>
      </w:divBdr>
    </w:div>
    <w:div w:id="624118375">
      <w:bodyDiv w:val="1"/>
      <w:marLeft w:val="0"/>
      <w:marRight w:val="0"/>
      <w:marTop w:val="0"/>
      <w:marBottom w:val="0"/>
      <w:divBdr>
        <w:top w:val="none" w:sz="0" w:space="0" w:color="auto"/>
        <w:left w:val="none" w:sz="0" w:space="0" w:color="auto"/>
        <w:bottom w:val="none" w:sz="0" w:space="0" w:color="auto"/>
        <w:right w:val="none" w:sz="0" w:space="0" w:color="auto"/>
      </w:divBdr>
    </w:div>
    <w:div w:id="769549494">
      <w:bodyDiv w:val="1"/>
      <w:marLeft w:val="0"/>
      <w:marRight w:val="0"/>
      <w:marTop w:val="0"/>
      <w:marBottom w:val="0"/>
      <w:divBdr>
        <w:top w:val="none" w:sz="0" w:space="0" w:color="auto"/>
        <w:left w:val="none" w:sz="0" w:space="0" w:color="auto"/>
        <w:bottom w:val="none" w:sz="0" w:space="0" w:color="auto"/>
        <w:right w:val="none" w:sz="0" w:space="0" w:color="auto"/>
      </w:divBdr>
    </w:div>
    <w:div w:id="888416602">
      <w:bodyDiv w:val="1"/>
      <w:marLeft w:val="0"/>
      <w:marRight w:val="0"/>
      <w:marTop w:val="0"/>
      <w:marBottom w:val="0"/>
      <w:divBdr>
        <w:top w:val="none" w:sz="0" w:space="0" w:color="auto"/>
        <w:left w:val="none" w:sz="0" w:space="0" w:color="auto"/>
        <w:bottom w:val="none" w:sz="0" w:space="0" w:color="auto"/>
        <w:right w:val="none" w:sz="0" w:space="0" w:color="auto"/>
      </w:divBdr>
    </w:div>
    <w:div w:id="930622459">
      <w:bodyDiv w:val="1"/>
      <w:marLeft w:val="0"/>
      <w:marRight w:val="0"/>
      <w:marTop w:val="0"/>
      <w:marBottom w:val="0"/>
      <w:divBdr>
        <w:top w:val="none" w:sz="0" w:space="0" w:color="auto"/>
        <w:left w:val="none" w:sz="0" w:space="0" w:color="auto"/>
        <w:bottom w:val="none" w:sz="0" w:space="0" w:color="auto"/>
        <w:right w:val="none" w:sz="0" w:space="0" w:color="auto"/>
      </w:divBdr>
    </w:div>
    <w:div w:id="1034380890">
      <w:bodyDiv w:val="1"/>
      <w:marLeft w:val="0"/>
      <w:marRight w:val="0"/>
      <w:marTop w:val="0"/>
      <w:marBottom w:val="0"/>
      <w:divBdr>
        <w:top w:val="none" w:sz="0" w:space="0" w:color="auto"/>
        <w:left w:val="none" w:sz="0" w:space="0" w:color="auto"/>
        <w:bottom w:val="none" w:sz="0" w:space="0" w:color="auto"/>
        <w:right w:val="none" w:sz="0" w:space="0" w:color="auto"/>
      </w:divBdr>
    </w:div>
    <w:div w:id="1130132896">
      <w:bodyDiv w:val="1"/>
      <w:marLeft w:val="0"/>
      <w:marRight w:val="0"/>
      <w:marTop w:val="0"/>
      <w:marBottom w:val="0"/>
      <w:divBdr>
        <w:top w:val="none" w:sz="0" w:space="0" w:color="auto"/>
        <w:left w:val="none" w:sz="0" w:space="0" w:color="auto"/>
        <w:bottom w:val="none" w:sz="0" w:space="0" w:color="auto"/>
        <w:right w:val="none" w:sz="0" w:space="0" w:color="auto"/>
      </w:divBdr>
    </w:div>
    <w:div w:id="1132558581">
      <w:bodyDiv w:val="1"/>
      <w:marLeft w:val="0"/>
      <w:marRight w:val="0"/>
      <w:marTop w:val="0"/>
      <w:marBottom w:val="0"/>
      <w:divBdr>
        <w:top w:val="none" w:sz="0" w:space="0" w:color="auto"/>
        <w:left w:val="none" w:sz="0" w:space="0" w:color="auto"/>
        <w:bottom w:val="none" w:sz="0" w:space="0" w:color="auto"/>
        <w:right w:val="none" w:sz="0" w:space="0" w:color="auto"/>
      </w:divBdr>
    </w:div>
    <w:div w:id="1155999315">
      <w:bodyDiv w:val="1"/>
      <w:marLeft w:val="0"/>
      <w:marRight w:val="0"/>
      <w:marTop w:val="0"/>
      <w:marBottom w:val="0"/>
      <w:divBdr>
        <w:top w:val="none" w:sz="0" w:space="0" w:color="auto"/>
        <w:left w:val="none" w:sz="0" w:space="0" w:color="auto"/>
        <w:bottom w:val="none" w:sz="0" w:space="0" w:color="auto"/>
        <w:right w:val="none" w:sz="0" w:space="0" w:color="auto"/>
      </w:divBdr>
    </w:div>
    <w:div w:id="1249461079">
      <w:bodyDiv w:val="1"/>
      <w:marLeft w:val="0"/>
      <w:marRight w:val="0"/>
      <w:marTop w:val="0"/>
      <w:marBottom w:val="0"/>
      <w:divBdr>
        <w:top w:val="none" w:sz="0" w:space="0" w:color="auto"/>
        <w:left w:val="none" w:sz="0" w:space="0" w:color="auto"/>
        <w:bottom w:val="none" w:sz="0" w:space="0" w:color="auto"/>
        <w:right w:val="none" w:sz="0" w:space="0" w:color="auto"/>
      </w:divBdr>
    </w:div>
    <w:div w:id="1559125830">
      <w:bodyDiv w:val="1"/>
      <w:marLeft w:val="0"/>
      <w:marRight w:val="0"/>
      <w:marTop w:val="0"/>
      <w:marBottom w:val="0"/>
      <w:divBdr>
        <w:top w:val="none" w:sz="0" w:space="0" w:color="auto"/>
        <w:left w:val="none" w:sz="0" w:space="0" w:color="auto"/>
        <w:bottom w:val="none" w:sz="0" w:space="0" w:color="auto"/>
        <w:right w:val="none" w:sz="0" w:space="0" w:color="auto"/>
      </w:divBdr>
    </w:div>
    <w:div w:id="1588340305">
      <w:bodyDiv w:val="1"/>
      <w:marLeft w:val="0"/>
      <w:marRight w:val="0"/>
      <w:marTop w:val="0"/>
      <w:marBottom w:val="0"/>
      <w:divBdr>
        <w:top w:val="none" w:sz="0" w:space="0" w:color="auto"/>
        <w:left w:val="none" w:sz="0" w:space="0" w:color="auto"/>
        <w:bottom w:val="none" w:sz="0" w:space="0" w:color="auto"/>
        <w:right w:val="none" w:sz="0" w:space="0" w:color="auto"/>
      </w:divBdr>
    </w:div>
    <w:div w:id="1669362485">
      <w:bodyDiv w:val="1"/>
      <w:marLeft w:val="0"/>
      <w:marRight w:val="0"/>
      <w:marTop w:val="0"/>
      <w:marBottom w:val="0"/>
      <w:divBdr>
        <w:top w:val="none" w:sz="0" w:space="0" w:color="auto"/>
        <w:left w:val="none" w:sz="0" w:space="0" w:color="auto"/>
        <w:bottom w:val="none" w:sz="0" w:space="0" w:color="auto"/>
        <w:right w:val="none" w:sz="0" w:space="0" w:color="auto"/>
      </w:divBdr>
    </w:div>
    <w:div w:id="1783720857">
      <w:bodyDiv w:val="1"/>
      <w:marLeft w:val="0"/>
      <w:marRight w:val="0"/>
      <w:marTop w:val="0"/>
      <w:marBottom w:val="0"/>
      <w:divBdr>
        <w:top w:val="none" w:sz="0" w:space="0" w:color="auto"/>
        <w:left w:val="none" w:sz="0" w:space="0" w:color="auto"/>
        <w:bottom w:val="none" w:sz="0" w:space="0" w:color="auto"/>
        <w:right w:val="none" w:sz="0" w:space="0" w:color="auto"/>
      </w:divBdr>
    </w:div>
    <w:div w:id="2133085136">
      <w:bodyDiv w:val="1"/>
      <w:marLeft w:val="0"/>
      <w:marRight w:val="0"/>
      <w:marTop w:val="0"/>
      <w:marBottom w:val="0"/>
      <w:divBdr>
        <w:top w:val="none" w:sz="0" w:space="0" w:color="auto"/>
        <w:left w:val="none" w:sz="0" w:space="0" w:color="auto"/>
        <w:bottom w:val="none" w:sz="0" w:space="0" w:color="auto"/>
        <w:right w:val="none" w:sz="0" w:space="0" w:color="auto"/>
      </w:divBdr>
    </w:div>
    <w:div w:id="21432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F0C81-D3D6-479E-BA74-D90540FA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3500</Words>
  <Characters>19956</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MarinellaFiorenza</cp:lastModifiedBy>
  <cp:revision>2</cp:revision>
  <dcterms:created xsi:type="dcterms:W3CDTF">2021-06-29T07:10:00Z</dcterms:created>
  <dcterms:modified xsi:type="dcterms:W3CDTF">2021-06-29T07:10:00Z</dcterms:modified>
</cp:coreProperties>
</file>