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837" w:rsidRDefault="005F5837" w:rsidP="005F5837">
      <w:pPr>
        <w:widowControl/>
        <w:ind w:right="-1"/>
        <w:jc w:val="center"/>
        <w:rPr>
          <w:rFonts w:ascii="Times New Roman" w:hAnsi="Times New Roman" w:cs="Times New Roman"/>
          <w:b/>
          <w:bCs/>
          <w:sz w:val="24"/>
          <w:szCs w:val="24"/>
          <w:lang/>
        </w:rPr>
      </w:pPr>
    </w:p>
    <w:p w:rsidR="005F5837" w:rsidRDefault="005F5837" w:rsidP="005F5837">
      <w:pPr>
        <w:widowControl/>
        <w:ind w:right="-1"/>
        <w:jc w:val="center"/>
        <w:rPr>
          <w:rFonts w:ascii="Times New Roman" w:hAnsi="Times New Roman" w:cs="Times New Roman"/>
          <w:b/>
          <w:bCs/>
          <w:sz w:val="24"/>
          <w:szCs w:val="24"/>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PATTO PER L’ATTUAZIONE DELLA</w:t>
      </w: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SICUREZZA URBANA</w:t>
      </w:r>
    </w:p>
    <w:p w:rsidR="005F5837" w:rsidRDefault="005F5837" w:rsidP="005F5837">
      <w:pPr>
        <w:widowControl/>
        <w:ind w:right="-1"/>
        <w:jc w:val="center"/>
        <w:rPr>
          <w:rFonts w:ascii="Times New Roman" w:hAnsi="Times New Roman" w:cs="Times New Roman"/>
          <w:i/>
          <w:iCs/>
          <w:sz w:val="24"/>
          <w:szCs w:val="24"/>
          <w:lang/>
        </w:rPr>
      </w:pPr>
      <w:r>
        <w:rPr>
          <w:rFonts w:ascii="Times New Roman" w:hAnsi="Times New Roman" w:cs="Times New Roman"/>
          <w:i/>
          <w:iCs/>
          <w:sz w:val="24"/>
          <w:szCs w:val="24"/>
          <w:lang/>
        </w:rPr>
        <w:t xml:space="preserve">(art.5 del decreto legge 20 febbraio 2017, n.14 </w:t>
      </w:r>
    </w:p>
    <w:p w:rsidR="005F5837" w:rsidRDefault="005F5837" w:rsidP="005F5837">
      <w:pPr>
        <w:widowControl/>
        <w:ind w:right="-1"/>
        <w:jc w:val="center"/>
        <w:rPr>
          <w:rFonts w:ascii="Times New Roman" w:hAnsi="Times New Roman" w:cs="Times New Roman"/>
          <w:i/>
          <w:iCs/>
          <w:sz w:val="24"/>
          <w:szCs w:val="24"/>
          <w:lang/>
        </w:rPr>
      </w:pPr>
      <w:r>
        <w:rPr>
          <w:rFonts w:ascii="Times New Roman" w:hAnsi="Times New Roman" w:cs="Times New Roman"/>
          <w:i/>
          <w:iCs/>
          <w:sz w:val="24"/>
          <w:szCs w:val="24"/>
          <w:lang/>
        </w:rPr>
        <w:t>convertito con modificazioni dalla legge 18 aprile 2017, n.48)</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Tra</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Il Prefetto di Ascoli Piceno</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e</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Il Sindaco di Montalto delle Marche</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VISTI:</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gli artt.117, lett. h), e 118 della Costituzione;</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regio decreto 18 giugno 1931, n.773 “</w:t>
      </w:r>
      <w:r>
        <w:rPr>
          <w:rFonts w:ascii="Times New Roman" w:hAnsi="Times New Roman" w:cs="Times New Roman"/>
          <w:i/>
          <w:iCs/>
          <w:sz w:val="24"/>
          <w:szCs w:val="24"/>
          <w:lang/>
        </w:rPr>
        <w:t>Testo unico delle Leggi di Pubblica Sicurezza</w:t>
      </w:r>
      <w:r>
        <w:rPr>
          <w:rFonts w:ascii="Times New Roman" w:hAnsi="Times New Roman" w:cs="Times New Roman"/>
          <w:sz w:val="24"/>
          <w:szCs w:val="24"/>
          <w:lang/>
        </w:rPr>
        <w:t>”;</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la legge 1 aprile 1981, n.121 “</w:t>
      </w:r>
      <w:r>
        <w:rPr>
          <w:rFonts w:ascii="Times New Roman" w:hAnsi="Times New Roman" w:cs="Times New Roman"/>
          <w:i/>
          <w:iCs/>
          <w:sz w:val="24"/>
          <w:szCs w:val="24"/>
          <w:lang/>
        </w:rPr>
        <w:t>Nuovo ordinamento dell’Amministrazione della Pubblica Sicurezza e successive modificazioni e integrazioni</w:t>
      </w:r>
      <w:r>
        <w:rPr>
          <w:rFonts w:ascii="Times New Roman" w:hAnsi="Times New Roman" w:cs="Times New Roman"/>
          <w:sz w:val="24"/>
          <w:szCs w:val="24"/>
          <w:lang/>
        </w:rPr>
        <w:t>”;</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la legge 7 marzo 1986, n.65 “</w:t>
      </w:r>
      <w:r>
        <w:rPr>
          <w:rFonts w:ascii="Times New Roman" w:hAnsi="Times New Roman" w:cs="Times New Roman"/>
          <w:i/>
          <w:iCs/>
          <w:sz w:val="24"/>
          <w:szCs w:val="24"/>
          <w:lang/>
        </w:rPr>
        <w:t>Legge quadro sull’ordinamento della Polizia Municipale</w:t>
      </w:r>
      <w:r>
        <w:rPr>
          <w:rFonts w:ascii="Times New Roman" w:hAnsi="Times New Roman" w:cs="Times New Roman"/>
          <w:sz w:val="24"/>
          <w:szCs w:val="24"/>
          <w:lang/>
        </w:rPr>
        <w:t>”;</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legislativo 18 agosto 2000, n.267 “</w:t>
      </w:r>
      <w:r>
        <w:rPr>
          <w:rFonts w:ascii="Times New Roman" w:hAnsi="Times New Roman" w:cs="Times New Roman"/>
          <w:i/>
          <w:iCs/>
          <w:sz w:val="24"/>
          <w:szCs w:val="24"/>
          <w:lang/>
        </w:rPr>
        <w:t>Testo Unico delle leggi sull’ordinamento degli Enti Locali</w:t>
      </w:r>
      <w:r>
        <w:rPr>
          <w:rFonts w:ascii="Times New Roman" w:hAnsi="Times New Roman" w:cs="Times New Roman"/>
          <w:sz w:val="24"/>
          <w:szCs w:val="24"/>
          <w:lang/>
        </w:rPr>
        <w:t>”;</w:t>
      </w:r>
    </w:p>
    <w:p w:rsidR="005F5837" w:rsidRDefault="005F5837" w:rsidP="005F5837">
      <w:pPr>
        <w:widowControl/>
        <w:numPr>
          <w:ilvl w:val="0"/>
          <w:numId w:val="5"/>
        </w:numPr>
        <w:ind w:left="709" w:hanging="360"/>
        <w:jc w:val="both"/>
        <w:rPr>
          <w:rFonts w:ascii="Times New Roman" w:hAnsi="Times New Roman" w:cs="Times New Roman"/>
          <w:sz w:val="24"/>
          <w:szCs w:val="24"/>
          <w:lang/>
        </w:rPr>
      </w:pPr>
      <w:r>
        <w:rPr>
          <w:rFonts w:ascii="Times New Roman" w:hAnsi="Times New Roman" w:cs="Times New Roman"/>
          <w:sz w:val="24"/>
          <w:szCs w:val="24"/>
          <w:lang/>
        </w:rPr>
        <w:t>l’art.1, comma 439, della legge 27 dicembre 2006, n.296 che conferisce al Ministro dell’Interno e, per sua delega, ai Prefetti la facoltà di promuovere forme di collaborazione con gli Enti locali per la realizzazione degli obiettivi del Patto e di programmi straordinari di incremento dei servizi di polizia e per la sicurezza dei cittadini;</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legge del 20 febbraio 2017, n.14 recante “</w:t>
      </w:r>
      <w:r>
        <w:rPr>
          <w:rFonts w:ascii="Times New Roman" w:hAnsi="Times New Roman" w:cs="Times New Roman"/>
          <w:i/>
          <w:iCs/>
          <w:sz w:val="24"/>
          <w:szCs w:val="24"/>
          <w:lang/>
        </w:rPr>
        <w:t>Disposizioni urgenti in materia di sicurezza delle città</w:t>
      </w:r>
      <w:r>
        <w:rPr>
          <w:rFonts w:ascii="Times New Roman" w:hAnsi="Times New Roman" w:cs="Times New Roman"/>
          <w:sz w:val="24"/>
          <w:szCs w:val="24"/>
          <w:lang/>
        </w:rPr>
        <w:t>” convertito con modificazioni dalla legge 18 aprile 2017, n.48;</w:t>
      </w:r>
    </w:p>
    <w:p w:rsidR="005F5837" w:rsidRDefault="005F5837" w:rsidP="005F5837">
      <w:pPr>
        <w:widowControl/>
        <w:numPr>
          <w:ilvl w:val="0"/>
          <w:numId w:val="5"/>
        </w:numPr>
        <w:ind w:left="709" w:hanging="360"/>
        <w:jc w:val="both"/>
        <w:rPr>
          <w:rFonts w:ascii="Times New Roman" w:hAnsi="Times New Roman" w:cs="Times New Roman"/>
          <w:sz w:val="24"/>
          <w:szCs w:val="24"/>
          <w:lang/>
        </w:rPr>
      </w:pPr>
      <w:r>
        <w:rPr>
          <w:rFonts w:ascii="Times New Roman" w:hAnsi="Times New Roman" w:cs="Times New Roman"/>
          <w:sz w:val="24"/>
          <w:szCs w:val="24"/>
          <w:lang/>
        </w:rPr>
        <w:t>l’art.5 del citato testo che regolamenta i «patti per l'attuazione della sicurezza urbana», sottoscritti tra il Prefetto ed il Sindaco «in relazione alla specificità dei contesti» e indica espressamente gli «obiettivi» (comma 2 lett. a) di prevenzione e contrasto dei fenomeni di criminalità diffusa e predatoria, attraverso servizi e interventi di prossimità, nonché attraverso l'installazione di sistemi di videosorveglianza;</w:t>
      </w:r>
    </w:p>
    <w:p w:rsidR="005F5837" w:rsidRDefault="005F5837" w:rsidP="005F5837">
      <w:pPr>
        <w:widowControl/>
        <w:numPr>
          <w:ilvl w:val="0"/>
          <w:numId w:val="5"/>
        </w:numPr>
        <w:ind w:left="709" w:hanging="360"/>
        <w:jc w:val="both"/>
        <w:rPr>
          <w:rFonts w:ascii="Times New Roman" w:hAnsi="Times New Roman" w:cs="Times New Roman"/>
          <w:sz w:val="24"/>
          <w:szCs w:val="24"/>
          <w:lang/>
        </w:rPr>
      </w:pPr>
      <w:r>
        <w:rPr>
          <w:rFonts w:ascii="Times New Roman" w:hAnsi="Times New Roman" w:cs="Times New Roman"/>
          <w:sz w:val="24"/>
          <w:szCs w:val="24"/>
          <w:lang/>
        </w:rPr>
        <w:t>l'art.5, comma 2-</w:t>
      </w:r>
      <w:r>
        <w:rPr>
          <w:rFonts w:ascii="Times New Roman" w:hAnsi="Times New Roman" w:cs="Times New Roman"/>
          <w:i/>
          <w:iCs/>
          <w:sz w:val="24"/>
          <w:szCs w:val="24"/>
          <w:lang/>
        </w:rPr>
        <w:t>ter</w:t>
      </w:r>
      <w:r>
        <w:rPr>
          <w:rFonts w:ascii="Times New Roman" w:hAnsi="Times New Roman" w:cs="Times New Roman"/>
          <w:sz w:val="24"/>
          <w:szCs w:val="24"/>
          <w:lang/>
        </w:rPr>
        <w:t xml:space="preserve">, che autorizza una originaria spesa complessiva di 37 milioni di euro per il triennio 2017-2019 con fondi nazionali, per la realizzazione di sistemi di videosorveglianza da parte dei Comuni; </w:t>
      </w:r>
    </w:p>
    <w:p w:rsidR="005F5837" w:rsidRDefault="005F5837" w:rsidP="005F5837">
      <w:pPr>
        <w:widowControl/>
        <w:numPr>
          <w:ilvl w:val="0"/>
          <w:numId w:val="5"/>
        </w:numPr>
        <w:ind w:left="709" w:hanging="360"/>
        <w:jc w:val="both"/>
        <w:rPr>
          <w:rFonts w:ascii="Times New Roman" w:hAnsi="Times New Roman" w:cs="Times New Roman"/>
          <w:color w:val="242021"/>
          <w:sz w:val="24"/>
          <w:szCs w:val="24"/>
          <w:lang/>
        </w:rPr>
      </w:pPr>
      <w:r>
        <w:rPr>
          <w:rFonts w:ascii="Times New Roman" w:hAnsi="Times New Roman" w:cs="Times New Roman"/>
          <w:color w:val="242021"/>
          <w:sz w:val="24"/>
          <w:szCs w:val="24"/>
          <w:lang/>
        </w:rPr>
        <w:t>l’art.35</w:t>
      </w:r>
      <w:r>
        <w:rPr>
          <w:rFonts w:ascii="Times New Roman" w:hAnsi="Times New Roman" w:cs="Times New Roman"/>
          <w:i/>
          <w:iCs/>
          <w:color w:val="242021"/>
          <w:sz w:val="24"/>
          <w:szCs w:val="24"/>
          <w:lang/>
        </w:rPr>
        <w:t>-quinquies</w:t>
      </w:r>
      <w:r>
        <w:rPr>
          <w:rFonts w:ascii="Times New Roman" w:hAnsi="Times New Roman" w:cs="Times New Roman"/>
          <w:color w:val="242021"/>
          <w:sz w:val="24"/>
          <w:szCs w:val="24"/>
          <w:lang/>
        </w:rPr>
        <w:t>, comma 1, del decreto-legge 4 ottobre 2018, n.113, convertito con modificazioni dalla legge 1° dicembre 2018, n. 132, che ha rideterminato l’autorizzazione di spesa di cui al citato art.5, comma 2</w:t>
      </w:r>
      <w:r>
        <w:rPr>
          <w:rFonts w:ascii="Times New Roman" w:hAnsi="Times New Roman" w:cs="Times New Roman"/>
          <w:i/>
          <w:iCs/>
          <w:color w:val="242021"/>
          <w:sz w:val="24"/>
          <w:szCs w:val="24"/>
          <w:lang/>
        </w:rPr>
        <w:t xml:space="preserve">-ter </w:t>
      </w:r>
      <w:r>
        <w:rPr>
          <w:rFonts w:ascii="Times New Roman" w:hAnsi="Times New Roman" w:cs="Times New Roman"/>
          <w:color w:val="242021"/>
          <w:sz w:val="24"/>
          <w:szCs w:val="24"/>
          <w:lang/>
        </w:rPr>
        <w:t>prevedendo un incremento di 17 milioni di euro per l’anno 2020, di 27 milioni di euro per l’anno 2021 e di 36 milioni di euro per l’anno 2022;</w:t>
      </w:r>
    </w:p>
    <w:p w:rsidR="005F5837" w:rsidRDefault="005F5837" w:rsidP="005F5837">
      <w:pPr>
        <w:widowControl/>
        <w:numPr>
          <w:ilvl w:val="0"/>
          <w:numId w:val="5"/>
        </w:numPr>
        <w:ind w:left="709" w:hanging="360"/>
        <w:jc w:val="both"/>
        <w:rPr>
          <w:rFonts w:ascii="Times New Roman" w:hAnsi="Times New Roman" w:cs="Times New Roman"/>
          <w:sz w:val="24"/>
          <w:szCs w:val="24"/>
          <w:lang/>
        </w:rPr>
      </w:pPr>
      <w:r>
        <w:rPr>
          <w:rFonts w:ascii="Times New Roman" w:hAnsi="Times New Roman" w:cs="Times New Roman"/>
          <w:color w:val="242021"/>
          <w:sz w:val="24"/>
          <w:szCs w:val="24"/>
          <w:lang/>
        </w:rPr>
        <w:t>l’art.11</w:t>
      </w:r>
      <w:r>
        <w:rPr>
          <w:rFonts w:ascii="Times New Roman" w:hAnsi="Times New Roman" w:cs="Times New Roman"/>
          <w:i/>
          <w:iCs/>
          <w:color w:val="242021"/>
          <w:sz w:val="24"/>
          <w:szCs w:val="24"/>
          <w:lang/>
        </w:rPr>
        <w:t>-bis</w:t>
      </w:r>
      <w:r>
        <w:rPr>
          <w:rFonts w:ascii="Times New Roman" w:hAnsi="Times New Roman" w:cs="Times New Roman"/>
          <w:color w:val="242021"/>
          <w:sz w:val="24"/>
          <w:szCs w:val="24"/>
          <w:lang/>
        </w:rPr>
        <w:t xml:space="preserve">, comma 19, del decreto-legge 14 dicembre 2018, n.135, convertito con modificazioni dalla legge 11 febbraio 2019, n.12 che demanda ad un decreto del Ministro </w:t>
      </w:r>
      <w:r>
        <w:rPr>
          <w:rFonts w:ascii="Times New Roman" w:hAnsi="Times New Roman" w:cs="Times New Roman"/>
          <w:color w:val="242021"/>
          <w:sz w:val="24"/>
          <w:szCs w:val="24"/>
          <w:lang/>
        </w:rPr>
        <w:lastRenderedPageBreak/>
        <w:t>dell’interno, di concerto con il Ministro dell’economia e delle finanze, da adottarsi entro il 31 marzo di ciascun anno di riferimento, la definizione delle modalità di presentazione delle richieste da parte dei comuni interessati nonché i criteri di ripartizione delle risorse di cui al citato art.35</w:t>
      </w:r>
      <w:r>
        <w:rPr>
          <w:rFonts w:ascii="Times New Roman" w:hAnsi="Times New Roman" w:cs="Times New Roman"/>
          <w:i/>
          <w:iCs/>
          <w:color w:val="242021"/>
          <w:sz w:val="24"/>
          <w:szCs w:val="24"/>
          <w:lang/>
        </w:rPr>
        <w:t xml:space="preserve">-quinquies </w:t>
      </w:r>
      <w:r>
        <w:rPr>
          <w:rFonts w:ascii="Times New Roman" w:hAnsi="Times New Roman" w:cs="Times New Roman"/>
          <w:color w:val="242021"/>
          <w:sz w:val="24"/>
          <w:szCs w:val="24"/>
          <w:lang/>
        </w:rPr>
        <w:t>del decreto-legge n.113 del 2018 relativamente alle annualità 2020, 2021 e 2022</w:t>
      </w:r>
      <w:r>
        <w:rPr>
          <w:rFonts w:ascii="Times New Roman" w:hAnsi="Times New Roman" w:cs="Times New Roman"/>
          <w:sz w:val="24"/>
          <w:szCs w:val="24"/>
          <w:lang/>
        </w:rPr>
        <w:t>; l’accesso al finanziamento è subordinato alla sottoscrizione di uno specifico patto per la sicurezza, che individui come obiettivo prioritario l’installazione di sistemi di videosorveglianza in determinate aree, finalizzato specificamente alle azioni di prevenzione e di contrasto dei fenomeni di criminalità diffusa e predatoria;</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del Ministro dell’Interno di concerto con il Ministro dell’Economia e delle Finanze datato 27 maggio 2020, registrato alla Corte dei Conti in data 8 giugno 2020 Interno foglio n.1624 e pubblicato in Gazzetta Ufficiale - Serie Generale n.161 del 27 giugno 2020, con il quale sono definite le modalità di presentazione delle richieste da parte dei Comuni interessati, nonché i criteri di ripartizione delle risorse previste;</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le fonti normative e regolamentari cui il predetto decreto fa rinvio, tra cui la circolare del Ministero dell’Interno 558/SICPART/421.2/70/224632 del 2 marzo 2012 recante “</w:t>
      </w:r>
      <w:r>
        <w:rPr>
          <w:rFonts w:ascii="Times New Roman" w:hAnsi="Times New Roman" w:cs="Times New Roman"/>
          <w:i/>
          <w:iCs/>
          <w:sz w:val="24"/>
          <w:szCs w:val="24"/>
          <w:lang/>
        </w:rPr>
        <w:t>Sistemi di videosorveglianza in ambito comunale. Direttiva</w:t>
      </w:r>
      <w:r>
        <w:rPr>
          <w:rFonts w:ascii="Times New Roman" w:hAnsi="Times New Roman" w:cs="Times New Roman"/>
          <w:sz w:val="24"/>
          <w:szCs w:val="24"/>
          <w:lang/>
        </w:rPr>
        <w:t>”, e gli atti ivi richiamati;</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Provvedimento Generale del Garante dell’8 aprile 2010, in materia di trattamento di dati personali effettuato tramite sistemi di videosorveglianza;</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legislativo 30 giugno 2003, n.196 “</w:t>
      </w:r>
      <w:r>
        <w:rPr>
          <w:rFonts w:ascii="Times New Roman" w:hAnsi="Times New Roman" w:cs="Times New Roman"/>
          <w:i/>
          <w:iCs/>
          <w:sz w:val="24"/>
          <w:szCs w:val="24"/>
          <w:lang/>
        </w:rPr>
        <w:t>Codice in materia di protezione dei dati personali</w:t>
      </w:r>
      <w:r>
        <w:rPr>
          <w:rFonts w:ascii="Times New Roman" w:hAnsi="Times New Roman" w:cs="Times New Roman"/>
          <w:sz w:val="24"/>
          <w:szCs w:val="24"/>
          <w:lang/>
        </w:rPr>
        <w:t>” come modificato dal decreto legislativo 10 agosto 2018, n.101 e dalla legge 27 dicembre 2019, n.160;</w:t>
      </w:r>
    </w:p>
    <w:p w:rsidR="005F5837" w:rsidRDefault="005F5837" w:rsidP="005F5837">
      <w:pPr>
        <w:widowControl/>
        <w:numPr>
          <w:ilvl w:val="0"/>
          <w:numId w:val="5"/>
        </w:numPr>
        <w:ind w:left="709" w:right="-1" w:hanging="360"/>
        <w:jc w:val="both"/>
        <w:rPr>
          <w:rFonts w:ascii="Times New Roman" w:hAnsi="Times New Roman" w:cs="Times New Roman"/>
          <w:sz w:val="24"/>
          <w:szCs w:val="24"/>
          <w:highlight w:val="white"/>
          <w:lang/>
        </w:rPr>
      </w:pPr>
      <w:r>
        <w:rPr>
          <w:rFonts w:ascii="Times New Roman" w:hAnsi="Times New Roman" w:cs="Times New Roman"/>
          <w:sz w:val="24"/>
          <w:szCs w:val="24"/>
          <w:highlight w:val="white"/>
          <w:lang/>
        </w:rPr>
        <w:t xml:space="preserve">il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 </w:t>
      </w:r>
      <w:r>
        <w:rPr>
          <w:rFonts w:ascii="Times New Roman" w:hAnsi="Times New Roman" w:cs="Times New Roman"/>
          <w:sz w:val="24"/>
          <w:szCs w:val="24"/>
          <w:lang/>
        </w:rPr>
        <w:t>RGPD</w:t>
      </w:r>
      <w:r>
        <w:rPr>
          <w:rFonts w:ascii="Times New Roman" w:hAnsi="Times New Roman" w:cs="Times New Roman"/>
          <w:sz w:val="24"/>
          <w:szCs w:val="24"/>
          <w:highlight w:val="white"/>
          <w:lang/>
        </w:rPr>
        <w:t>);</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del Presidente della Repubblica 15 gennaio 2018, n.15 “Regolamento a norma dell’articolo 57 del decreto legislativo 30 giugno 2003, n. 196, recante l’individuazione delle modalità di attuazione dei principi del Codice in materia di protezione dei dati personali relativamente al trattamento dei dati effettuato, per le finalità di polizia, da organi, uffici e comandi di polizia”;</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il decreto legislativo 18 maggio 2018, n.51 recante “Attuazione della direttiva (UE) 2016/680 del Parlamento europeo e del Consiglio, del 27 aprile 2016, relativa alla protezione delle persone fisiche con riguardo al trattamento dei dati personali da parte delle autorità competenti a fini di prevenzione, indagine, accertamento e perseguimento di reati o esecuzione di sanzioni penali, nonché alla libera circolazione di tali dati e che abroga la decisione quadro 2008/977/GAI del Consiglio”;</w:t>
      </w:r>
    </w:p>
    <w:p w:rsidR="005F5837" w:rsidRDefault="005F5837" w:rsidP="005F5837">
      <w:pPr>
        <w:widowControl/>
        <w:numPr>
          <w:ilvl w:val="0"/>
          <w:numId w:val="5"/>
        </w:numPr>
        <w:spacing w:after="200"/>
        <w:ind w:left="709" w:hanging="360"/>
        <w:jc w:val="both"/>
        <w:rPr>
          <w:rFonts w:ascii="Times New Roman" w:hAnsi="Times New Roman" w:cs="Times New Roman"/>
          <w:sz w:val="24"/>
          <w:szCs w:val="24"/>
          <w:lang/>
        </w:rPr>
      </w:pPr>
      <w:r>
        <w:rPr>
          <w:rFonts w:ascii="Times New Roman" w:hAnsi="Times New Roman" w:cs="Times New Roman"/>
          <w:sz w:val="24"/>
          <w:szCs w:val="24"/>
          <w:lang/>
        </w:rPr>
        <w:t>la Direttiva del Ministro dell’Interno 30 aprile 2015 “</w:t>
      </w:r>
      <w:r>
        <w:rPr>
          <w:rFonts w:ascii="Times New Roman" w:hAnsi="Times New Roman" w:cs="Times New Roman"/>
          <w:i/>
          <w:iCs/>
          <w:sz w:val="24"/>
          <w:szCs w:val="24"/>
          <w:lang/>
        </w:rPr>
        <w:t>Nuove linee strategiche per il controllo coordinato del territorio</w:t>
      </w:r>
      <w:r>
        <w:rPr>
          <w:rFonts w:ascii="Times New Roman" w:hAnsi="Times New Roman" w:cs="Times New Roman"/>
          <w:sz w:val="24"/>
          <w:szCs w:val="24"/>
          <w:lang/>
        </w:rPr>
        <w:t>”;</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la circolare del Dipartimento della Pubblica Sicurezza - Direzione Centrale per gli Affari Generali della Polizia di Stato n.0001065 del 12 gennaio 2018 “Realizzazione dei sistemi di lettura targhe ed integrazione al Sistema di Controllo Nazionale Targhe e Transiti (</w:t>
      </w:r>
      <w:proofErr w:type="spellStart"/>
      <w:r>
        <w:rPr>
          <w:rFonts w:ascii="Times New Roman" w:hAnsi="Times New Roman" w:cs="Times New Roman"/>
          <w:sz w:val="24"/>
          <w:szCs w:val="24"/>
          <w:lang/>
        </w:rPr>
        <w:t>S.C.N.T.T.</w:t>
      </w:r>
      <w:proofErr w:type="spellEnd"/>
      <w:r>
        <w:rPr>
          <w:rFonts w:ascii="Times New Roman" w:hAnsi="Times New Roman" w:cs="Times New Roman"/>
          <w:sz w:val="24"/>
          <w:szCs w:val="24"/>
          <w:lang/>
        </w:rPr>
        <w:t>) - Linee di indirizzo”;</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 xml:space="preserve">la Circolare di indirizzo ai Prefetti del Gabinetto del Ministro dell’Interno - Uff. II - </w:t>
      </w:r>
      <w:proofErr w:type="spellStart"/>
      <w:r>
        <w:rPr>
          <w:rFonts w:ascii="Times New Roman" w:hAnsi="Times New Roman" w:cs="Times New Roman"/>
          <w:sz w:val="24"/>
          <w:szCs w:val="24"/>
          <w:lang/>
        </w:rPr>
        <w:t>Ord</w:t>
      </w:r>
      <w:proofErr w:type="spellEnd"/>
      <w:r>
        <w:rPr>
          <w:rFonts w:ascii="Times New Roman" w:hAnsi="Times New Roman" w:cs="Times New Roman"/>
          <w:sz w:val="24"/>
          <w:szCs w:val="24"/>
          <w:lang/>
        </w:rPr>
        <w:t>. e Sic. Pub</w:t>
      </w:r>
      <w:r>
        <w:rPr>
          <w:rFonts w:ascii="Times New Roman" w:hAnsi="Times New Roman" w:cs="Times New Roman"/>
          <w:sz w:val="24"/>
          <w:szCs w:val="24"/>
          <w:highlight w:val="yellow"/>
          <w:lang/>
        </w:rPr>
        <w:t xml:space="preserve">. n.____________ </w:t>
      </w:r>
      <w:r>
        <w:rPr>
          <w:rFonts w:ascii="Times New Roman" w:hAnsi="Times New Roman" w:cs="Times New Roman"/>
          <w:sz w:val="24"/>
          <w:szCs w:val="24"/>
          <w:lang/>
        </w:rPr>
        <w:t xml:space="preserve">in merito alle modalità di presentazione delle istanze e dei progetti </w:t>
      </w:r>
      <w:r>
        <w:rPr>
          <w:rFonts w:ascii="Times New Roman" w:hAnsi="Times New Roman" w:cs="Times New Roman"/>
          <w:sz w:val="24"/>
          <w:szCs w:val="24"/>
          <w:lang/>
        </w:rPr>
        <w:lastRenderedPageBreak/>
        <w:t>finalizzati all’installazione dei sistemi di videosorveglianza da parte dei Comuni, nonché al differimento dei termini;</w:t>
      </w:r>
    </w:p>
    <w:p w:rsidR="005F5837" w:rsidRDefault="005F5837" w:rsidP="005F5837">
      <w:pPr>
        <w:widowControl/>
        <w:numPr>
          <w:ilvl w:val="0"/>
          <w:numId w:val="5"/>
        </w:numPr>
        <w:spacing w:after="200"/>
        <w:ind w:left="709" w:right="-1" w:hanging="360"/>
        <w:jc w:val="both"/>
        <w:rPr>
          <w:rFonts w:ascii="Times New Roman" w:hAnsi="Times New Roman" w:cs="Times New Roman"/>
          <w:color w:val="242021"/>
          <w:sz w:val="24"/>
          <w:szCs w:val="24"/>
          <w:lang/>
        </w:rPr>
      </w:pPr>
      <w:r>
        <w:rPr>
          <w:rFonts w:ascii="Times New Roman" w:hAnsi="Times New Roman" w:cs="Times New Roman"/>
          <w:sz w:val="24"/>
          <w:szCs w:val="24"/>
          <w:lang/>
        </w:rPr>
        <w:t xml:space="preserve">l’articolo 7-bis del decreto legge 29 dicembre 2016, n.243, convertito dalla legge 27 febbraio 2017, n.18, nonché il </w:t>
      </w:r>
      <w:proofErr w:type="spellStart"/>
      <w:r>
        <w:rPr>
          <w:rFonts w:ascii="Times New Roman" w:hAnsi="Times New Roman" w:cs="Times New Roman"/>
          <w:sz w:val="24"/>
          <w:szCs w:val="24"/>
          <w:lang/>
        </w:rPr>
        <w:t>D.P.C.M.</w:t>
      </w:r>
      <w:proofErr w:type="spellEnd"/>
      <w:r>
        <w:rPr>
          <w:rFonts w:ascii="Times New Roman" w:hAnsi="Times New Roman" w:cs="Times New Roman"/>
          <w:sz w:val="24"/>
          <w:szCs w:val="24"/>
          <w:lang/>
        </w:rPr>
        <w:t xml:space="preserve"> </w:t>
      </w:r>
      <w:r>
        <w:rPr>
          <w:rFonts w:ascii="Times New Roman" w:hAnsi="Times New Roman" w:cs="Times New Roman"/>
          <w:color w:val="242021"/>
          <w:sz w:val="24"/>
          <w:szCs w:val="24"/>
          <w:lang/>
        </w:rPr>
        <w:t>10 maggio 2019 recante: «Modalità di verifica del volume complessivo annuale di stanziamenti in conto capitale delle Amministrazioni centrali proporzionale alla popolazione nelle regioni del Sud»;</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 xml:space="preserve">le </w:t>
      </w:r>
      <w:r>
        <w:rPr>
          <w:rFonts w:ascii="Times New Roman" w:hAnsi="Times New Roman" w:cs="Times New Roman"/>
          <w:i/>
          <w:iCs/>
          <w:sz w:val="24"/>
          <w:szCs w:val="24"/>
          <w:lang/>
        </w:rPr>
        <w:t>Linee generali delle politiche pubbliche per la sicurezza integrata</w:t>
      </w:r>
      <w:r>
        <w:rPr>
          <w:rFonts w:ascii="Times New Roman" w:hAnsi="Times New Roman" w:cs="Times New Roman"/>
          <w:sz w:val="24"/>
          <w:szCs w:val="24"/>
          <w:lang/>
        </w:rPr>
        <w:t>, adottate in sede di Conferenza Unificata il 24 gennaio 2018;</w:t>
      </w:r>
    </w:p>
    <w:p w:rsidR="005F5837" w:rsidRDefault="005F5837" w:rsidP="005F5837">
      <w:pPr>
        <w:widowControl/>
        <w:numPr>
          <w:ilvl w:val="0"/>
          <w:numId w:val="5"/>
        </w:numPr>
        <w:spacing w:after="200"/>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 xml:space="preserve">le </w:t>
      </w:r>
      <w:r>
        <w:rPr>
          <w:rFonts w:ascii="Times New Roman" w:hAnsi="Times New Roman" w:cs="Times New Roman"/>
          <w:i/>
          <w:iCs/>
          <w:sz w:val="24"/>
          <w:szCs w:val="24"/>
          <w:lang/>
        </w:rPr>
        <w:t>Linee guida per l’attuazione della sicurezza urbana</w:t>
      </w:r>
      <w:r>
        <w:rPr>
          <w:rFonts w:ascii="Times New Roman" w:hAnsi="Times New Roman" w:cs="Times New Roman"/>
          <w:sz w:val="24"/>
          <w:szCs w:val="24"/>
          <w:lang/>
        </w:rPr>
        <w:t xml:space="preserve">, adottate in sede di Conferenza </w:t>
      </w:r>
      <w:proofErr w:type="spellStart"/>
      <w:r>
        <w:rPr>
          <w:rFonts w:ascii="Times New Roman" w:hAnsi="Times New Roman" w:cs="Times New Roman"/>
          <w:sz w:val="24"/>
          <w:szCs w:val="24"/>
          <w:lang/>
        </w:rPr>
        <w:t>Stato-città</w:t>
      </w:r>
      <w:proofErr w:type="spellEnd"/>
      <w:r>
        <w:rPr>
          <w:rFonts w:ascii="Times New Roman" w:hAnsi="Times New Roman" w:cs="Times New Roman"/>
          <w:sz w:val="24"/>
          <w:szCs w:val="24"/>
          <w:lang/>
        </w:rPr>
        <w:t xml:space="preserve"> ed Autonomie locali in data 26 luglio 2018;</w:t>
      </w:r>
    </w:p>
    <w:p w:rsidR="005F5837" w:rsidRDefault="005F5837" w:rsidP="00923C88">
      <w:pPr>
        <w:widowControl/>
        <w:ind w:right="-1"/>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PREMESSO CHE:</w:t>
      </w:r>
    </w:p>
    <w:p w:rsidR="005F5837" w:rsidRDefault="005F5837" w:rsidP="005F5837">
      <w:pPr>
        <w:widowControl/>
        <w:ind w:right="-1"/>
        <w:jc w:val="both"/>
        <w:rPr>
          <w:rFonts w:ascii="Calibri" w:hAnsi="Calibri" w:cs="Calibri"/>
          <w:sz w:val="22"/>
          <w:szCs w:val="22"/>
          <w:lang/>
        </w:rPr>
      </w:pP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 xml:space="preserve">il Comune di Montalto delle Marche intende rafforzare le azioni di prevenzione e di contrasto alle forme di illegalità presenti nel territorio Comunale, spazi pubblici soggetti ad </w:t>
      </w:r>
      <w:proofErr w:type="spellStart"/>
      <w:r>
        <w:rPr>
          <w:rFonts w:ascii="Times New Roman" w:hAnsi="Times New Roman" w:cs="Times New Roman"/>
          <w:sz w:val="24"/>
          <w:szCs w:val="24"/>
          <w:lang/>
        </w:rPr>
        <w:t>ati</w:t>
      </w:r>
      <w:proofErr w:type="spellEnd"/>
      <w:r>
        <w:rPr>
          <w:rFonts w:ascii="Times New Roman" w:hAnsi="Times New Roman" w:cs="Times New Roman"/>
          <w:sz w:val="24"/>
          <w:szCs w:val="24"/>
          <w:lang/>
        </w:rPr>
        <w:t xml:space="preserve"> di vandalismo, impianti sportivi, frazioni e borghi rurali caratterizzati da una presenza di popolazione anziana e spesso non autosufficiente soggetti a frequenti fenomeni criminosi;</w:t>
      </w:r>
    </w:p>
    <w:p w:rsidR="005F5837" w:rsidRDefault="005F5837" w:rsidP="005F5837">
      <w:pPr>
        <w:widowControl/>
        <w:numPr>
          <w:ilvl w:val="0"/>
          <w:numId w:val="5"/>
        </w:numPr>
        <w:ind w:left="709" w:right="-1" w:hanging="360"/>
        <w:jc w:val="both"/>
        <w:rPr>
          <w:rFonts w:ascii="Times New Roman" w:hAnsi="Times New Roman" w:cs="Times New Roman"/>
          <w:sz w:val="24"/>
          <w:szCs w:val="24"/>
          <w:lang/>
        </w:rPr>
      </w:pPr>
      <w:r>
        <w:rPr>
          <w:rFonts w:ascii="Times New Roman" w:hAnsi="Times New Roman" w:cs="Times New Roman"/>
          <w:sz w:val="24"/>
          <w:szCs w:val="24"/>
          <w:lang/>
        </w:rPr>
        <w:t xml:space="preserve">a tal fine, nel quadro della collaborazione tra le Forze di polizia e la Polizia locale, il Comune intende, tra l’altro, avvalersi delle specifiche risorse previste ai fini della realizzazione di sistemi di videosorveglianza, sulla base delle </w:t>
      </w:r>
      <w:r>
        <w:rPr>
          <w:rFonts w:ascii="Times New Roman" w:hAnsi="Times New Roman" w:cs="Times New Roman"/>
          <w:i/>
          <w:iCs/>
          <w:sz w:val="24"/>
          <w:szCs w:val="24"/>
          <w:lang/>
        </w:rPr>
        <w:t>Linee guida</w:t>
      </w:r>
      <w:r>
        <w:rPr>
          <w:rFonts w:ascii="Times New Roman" w:hAnsi="Times New Roman" w:cs="Times New Roman"/>
          <w:sz w:val="24"/>
          <w:szCs w:val="24"/>
          <w:lang/>
        </w:rPr>
        <w:t xml:space="preserve"> adottate su proposta del Ministro dell’Interno, con accordo sancito in sede di Conferenza </w:t>
      </w:r>
      <w:proofErr w:type="spellStart"/>
      <w:r>
        <w:rPr>
          <w:rFonts w:ascii="Times New Roman" w:hAnsi="Times New Roman" w:cs="Times New Roman"/>
          <w:sz w:val="24"/>
          <w:szCs w:val="24"/>
          <w:lang/>
        </w:rPr>
        <w:t>Stato-città</w:t>
      </w:r>
      <w:proofErr w:type="spellEnd"/>
      <w:r>
        <w:rPr>
          <w:rFonts w:ascii="Times New Roman" w:hAnsi="Times New Roman" w:cs="Times New Roman"/>
          <w:sz w:val="24"/>
          <w:szCs w:val="24"/>
          <w:lang/>
        </w:rPr>
        <w:t xml:space="preserve"> e autonomie locali.</w:t>
      </w:r>
    </w:p>
    <w:p w:rsidR="005F5837" w:rsidRDefault="005F5837" w:rsidP="005F5837">
      <w:pPr>
        <w:widowControl/>
        <w:ind w:left="426" w:right="-1"/>
        <w:jc w:val="both"/>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Art. 1</w:t>
      </w: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Finalità</w:t>
      </w:r>
    </w:p>
    <w:p w:rsidR="005F5837" w:rsidRDefault="005F5837" w:rsidP="005F5837">
      <w:pPr>
        <w:widowControl/>
        <w:ind w:right="-1"/>
        <w:jc w:val="both"/>
        <w:rPr>
          <w:rFonts w:ascii="Calibri" w:hAnsi="Calibri" w:cs="Calibri"/>
          <w:sz w:val="22"/>
          <w:szCs w:val="22"/>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La Prefettura - Ufficio Territoriale del Governo e il Comune di Montalto delle Marche (di seguito Parti), nel rispetto delle reciproche competenze, adottano strategie congiunte, volte a migliorare la percezione di sicurezza dei cittadini e a contrastare ogni forma di illegalità e favorendo così l’impiego delle Forze di polizia per far fronte ad esigenze straordinarie del territorio.</w:t>
      </w: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A tale scopo, le Parti riconoscono che occorre intervenire in materia di sicurezza urbana attraverso azioni volte alla:</w:t>
      </w:r>
    </w:p>
    <w:p w:rsidR="005F5837" w:rsidRDefault="005F5837" w:rsidP="005F5837">
      <w:pPr>
        <w:widowControl/>
        <w:numPr>
          <w:ilvl w:val="0"/>
          <w:numId w:val="5"/>
        </w:numPr>
        <w:ind w:left="720" w:right="-1" w:hanging="360"/>
        <w:jc w:val="both"/>
        <w:rPr>
          <w:rFonts w:ascii="Times New Roman" w:hAnsi="Times New Roman" w:cs="Times New Roman"/>
          <w:sz w:val="24"/>
          <w:szCs w:val="24"/>
          <w:lang/>
        </w:rPr>
      </w:pPr>
      <w:r>
        <w:rPr>
          <w:rFonts w:ascii="Times New Roman" w:hAnsi="Times New Roman" w:cs="Times New Roman"/>
          <w:sz w:val="24"/>
          <w:szCs w:val="24"/>
          <w:lang/>
        </w:rPr>
        <w:t>prevenzione e contrasto dei fenomeni di criminalità diffusa e predatoria;</w:t>
      </w:r>
    </w:p>
    <w:p w:rsidR="005F5837" w:rsidRDefault="005F5837" w:rsidP="005F5837">
      <w:pPr>
        <w:widowControl/>
        <w:numPr>
          <w:ilvl w:val="0"/>
          <w:numId w:val="5"/>
        </w:numPr>
        <w:ind w:left="720" w:right="-1" w:hanging="360"/>
        <w:jc w:val="both"/>
        <w:rPr>
          <w:rFonts w:ascii="Times New Roman" w:hAnsi="Times New Roman" w:cs="Times New Roman"/>
          <w:sz w:val="24"/>
          <w:szCs w:val="24"/>
          <w:lang/>
        </w:rPr>
      </w:pPr>
      <w:r>
        <w:rPr>
          <w:rFonts w:ascii="Times New Roman" w:hAnsi="Times New Roman" w:cs="Times New Roman"/>
          <w:sz w:val="24"/>
          <w:szCs w:val="24"/>
          <w:lang/>
        </w:rPr>
        <w:t>promozione del rispetto del decoro urbano.</w:t>
      </w: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 xml:space="preserve">Le Parti, nel quadro dei </w:t>
      </w:r>
      <w:proofErr w:type="spellStart"/>
      <w:r>
        <w:rPr>
          <w:rFonts w:ascii="Times New Roman" w:hAnsi="Times New Roman" w:cs="Times New Roman"/>
          <w:sz w:val="24"/>
          <w:szCs w:val="24"/>
          <w:lang/>
        </w:rPr>
        <w:t>princìpi</w:t>
      </w:r>
      <w:proofErr w:type="spellEnd"/>
      <w:r>
        <w:rPr>
          <w:rFonts w:ascii="Times New Roman" w:hAnsi="Times New Roman" w:cs="Times New Roman"/>
          <w:sz w:val="24"/>
          <w:szCs w:val="24"/>
          <w:lang/>
        </w:rPr>
        <w:t xml:space="preserve"> di leale collaborazione, richiamano il ruolo di centralità del Comitato provinciale per l’ordine e la sicurezza pubblica, quale sede privilegiata di esame e di coordinamento delle iniziative in materia di politiche di sicurezza urbana. </w:t>
      </w: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Art.2</w:t>
      </w: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Strumenti attuativi</w:t>
      </w:r>
    </w:p>
    <w:p w:rsidR="005F5837" w:rsidRDefault="005F5837" w:rsidP="005F5837">
      <w:pPr>
        <w:widowControl/>
        <w:ind w:right="-1"/>
        <w:rPr>
          <w:rFonts w:ascii="Calibri" w:hAnsi="Calibri" w:cs="Calibri"/>
          <w:sz w:val="22"/>
          <w:szCs w:val="22"/>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Al fine del perseguimento delle finalità di cui all’art.1 e, in particolare, per la prevenzione e il contrasto della criminalità diffusa e predatoria, le Parti individuano quale prioritario obiettivo l’installazione e/o il potenziamento dei sistemi di videosorveglianza comunali, nel rispetto di quanto previsto dall’art. 2 del decreto in data 27 maggio 2020 richiamato in premessa, nelle seguenti aree del territorio comunale maggiormente interessate da situazioni di degrado e di illegalità:</w:t>
      </w:r>
    </w:p>
    <w:p w:rsidR="00923C88" w:rsidRDefault="00923C88" w:rsidP="005F5837">
      <w:pPr>
        <w:widowControl/>
        <w:ind w:right="-1"/>
        <w:jc w:val="both"/>
        <w:rPr>
          <w:rFonts w:ascii="Times New Roman" w:hAnsi="Times New Roman" w:cs="Times New Roman"/>
          <w:sz w:val="24"/>
          <w:szCs w:val="24"/>
          <w:lang/>
        </w:rPr>
      </w:pP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Patrignone</w:t>
      </w:r>
      <w:proofErr w:type="spellEnd"/>
      <w:r>
        <w:rPr>
          <w:rFonts w:ascii="Times New Roman" w:hAnsi="Times New Roman" w:cs="Times New Roman"/>
          <w:sz w:val="24"/>
          <w:szCs w:val="24"/>
          <w:lang/>
        </w:rPr>
        <w:t xml:space="preserve"> - Via Valle </w:t>
      </w:r>
      <w:proofErr w:type="spellStart"/>
      <w:r>
        <w:rPr>
          <w:rFonts w:ascii="Times New Roman" w:hAnsi="Times New Roman" w:cs="Times New Roman"/>
          <w:sz w:val="24"/>
          <w:szCs w:val="24"/>
          <w:lang/>
        </w:rPr>
        <w:t>Falciana</w:t>
      </w:r>
      <w:proofErr w:type="spellEnd"/>
      <w:r>
        <w:rPr>
          <w:rFonts w:ascii="Times New Roman" w:hAnsi="Times New Roman" w:cs="Times New Roman"/>
          <w:sz w:val="24"/>
          <w:szCs w:val="24"/>
          <w:lang/>
        </w:rPr>
        <w:t>;</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Patrignone</w:t>
      </w:r>
      <w:proofErr w:type="spellEnd"/>
      <w:r>
        <w:rPr>
          <w:rFonts w:ascii="Times New Roman" w:hAnsi="Times New Roman" w:cs="Times New Roman"/>
          <w:sz w:val="24"/>
          <w:szCs w:val="24"/>
          <w:lang/>
        </w:rPr>
        <w:t xml:space="preserve"> - Piazza </w:t>
      </w:r>
      <w:proofErr w:type="spellStart"/>
      <w:r>
        <w:rPr>
          <w:rFonts w:ascii="Times New Roman" w:hAnsi="Times New Roman" w:cs="Times New Roman"/>
          <w:sz w:val="24"/>
          <w:szCs w:val="24"/>
          <w:lang/>
        </w:rPr>
        <w:t>Bonfini</w:t>
      </w:r>
      <w:proofErr w:type="spellEnd"/>
      <w:r>
        <w:rPr>
          <w:rFonts w:ascii="Times New Roman" w:hAnsi="Times New Roman" w:cs="Times New Roman"/>
          <w:sz w:val="24"/>
          <w:szCs w:val="24"/>
          <w:lang/>
        </w:rPr>
        <w:t>;</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Patrignone</w:t>
      </w:r>
      <w:proofErr w:type="spellEnd"/>
      <w:r>
        <w:rPr>
          <w:rFonts w:ascii="Times New Roman" w:hAnsi="Times New Roman" w:cs="Times New Roman"/>
          <w:sz w:val="24"/>
          <w:szCs w:val="24"/>
          <w:lang/>
        </w:rPr>
        <w:t xml:space="preserve"> - Via G. Amadio</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Porchia</w:t>
      </w:r>
      <w:proofErr w:type="spellEnd"/>
      <w:r>
        <w:rPr>
          <w:rFonts w:ascii="Times New Roman" w:hAnsi="Times New Roman" w:cs="Times New Roman"/>
          <w:sz w:val="24"/>
          <w:szCs w:val="24"/>
          <w:lang/>
        </w:rPr>
        <w:t xml:space="preserve"> - Piazza del Mercato;</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Porchia</w:t>
      </w:r>
      <w:proofErr w:type="spellEnd"/>
      <w:r>
        <w:rPr>
          <w:rFonts w:ascii="Times New Roman" w:hAnsi="Times New Roman" w:cs="Times New Roman"/>
          <w:sz w:val="24"/>
          <w:szCs w:val="24"/>
          <w:lang/>
        </w:rPr>
        <w:t xml:space="preserve"> - Piazza santa Lucia;</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Pr>
          <w:rFonts w:ascii="Times New Roman" w:hAnsi="Times New Roman" w:cs="Times New Roman"/>
          <w:sz w:val="24"/>
          <w:szCs w:val="24"/>
          <w:lang/>
        </w:rPr>
        <w:t>Valdaso</w:t>
      </w:r>
      <w:proofErr w:type="spellEnd"/>
      <w:r>
        <w:rPr>
          <w:rFonts w:ascii="Times New Roman" w:hAnsi="Times New Roman" w:cs="Times New Roman"/>
          <w:sz w:val="24"/>
          <w:szCs w:val="24"/>
          <w:lang/>
        </w:rPr>
        <w:t xml:space="preserve"> - Zona Campo e Parco;</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Montalto Capoluogo - Pineta;</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Montalto Capoluogo - Croce Azzurra e Campo Polivalente (n. 2);</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Montalto Capoluogo - Piazza leopardi;</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Montalto Capoluogo - Via Fonte D'Ercole (n. 2);</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Montalto Capoluogo - Via Fabio Biondi (n. 2);</w:t>
      </w:r>
    </w:p>
    <w:p w:rsidR="005F5837" w:rsidRDefault="005F5837" w:rsidP="005F5837">
      <w:pPr>
        <w:widowControl/>
        <w:ind w:left="360" w:right="-1" w:firstLine="349"/>
        <w:jc w:val="both"/>
        <w:rPr>
          <w:rFonts w:ascii="Times New Roman" w:hAnsi="Times New Roman" w:cs="Times New Roman"/>
          <w:sz w:val="24"/>
          <w:szCs w:val="24"/>
          <w:lang/>
        </w:rPr>
      </w:pPr>
      <w:r>
        <w:rPr>
          <w:rFonts w:ascii="Times New Roman" w:hAnsi="Times New Roman" w:cs="Times New Roman"/>
          <w:sz w:val="24"/>
          <w:szCs w:val="24"/>
          <w:lang/>
        </w:rPr>
        <w:t xml:space="preserve">- Montalto Capoluogo - Viale </w:t>
      </w:r>
      <w:proofErr w:type="spellStart"/>
      <w:r>
        <w:rPr>
          <w:rFonts w:ascii="Times New Roman" w:hAnsi="Times New Roman" w:cs="Times New Roman"/>
          <w:sz w:val="24"/>
          <w:szCs w:val="24"/>
          <w:lang/>
        </w:rPr>
        <w:t>Peretti</w:t>
      </w:r>
      <w:proofErr w:type="spellEnd"/>
      <w:r>
        <w:rPr>
          <w:rFonts w:ascii="Times New Roman" w:hAnsi="Times New Roman" w:cs="Times New Roman"/>
          <w:sz w:val="24"/>
          <w:szCs w:val="24"/>
          <w:lang/>
        </w:rPr>
        <w:t xml:space="preserve"> (n. 2)</w:t>
      </w:r>
    </w:p>
    <w:p w:rsidR="005F5837" w:rsidRDefault="005F5837" w:rsidP="005F5837">
      <w:pPr>
        <w:widowControl/>
        <w:ind w:right="-1"/>
        <w:jc w:val="both"/>
        <w:rPr>
          <w:rFonts w:ascii="Calibri" w:hAnsi="Calibri" w:cs="Calibri"/>
          <w:sz w:val="22"/>
          <w:szCs w:val="22"/>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I progetti anche integrati dei sistemi di videosorveglianza, elaborati nel rispetto delle disposizioni dell’Autorità Garante per il trattamento dei dati personali, saranno oggetto di valutazione da parte del Comitato provinciale per l’ordine e la sicurezza pubblica, per le modalità di impiego e ogni aspetto tecnico operativo, in coerenza con le direttive ministeriali emanate in materia, con particolare riferimento alla circolare del Ministero dell’Interno 558/SICPART/421.2/70/224632 del 2 marzo 2012, recante “</w:t>
      </w:r>
      <w:r>
        <w:rPr>
          <w:rFonts w:ascii="Times New Roman" w:hAnsi="Times New Roman" w:cs="Times New Roman"/>
          <w:i/>
          <w:iCs/>
          <w:sz w:val="24"/>
          <w:szCs w:val="24"/>
          <w:lang/>
        </w:rPr>
        <w:t>Sistemi di videosorveglianza in ambito comunale. Direttiva</w:t>
      </w:r>
      <w:r>
        <w:rPr>
          <w:rFonts w:ascii="Times New Roman" w:hAnsi="Times New Roman" w:cs="Times New Roman"/>
          <w:sz w:val="24"/>
          <w:szCs w:val="24"/>
          <w:lang/>
        </w:rPr>
        <w:t>” e agli atti ivi richiamati.</w:t>
      </w: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Le Parti si impegnano, nell’ambito delle rispettive competenze, a favorire lo scambio informativo tra le Forze di polizia e la Polizia locale.</w:t>
      </w:r>
    </w:p>
    <w:p w:rsidR="005F5837" w:rsidRDefault="005F5837" w:rsidP="005F5837">
      <w:pPr>
        <w:widowControl/>
        <w:ind w:right="-1"/>
        <w:jc w:val="both"/>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Art.3</w:t>
      </w: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Cabina di regia</w:t>
      </w:r>
    </w:p>
    <w:p w:rsidR="005F5837" w:rsidRDefault="005F5837" w:rsidP="005F5837">
      <w:pPr>
        <w:widowControl/>
        <w:ind w:right="-1"/>
        <w:rPr>
          <w:rFonts w:ascii="Calibri" w:hAnsi="Calibri" w:cs="Calibri"/>
          <w:sz w:val="22"/>
          <w:szCs w:val="22"/>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È istituita presso la Prefettura - Ufficio Territoriale del Governo una Cabina di regia, composta dai rappresentanti delle Forze di polizia e della Polizia locale, con il compito di monitorare lo stato di attuazione del Patto, con cadenza semestrale, anche ai fini della predisposizione, da parte del Prefetto, della relazione informativa all’Ufficio per il coordinamento e pianificazione della Forze di polizia del Dipartimento della Pubblica Sicurezza, individuato quale punto di snodo delle iniziative in materia di sicurezza urbana.</w:t>
      </w:r>
    </w:p>
    <w:p w:rsidR="005F5837" w:rsidRDefault="005F5837" w:rsidP="005F5837">
      <w:pPr>
        <w:widowControl/>
        <w:ind w:right="-1"/>
        <w:rPr>
          <w:rFonts w:ascii="Calibri" w:hAnsi="Calibri" w:cs="Calibri"/>
          <w:sz w:val="22"/>
          <w:szCs w:val="22"/>
          <w:lang/>
        </w:rPr>
      </w:pP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Art. 4</w:t>
      </w:r>
    </w:p>
    <w:p w:rsidR="005F5837" w:rsidRDefault="005F5837" w:rsidP="005F5837">
      <w:pPr>
        <w:widowControl/>
        <w:ind w:right="-1"/>
        <w:jc w:val="center"/>
        <w:rPr>
          <w:rFonts w:ascii="Times New Roman" w:hAnsi="Times New Roman" w:cs="Times New Roman"/>
          <w:b/>
          <w:bCs/>
          <w:sz w:val="24"/>
          <w:szCs w:val="24"/>
          <w:lang/>
        </w:rPr>
      </w:pPr>
      <w:r>
        <w:rPr>
          <w:rFonts w:ascii="Times New Roman" w:hAnsi="Times New Roman" w:cs="Times New Roman"/>
          <w:b/>
          <w:bCs/>
          <w:sz w:val="24"/>
          <w:szCs w:val="24"/>
          <w:lang/>
        </w:rPr>
        <w:t>Durata e verifiche</w:t>
      </w:r>
    </w:p>
    <w:p w:rsidR="005F5837" w:rsidRDefault="005F5837" w:rsidP="005F5837">
      <w:pPr>
        <w:widowControl/>
        <w:ind w:right="-1"/>
        <w:rPr>
          <w:rFonts w:ascii="Calibri" w:hAnsi="Calibri" w:cs="Calibri"/>
          <w:sz w:val="22"/>
          <w:szCs w:val="22"/>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Il presente Patto ha durata sino al completamento delle procedure previste dal decreto interministeriale del 27 maggio 2020 richiamato in premessa.</w:t>
      </w:r>
    </w:p>
    <w:p w:rsidR="005F5837" w:rsidRDefault="005F5837" w:rsidP="005F5837">
      <w:pPr>
        <w:widowControl/>
        <w:ind w:right="-1"/>
        <w:jc w:val="both"/>
        <w:rPr>
          <w:rFonts w:ascii="Calibri" w:hAnsi="Calibri" w:cs="Calibri"/>
          <w:sz w:val="22"/>
          <w:szCs w:val="22"/>
          <w:lang/>
        </w:rPr>
      </w:pPr>
    </w:p>
    <w:p w:rsidR="00923C88" w:rsidRDefault="00923C88" w:rsidP="005F5837">
      <w:pPr>
        <w:widowControl/>
        <w:ind w:right="-1"/>
        <w:jc w:val="both"/>
        <w:rPr>
          <w:rFonts w:ascii="Times New Roman" w:hAnsi="Times New Roman" w:cs="Times New Roman"/>
          <w:sz w:val="24"/>
          <w:szCs w:val="24"/>
          <w:lang/>
        </w:rPr>
      </w:pPr>
    </w:p>
    <w:p w:rsidR="005F5837" w:rsidRDefault="005F5837" w:rsidP="005F5837">
      <w:pPr>
        <w:widowControl/>
        <w:ind w:right="-1"/>
        <w:jc w:val="both"/>
        <w:rPr>
          <w:rFonts w:ascii="Times New Roman" w:hAnsi="Times New Roman" w:cs="Times New Roman"/>
          <w:sz w:val="24"/>
          <w:szCs w:val="24"/>
          <w:lang/>
        </w:rPr>
      </w:pPr>
      <w:r>
        <w:rPr>
          <w:rFonts w:ascii="Times New Roman" w:hAnsi="Times New Roman" w:cs="Times New Roman"/>
          <w:sz w:val="24"/>
          <w:szCs w:val="24"/>
          <w:lang/>
        </w:rPr>
        <w:t>Luogo e data _____________</w:t>
      </w:r>
    </w:p>
    <w:p w:rsidR="005F5837" w:rsidRDefault="005F5837" w:rsidP="005F5837">
      <w:pPr>
        <w:widowControl/>
        <w:ind w:right="-1"/>
        <w:rPr>
          <w:rFonts w:ascii="Calibri" w:hAnsi="Calibri" w:cs="Calibri"/>
          <w:sz w:val="22"/>
          <w:szCs w:val="22"/>
          <w:lang/>
        </w:rPr>
      </w:pPr>
    </w:p>
    <w:p w:rsidR="00B66739" w:rsidRDefault="00B66739" w:rsidP="005F5837">
      <w:pPr>
        <w:widowControl/>
        <w:ind w:right="-1"/>
        <w:rPr>
          <w:rFonts w:ascii="Calibri" w:hAnsi="Calibri" w:cs="Calibri"/>
          <w:sz w:val="22"/>
          <w:szCs w:val="22"/>
          <w:lang/>
        </w:rPr>
      </w:pPr>
    </w:p>
    <w:p w:rsidR="005F5837" w:rsidRDefault="005F5837" w:rsidP="005F5837">
      <w:pPr>
        <w:widowControl/>
        <w:ind w:right="-1"/>
        <w:rPr>
          <w:rFonts w:ascii="Calibri" w:hAnsi="Calibri" w:cs="Calibri"/>
          <w:sz w:val="22"/>
          <w:szCs w:val="22"/>
          <w:lang/>
        </w:rPr>
      </w:pPr>
    </w:p>
    <w:p w:rsidR="005F5837" w:rsidRDefault="005F5837" w:rsidP="005F5837">
      <w:pPr>
        <w:widowControl/>
        <w:spacing w:after="200"/>
        <w:ind w:right="-1"/>
        <w:jc w:val="both"/>
        <w:rPr>
          <w:rFonts w:ascii="Times New Roman" w:hAnsi="Times New Roman" w:cs="Times New Roman"/>
          <w:sz w:val="24"/>
          <w:szCs w:val="24"/>
          <w:lang/>
        </w:rPr>
      </w:pPr>
      <w:r>
        <w:rPr>
          <w:rFonts w:ascii="Times New Roman" w:hAnsi="Times New Roman" w:cs="Times New Roman"/>
          <w:sz w:val="24"/>
          <w:szCs w:val="24"/>
          <w:lang/>
        </w:rPr>
        <w:t xml:space="preserve">Il Prefetto di </w:t>
      </w:r>
      <w:r w:rsidR="00923C88">
        <w:rPr>
          <w:rFonts w:ascii="Times New Roman" w:hAnsi="Times New Roman" w:cs="Times New Roman"/>
          <w:sz w:val="24"/>
          <w:szCs w:val="24"/>
          <w:lang/>
        </w:rPr>
        <w:t>Ascoli Piceno</w:t>
      </w:r>
      <w:r>
        <w:rPr>
          <w:rFonts w:ascii="Times New Roman" w:hAnsi="Times New Roman" w:cs="Times New Roman"/>
          <w:sz w:val="24"/>
          <w:szCs w:val="24"/>
          <w:lang/>
        </w:rPr>
        <w:t xml:space="preserve">          </w:t>
      </w:r>
      <w:r w:rsidR="00923C88">
        <w:rPr>
          <w:rFonts w:ascii="Times New Roman" w:hAnsi="Times New Roman" w:cs="Times New Roman"/>
          <w:sz w:val="24"/>
          <w:szCs w:val="24"/>
          <w:lang/>
        </w:rPr>
        <w:t xml:space="preserve">                       </w:t>
      </w:r>
      <w:r>
        <w:rPr>
          <w:rFonts w:ascii="Times New Roman" w:hAnsi="Times New Roman" w:cs="Times New Roman"/>
          <w:sz w:val="24"/>
          <w:szCs w:val="24"/>
          <w:lang/>
        </w:rPr>
        <w:t>Il Sindaco di</w:t>
      </w:r>
      <w:r w:rsidR="00923C88">
        <w:rPr>
          <w:rFonts w:ascii="Times New Roman" w:hAnsi="Times New Roman" w:cs="Times New Roman"/>
          <w:sz w:val="24"/>
          <w:szCs w:val="24"/>
          <w:lang/>
        </w:rPr>
        <w:t xml:space="preserve"> Montalto delle Marche</w:t>
      </w:r>
      <w:r>
        <w:rPr>
          <w:rFonts w:ascii="Times New Roman" w:hAnsi="Times New Roman" w:cs="Times New Roman"/>
          <w:sz w:val="24"/>
          <w:szCs w:val="24"/>
          <w:lang/>
        </w:rPr>
        <w:t xml:space="preserve"> </w:t>
      </w:r>
    </w:p>
    <w:p w:rsidR="00923C88" w:rsidRDefault="00923C88" w:rsidP="005F5837">
      <w:pPr>
        <w:widowControl/>
        <w:spacing w:after="200"/>
        <w:ind w:right="-1"/>
        <w:jc w:val="both"/>
        <w:rPr>
          <w:rFonts w:ascii="Times New Roman" w:hAnsi="Times New Roman" w:cs="Times New Roman"/>
          <w:sz w:val="24"/>
          <w:szCs w:val="24"/>
          <w:lang/>
        </w:rPr>
      </w:pP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r>
      <w:r>
        <w:rPr>
          <w:rFonts w:ascii="Times New Roman" w:hAnsi="Times New Roman" w:cs="Times New Roman"/>
          <w:sz w:val="24"/>
          <w:szCs w:val="24"/>
          <w:lang/>
        </w:rPr>
        <w:tab/>
        <w:t xml:space="preserve">  Daniel Matricardi</w:t>
      </w:r>
    </w:p>
    <w:p w:rsidR="00606326" w:rsidRPr="005F5837" w:rsidRDefault="00606326" w:rsidP="005F5837"/>
    <w:sectPr w:rsidR="00606326" w:rsidRPr="005F5837" w:rsidSect="005F5837">
      <w:headerReference w:type="default" r:id="rId7"/>
      <w:footerReference w:type="default" r:id="rId8"/>
      <w:type w:val="continuous"/>
      <w:pgSz w:w="11909" w:h="16834"/>
      <w:pgMar w:top="648" w:right="994" w:bottom="360" w:left="112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268" w:rsidRDefault="00EB7268" w:rsidP="00523589">
      <w:r>
        <w:separator/>
      </w:r>
    </w:p>
  </w:endnote>
  <w:endnote w:type="continuationSeparator" w:id="0">
    <w:p w:rsidR="00EB7268" w:rsidRDefault="00EB7268" w:rsidP="005235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995276"/>
      <w:docPartObj>
        <w:docPartGallery w:val="Page Numbers (Bottom of Page)"/>
        <w:docPartUnique/>
      </w:docPartObj>
    </w:sdtPr>
    <w:sdtContent>
      <w:p w:rsidR="002659D7" w:rsidRDefault="00F711DA">
        <w:pPr>
          <w:pStyle w:val="Pidipagina"/>
          <w:jc w:val="right"/>
        </w:pPr>
        <w:r>
          <w:fldChar w:fldCharType="begin"/>
        </w:r>
        <w:r w:rsidR="002659D7">
          <w:instrText>PAGE   \* MERGEFORMAT</w:instrText>
        </w:r>
        <w:r>
          <w:fldChar w:fldCharType="separate"/>
        </w:r>
        <w:r w:rsidR="00B66739">
          <w:rPr>
            <w:noProof/>
          </w:rPr>
          <w:t>1</w:t>
        </w:r>
        <w:r>
          <w:fldChar w:fldCharType="end"/>
        </w:r>
      </w:p>
    </w:sdtContent>
  </w:sdt>
  <w:p w:rsidR="002659D7" w:rsidRDefault="002659D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268" w:rsidRDefault="00EB7268" w:rsidP="00523589">
      <w:r>
        <w:separator/>
      </w:r>
    </w:p>
  </w:footnote>
  <w:footnote w:type="continuationSeparator" w:id="0">
    <w:p w:rsidR="00EB7268" w:rsidRDefault="00EB7268" w:rsidP="005235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89" w:rsidRPr="00523589" w:rsidRDefault="005F5837" w:rsidP="00523589">
    <w:pPr>
      <w:widowControl/>
      <w:autoSpaceDE/>
      <w:autoSpaceDN/>
      <w:adjustRightInd/>
      <w:rPr>
        <w:rFonts w:ascii="Kunstler Script" w:eastAsia="Times New Roman" w:hAnsi="Kunstler Script" w:cs="Times New Roman"/>
        <w:sz w:val="28"/>
        <w:szCs w:val="28"/>
      </w:rPr>
    </w:pPr>
    <w:r>
      <w:rPr>
        <w:rFonts w:ascii="Kunstler Script" w:eastAsia="Times New Roman" w:hAnsi="Kunstler Script" w:cs="Times New Roman"/>
        <w:noProof/>
        <w:sz w:val="28"/>
        <w:szCs w:val="28"/>
      </w:rPr>
      <w:drawing>
        <wp:anchor distT="0" distB="0" distL="114300" distR="114300" simplePos="0" relativeHeight="251658240" behindDoc="0" locked="0" layoutInCell="1" allowOverlap="1">
          <wp:simplePos x="0" y="0"/>
          <wp:positionH relativeFrom="column">
            <wp:posOffset>4860290</wp:posOffset>
          </wp:positionH>
          <wp:positionV relativeFrom="paragraph">
            <wp:posOffset>-19050</wp:posOffset>
          </wp:positionV>
          <wp:extent cx="476250" cy="552450"/>
          <wp:effectExtent l="19050" t="0" r="0" b="0"/>
          <wp:wrapSquare wrapText="bothSides"/>
          <wp:docPr id="1" name="Immagine 1" descr="stemm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colori"/>
                  <pic:cNvPicPr>
                    <a:picLocks noChangeAspect="1" noChangeArrowheads="1"/>
                  </pic:cNvPicPr>
                </pic:nvPicPr>
                <pic:blipFill>
                  <a:blip r:embed="rId1">
                    <a:clrChange>
                      <a:clrFrom>
                        <a:srgbClr val="EDEEE0"/>
                      </a:clrFrom>
                      <a:clrTo>
                        <a:srgbClr val="EDEEE0">
                          <a:alpha val="0"/>
                        </a:srgbClr>
                      </a:clrTo>
                    </a:clrChange>
                  </a:blip>
                  <a:srcRect/>
                  <a:stretch>
                    <a:fillRect/>
                  </a:stretch>
                </pic:blipFill>
                <pic:spPr bwMode="auto">
                  <a:xfrm>
                    <a:off x="0" y="0"/>
                    <a:ext cx="476250" cy="552450"/>
                  </a:xfrm>
                  <a:prstGeom prst="rect">
                    <a:avLst/>
                  </a:prstGeom>
                  <a:noFill/>
                  <a:ln w="9525" algn="ctr">
                    <a:noFill/>
                    <a:miter lim="800000"/>
                    <a:headEnd/>
                    <a:tailEnd/>
                  </a:ln>
                  <a:effectLst/>
                </pic:spPr>
              </pic:pic>
            </a:graphicData>
          </a:graphic>
        </wp:anchor>
      </w:drawing>
    </w:r>
    <w:r w:rsidR="00523589">
      <w:rPr>
        <w:rFonts w:ascii="Kunstler Script" w:eastAsia="Times New Roman" w:hAnsi="Kunstler Script" w:cs="Times New Roman"/>
        <w:sz w:val="28"/>
        <w:szCs w:val="28"/>
      </w:rPr>
      <w:t xml:space="preserve">                       </w:t>
    </w:r>
  </w:p>
  <w:p w:rsidR="00523589" w:rsidRPr="00523589" w:rsidRDefault="00523589" w:rsidP="00523589">
    <w:pPr>
      <w:widowControl/>
      <w:autoSpaceDE/>
      <w:autoSpaceDN/>
      <w:adjustRightInd/>
      <w:jc w:val="center"/>
      <w:rPr>
        <w:rFonts w:ascii="Kunstler Script" w:eastAsia="Times New Roman" w:hAnsi="Kunstler Script" w:cs="Times New Roman"/>
        <w:sz w:val="28"/>
        <w:szCs w:val="28"/>
      </w:rPr>
    </w:pPr>
  </w:p>
  <w:p w:rsidR="00523589" w:rsidRPr="00523589" w:rsidRDefault="00523589" w:rsidP="00523589">
    <w:pPr>
      <w:widowControl/>
      <w:autoSpaceDE/>
      <w:autoSpaceDN/>
      <w:adjustRightInd/>
      <w:rPr>
        <w:rFonts w:ascii="Kunstler Script" w:eastAsia="Times New Roman" w:hAnsi="Kunstler Script" w:cs="Times New Roman"/>
        <w:b/>
        <w:sz w:val="32"/>
        <w:szCs w:val="32"/>
      </w:rPr>
    </w:pPr>
    <w:r w:rsidRPr="00523589">
      <w:rPr>
        <w:rFonts w:ascii="Kunstler Script" w:eastAsia="Times New Roman" w:hAnsi="Kunstler Script" w:cs="Times New Roman"/>
        <w:b/>
        <w:sz w:val="32"/>
        <w:szCs w:val="32"/>
      </w:rPr>
      <w:t>Prefettura - Ufficio Territoriale del Governo</w:t>
    </w:r>
  </w:p>
  <w:p w:rsidR="00523589" w:rsidRPr="005F5837" w:rsidRDefault="00523589" w:rsidP="005F5837">
    <w:pPr>
      <w:widowControl/>
      <w:autoSpaceDE/>
      <w:autoSpaceDN/>
      <w:adjustRightInd/>
      <w:rPr>
        <w:rFonts w:ascii="Kunstler Script" w:eastAsia="Times New Roman" w:hAnsi="Kunstler Script" w:cs="Times New Roman"/>
        <w:b/>
        <w:sz w:val="32"/>
        <w:szCs w:val="32"/>
      </w:rPr>
    </w:pPr>
    <w:r w:rsidRPr="00523589">
      <w:rPr>
        <w:rFonts w:ascii="Kunstler Script" w:eastAsia="Times New Roman" w:hAnsi="Kunstler Script" w:cs="Times New Roman"/>
        <w:b/>
        <w:sz w:val="32"/>
        <w:szCs w:val="32"/>
      </w:rPr>
      <w:t xml:space="preserve">                di </w:t>
    </w:r>
    <w:r w:rsidR="008F7C31">
      <w:rPr>
        <w:rFonts w:ascii="Kunstler Script" w:eastAsia="Times New Roman" w:hAnsi="Kunstler Script" w:cs="Times New Roman"/>
        <w:b/>
        <w:sz w:val="32"/>
        <w:szCs w:val="32"/>
      </w:rPr>
      <w:t>Ascoli Piceno</w:t>
    </w:r>
    <w:r w:rsidR="005F5837">
      <w:rPr>
        <w:rFonts w:ascii="Kunstler Script" w:eastAsia="Times New Roman" w:hAnsi="Kunstler Script" w:cs="Times New Roman"/>
        <w:b/>
        <w:sz w:val="32"/>
        <w:szCs w:val="32"/>
      </w:rPr>
      <w:tab/>
    </w:r>
    <w:r w:rsidR="005F5837">
      <w:rPr>
        <w:rFonts w:ascii="Kunstler Script" w:eastAsia="Times New Roman" w:hAnsi="Kunstler Script" w:cs="Times New Roman"/>
        <w:b/>
        <w:sz w:val="32"/>
        <w:szCs w:val="32"/>
      </w:rPr>
      <w:tab/>
    </w:r>
    <w:r w:rsidR="005F5837">
      <w:rPr>
        <w:rFonts w:ascii="Kunstler Script" w:eastAsia="Times New Roman" w:hAnsi="Kunstler Script" w:cs="Times New Roman"/>
        <w:b/>
        <w:sz w:val="32"/>
        <w:szCs w:val="32"/>
      </w:rPr>
      <w:tab/>
    </w:r>
    <w:r w:rsidR="005F5837">
      <w:rPr>
        <w:rFonts w:ascii="Kunstler Script" w:eastAsia="Times New Roman" w:hAnsi="Kunstler Script" w:cs="Times New Roman"/>
        <w:b/>
        <w:sz w:val="32"/>
        <w:szCs w:val="32"/>
      </w:rPr>
      <w:tab/>
    </w:r>
    <w:r w:rsidR="005F5837">
      <w:rPr>
        <w:rFonts w:ascii="Kunstler Script" w:eastAsia="Times New Roman" w:hAnsi="Kunstler Script" w:cs="Times New Roman"/>
        <w:b/>
        <w:sz w:val="32"/>
        <w:szCs w:val="32"/>
      </w:rPr>
      <w:tab/>
    </w:r>
    <w:r w:rsidR="005F5837">
      <w:rPr>
        <w:rFonts w:ascii="Kunstler Script" w:eastAsia="Times New Roman" w:hAnsi="Kunstler Script" w:cs="Times New Roman"/>
        <w:b/>
        <w:sz w:val="32"/>
        <w:szCs w:val="32"/>
      </w:rPr>
      <w:tab/>
    </w:r>
    <w:r w:rsidR="005F5837" w:rsidRPr="005F5837">
      <w:rPr>
        <w:rFonts w:ascii="Times New Roman" w:hAnsi="Times New Roman" w:cs="Times New Roman"/>
        <w:i/>
        <w:color w:val="000000"/>
        <w:spacing w:val="-3"/>
        <w:sz w:val="24"/>
        <w:szCs w:val="24"/>
      </w:rPr>
      <w:t>Comune di Montalto delle Marche</w:t>
    </w:r>
  </w:p>
  <w:p w:rsidR="00523589" w:rsidRDefault="0052358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CEF25A"/>
    <w:lvl w:ilvl="0">
      <w:numFmt w:val="bullet"/>
      <w:lvlText w:val="*"/>
      <w:lvlJc w:val="left"/>
    </w:lvl>
  </w:abstractNum>
  <w:abstractNum w:abstractNumId="1">
    <w:nsid w:val="03B60AEE"/>
    <w:multiLevelType w:val="singleLevel"/>
    <w:tmpl w:val="6568B9B8"/>
    <w:lvl w:ilvl="0">
      <w:start w:val="1"/>
      <w:numFmt w:val="decimal"/>
      <w:lvlText w:val="%1"/>
      <w:legacy w:legacy="1" w:legacySpace="0" w:legacyIndent="16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2"/>
        <w:lvlJc w:val="left"/>
        <w:rPr>
          <w:rFonts w:ascii="Times New Roman" w:hAnsi="Times New Roman" w:cs="Times New Roman" w:hint="default"/>
        </w:rPr>
      </w:lvl>
    </w:lvlOverride>
  </w:num>
  <w:num w:numId="4">
    <w:abstractNumId w:val="1"/>
  </w:num>
  <w:num w:numId="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326"/>
    <w:rsid w:val="002659D7"/>
    <w:rsid w:val="002B1022"/>
    <w:rsid w:val="004435BF"/>
    <w:rsid w:val="00523589"/>
    <w:rsid w:val="005F5837"/>
    <w:rsid w:val="00606326"/>
    <w:rsid w:val="006A026C"/>
    <w:rsid w:val="006F5D6E"/>
    <w:rsid w:val="0077451E"/>
    <w:rsid w:val="00815CA4"/>
    <w:rsid w:val="008F7C31"/>
    <w:rsid w:val="00923C88"/>
    <w:rsid w:val="009F16AE"/>
    <w:rsid w:val="00A52A4D"/>
    <w:rsid w:val="00A84143"/>
    <w:rsid w:val="00B66739"/>
    <w:rsid w:val="00D00EE7"/>
    <w:rsid w:val="00D2060B"/>
    <w:rsid w:val="00D96DAA"/>
    <w:rsid w:val="00EB7268"/>
    <w:rsid w:val="00EC0498"/>
    <w:rsid w:val="00F07F9E"/>
    <w:rsid w:val="00F711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C0498"/>
    <w:pPr>
      <w:widowControl w:val="0"/>
      <w:autoSpaceDE w:val="0"/>
      <w:autoSpaceDN w:val="0"/>
      <w:adjustRightInd w:val="0"/>
      <w:spacing w:after="0" w:line="240" w:lineRule="auto"/>
    </w:pPr>
    <w:rPr>
      <w:rFonts w:ascii="Arial" w:hAnsi="Arial" w:cs="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3589"/>
    <w:pPr>
      <w:tabs>
        <w:tab w:val="center" w:pos="4819"/>
        <w:tab w:val="right" w:pos="9638"/>
      </w:tabs>
    </w:pPr>
  </w:style>
  <w:style w:type="character" w:customStyle="1" w:styleId="IntestazioneCarattere">
    <w:name w:val="Intestazione Carattere"/>
    <w:basedOn w:val="Carpredefinitoparagrafo"/>
    <w:link w:val="Intestazione"/>
    <w:uiPriority w:val="99"/>
    <w:rsid w:val="00523589"/>
    <w:rPr>
      <w:rFonts w:ascii="Arial" w:hAnsi="Arial" w:cs="Arial"/>
      <w:sz w:val="20"/>
      <w:szCs w:val="20"/>
    </w:rPr>
  </w:style>
  <w:style w:type="paragraph" w:styleId="Pidipagina">
    <w:name w:val="footer"/>
    <w:basedOn w:val="Normale"/>
    <w:link w:val="PidipaginaCarattere"/>
    <w:uiPriority w:val="99"/>
    <w:unhideWhenUsed/>
    <w:rsid w:val="00523589"/>
    <w:pPr>
      <w:tabs>
        <w:tab w:val="center" w:pos="4819"/>
        <w:tab w:val="right" w:pos="9638"/>
      </w:tabs>
    </w:pPr>
  </w:style>
  <w:style w:type="character" w:customStyle="1" w:styleId="PidipaginaCarattere">
    <w:name w:val="Piè di pagina Carattere"/>
    <w:basedOn w:val="Carpredefinitoparagrafo"/>
    <w:link w:val="Pidipagina"/>
    <w:uiPriority w:val="99"/>
    <w:rsid w:val="00523589"/>
    <w:rPr>
      <w:rFonts w:ascii="Arial" w:hAnsi="Arial" w:cs="Arial"/>
      <w:sz w:val="20"/>
      <w:szCs w:val="20"/>
    </w:rPr>
  </w:style>
  <w:style w:type="paragraph" w:styleId="Testofumetto">
    <w:name w:val="Balloon Text"/>
    <w:basedOn w:val="Normale"/>
    <w:link w:val="TestofumettoCarattere"/>
    <w:uiPriority w:val="99"/>
    <w:semiHidden/>
    <w:unhideWhenUsed/>
    <w:rsid w:val="005235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235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autoSpaceDE w:val="0"/>
      <w:autoSpaceDN w:val="0"/>
      <w:adjustRightInd w:val="0"/>
      <w:spacing w:after="0" w:line="240" w:lineRule="auto"/>
    </w:pPr>
    <w:rPr>
      <w:rFonts w:ascii="Arial" w:hAnsi="Arial" w:cs="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3589"/>
    <w:pPr>
      <w:tabs>
        <w:tab w:val="center" w:pos="4819"/>
        <w:tab w:val="right" w:pos="9638"/>
      </w:tabs>
    </w:pPr>
  </w:style>
  <w:style w:type="character" w:customStyle="1" w:styleId="IntestazioneCarattere">
    <w:name w:val="Intestazione Carattere"/>
    <w:basedOn w:val="Carpredefinitoparagrafo"/>
    <w:link w:val="Intestazione"/>
    <w:uiPriority w:val="99"/>
    <w:rsid w:val="00523589"/>
    <w:rPr>
      <w:rFonts w:ascii="Arial" w:hAnsi="Arial" w:cs="Arial"/>
      <w:sz w:val="20"/>
      <w:szCs w:val="20"/>
    </w:rPr>
  </w:style>
  <w:style w:type="paragraph" w:styleId="Pidipagina">
    <w:name w:val="footer"/>
    <w:basedOn w:val="Normale"/>
    <w:link w:val="PidipaginaCarattere"/>
    <w:uiPriority w:val="99"/>
    <w:unhideWhenUsed/>
    <w:rsid w:val="00523589"/>
    <w:pPr>
      <w:tabs>
        <w:tab w:val="center" w:pos="4819"/>
        <w:tab w:val="right" w:pos="9638"/>
      </w:tabs>
    </w:pPr>
  </w:style>
  <w:style w:type="character" w:customStyle="1" w:styleId="PidipaginaCarattere">
    <w:name w:val="Piè di pagina Carattere"/>
    <w:basedOn w:val="Carpredefinitoparagrafo"/>
    <w:link w:val="Pidipagina"/>
    <w:uiPriority w:val="99"/>
    <w:rsid w:val="00523589"/>
    <w:rPr>
      <w:rFonts w:ascii="Arial" w:hAnsi="Arial" w:cs="Arial"/>
      <w:sz w:val="20"/>
      <w:szCs w:val="20"/>
    </w:rPr>
  </w:style>
  <w:style w:type="paragraph" w:styleId="Testofumetto">
    <w:name w:val="Balloon Text"/>
    <w:basedOn w:val="Normale"/>
    <w:link w:val="TestofumettoCarattere"/>
    <w:uiPriority w:val="99"/>
    <w:semiHidden/>
    <w:unhideWhenUsed/>
    <w:rsid w:val="005235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235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1643</Words>
  <Characters>9380</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M.I.</Company>
  <LinksUpToDate>false</LinksUpToDate>
  <CharactersWithSpaces>11001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Emanuele Guarino</dc:creator>
  <cp:lastModifiedBy>Utente Windows</cp:lastModifiedBy>
  <cp:revision>5</cp:revision>
  <cp:lastPrinted>2018-05-08T10:54:00Z</cp:lastPrinted>
  <dcterms:created xsi:type="dcterms:W3CDTF">2020-10-05T09:50:00Z</dcterms:created>
  <dcterms:modified xsi:type="dcterms:W3CDTF">2020-10-08T08:08:00Z</dcterms:modified>
</cp:coreProperties>
</file>