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hd w:fill="ffff99" w:val="clear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2. SETTORE AFFARI GENERALI, TURISMO E CULTURA, DEMOGRAFICO, PATRIMONIO E SIT (B) </w:t>
            </w:r>
          </w:p>
          <w:p w:rsidR="00000000" w:rsidDel="00000000" w:rsidP="00000000" w:rsidRDefault="00000000" w:rsidRPr="00000000" w14:paraId="00000003">
            <w:pPr>
              <w:shd w:fill="ffff99" w:val="clear"/>
              <w:jc w:val="center"/>
              <w:rPr/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1"/>
                <w:sz w:val="28"/>
                <w:szCs w:val="28"/>
                <w:rtl w:val="0"/>
              </w:rPr>
              <w:t xml:space="preserve">Responsabile Angelo Bucchi</w:t>
            </w: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RISORSE UMANE e SERVIZI AFFIDATI</w:t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i w:val="1"/>
          <w:sz w:val="24"/>
          <w:szCs w:val="24"/>
          <w:u w:val="single"/>
          <w:rtl w:val="0"/>
        </w:rPr>
        <w:t xml:space="preserve">vedi DGM n. 35 del 01/03/2021 e successivi adempimenti</w:t>
      </w:r>
    </w:p>
    <w:p w:rsidR="00000000" w:rsidDel="00000000" w:rsidP="00000000" w:rsidRDefault="00000000" w:rsidRPr="00000000" w14:paraId="00000007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Affari Generali, Turismo e Cultura (B1)</w:t>
      </w:r>
    </w:p>
    <w:p w:rsidR="00000000" w:rsidDel="00000000" w:rsidP="00000000" w:rsidRDefault="00000000" w:rsidRPr="00000000" w14:paraId="0000000A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0D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9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right="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10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ahoma" w:cs="Tahoma" w:eastAsia="Tahoma" w:hAnsi="Tahoma"/>
          <w:b w:val="1"/>
          <w:color w:val="0000ff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2021:</w:t>
      </w:r>
    </w:p>
    <w:p w:rsidR="00000000" w:rsidDel="00000000" w:rsidP="00000000" w:rsidRDefault="00000000" w:rsidRPr="00000000" w14:paraId="00000013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rPr>
          <w:trHeight w:val="3497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Affari Generali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impostazione Nuovo Strumento di Programmazione d’Area (PSR Valnerina? - Contratto Istituzionale di Sviluppo? - Masterplan LR 8/2018?) per coordinare politiche d’Area mettendo a fattor comune PNNR - Aree Interne - Programmazione Urbanistica ecc. (in collaborazione con tutti gli uffici) 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Avviare Organizzazione Segreteria Presidente del Consiglio per Convocazioni Organi Istituzionali, verbalizzazioni, coordinamento risposte ad interrogazioni, ecc.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Disporre incarico a Legale di fiducia per diffide e contenziosi “da Social”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Controllo del Territorio (in collaborazione con Polizia Locale). Installazione varco controllo accessi centro storico incrocio Corso Sertorio/Via Foscolo entro il 31/07/2021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Controllo del Territorio (in collaborazione con Polizia Locale). Consolidamento Servizio Controllo Velocità lungo Viale della Stazione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Completamento della rivisitazione del sistema di comunicazione istituzionale attraverso una nuova versione del Sito Istituzionale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trasmissione streaming istituzionale attraverso il Canale YouTube e pagina facebook Comune di Norcia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Ridefinizione organizzazione piattaforme informatiche alla nuova configurazione dei Settori (vedi DGM n. 35 del 01/03/2021)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Organizzazione corsi base su utilizzo principali editor di testo e fogli elettronici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Realizzazione APP e relativo sistema di gestione in Back Office per la gestione della Sentieristica. Definizione Convenzione con Associazione Eppedala e SASU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Riavvio funzionalità organi istituzionali in presenza. Organizzazione spazi provvisori a partire dal 31/07/2021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Progetto Digipass (in collaborazione con Lavori Pubblici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per il supporto tecnico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Quarantennale Gemellaggio Norcia / Ottobeuren. Supporto alle Celebrazioni/Manifestazioni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all’adeguamento hardware in relazione delle richieste delle singole PO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Presentazione proposta Istituzione Ente Mostra Mercato del Tartufo Nero e dei Prodotti Tipici della Valnerina, entro il 31/05/2021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Proposta adeguamento 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“C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artellonistica Benvenuto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”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e varia alla giunta entro il 31/05/2021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Comunicare BCC progetto per utilizzo contributo annuale entro il 30/07/2021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Turismo e Cultura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Eventi Estivi e Natalizi valorizzando l’esperienza 2020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alla riorganizzazione della Pro Loco di Norcia e delle Frazioni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Progetto ingresso a pagamento per Fioritura Castelluccio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Promozione cammini ad iniziare dal Cammino di San Benedetto, delle Terre Mutate, della Solidarietà, di San Francesco e di Celestino V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Adesione all’Associazione Festival dei Cammini con Comuni di Ascoli, Campobasso, l’Aquila ed Associazioni di settore.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organizzazione Festival dei Cammini - I Edizione - 2022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Riavvio funzionalità Casa del Parco e Punto Informazioni 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ad Hampiness Music Festival II edizione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Figuratevi di …. essere bambini III edizione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Stagione Teatrale 2021/2022 in collaborazione con Teatro Stabile dell'Umbria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Eventi legati ai bandi Borghi in Festival, Fermenti in Comune,  Play Smart Norcia, Dance Gallery, ecc. se finanziati - Passaggio Consegne ad Ufficio Bandi per rendicontazione.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Organizzazione Marzo Benedettino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Supporto alla riorganizzazione della Governance del Corteo Storico e delle Guaite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Progetto di Massima per definizione linee guida per Centro Documentale Terremoti (Raccolta dati, progetti di ricerca, contenitore, luogo)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Progetto Recupero/Rifunzionalizzazione/Ripensamento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Area Forca Canapine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Spostamento Uffici presso nuova sede in centro storico</w:t>
            </w:r>
          </w:p>
        </w:tc>
      </w:tr>
    </w:tbl>
    <w:p w:rsidR="00000000" w:rsidDel="00000000" w:rsidP="00000000" w:rsidRDefault="00000000" w:rsidRPr="00000000" w14:paraId="0000003A">
      <w:pPr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Demografico (B2)</w:t>
      </w:r>
    </w:p>
    <w:p w:rsidR="00000000" w:rsidDel="00000000" w:rsidP="00000000" w:rsidRDefault="00000000" w:rsidRPr="00000000" w14:paraId="0000003E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41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29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720" w:right="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44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ahoma" w:cs="Tahoma" w:eastAsia="Tahoma" w:hAnsi="Tahoma"/>
          <w:b w:val="1"/>
          <w:color w:val="0000ff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</w:p>
    <w:p w:rsidR="00000000" w:rsidDel="00000000" w:rsidP="00000000" w:rsidRDefault="00000000" w:rsidRPr="00000000" w14:paraId="00000047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rPr>
          <w:trHeight w:val="6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Demografico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Consolidamento funzionalità Anagrafe Nazionale ed apertura servizi a non residenti entro estate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de-materializzazione “Cartellini Anagrafe”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Collaborazione per avvio “Progetto Nuova Toponomastica” e Numerazione Civica (in collaborazione con Ufficio SIT). Cartografia con indicazione “codici strada” e, ove possibile, civici esistenti. Intitolazione vie, laddove non ancora codificate.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Spostamento Uffici presso nuova sede in Centro Storico </w:t>
            </w:r>
          </w:p>
        </w:tc>
      </w:tr>
      <w:t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</w:p>
        </w:tc>
      </w:tr>
    </w:tbl>
    <w:p w:rsidR="00000000" w:rsidDel="00000000" w:rsidP="00000000" w:rsidRDefault="00000000" w:rsidRPr="00000000" w14:paraId="0000004F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right="315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Ufficio Patrimonio e SIT (B3)</w:t>
      </w:r>
    </w:p>
    <w:p w:rsidR="00000000" w:rsidDel="00000000" w:rsidP="00000000" w:rsidRDefault="00000000" w:rsidRPr="00000000" w14:paraId="00000055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800080"/>
          <w:sz w:val="24"/>
          <w:szCs w:val="24"/>
          <w:rtl w:val="0"/>
        </w:rPr>
        <w:t xml:space="preserve">* OBIETTIVI GENERALI 2021 :</w:t>
      </w:r>
    </w:p>
    <w:p w:rsidR="00000000" w:rsidDel="00000000" w:rsidP="00000000" w:rsidRDefault="00000000" w:rsidRPr="00000000" w14:paraId="00000058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29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29"/>
        <w:tblGridChange w:id="0">
          <w:tblGrid>
            <w:gridCol w:w="8529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right="0" w:hanging="36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Gestione ordinaria funzioni affidate all'Ufficio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Modello di Report Numerico per Relazione alla Giunta attività ordinarie entro il 30/06/2021</w:t>
            </w:r>
          </w:p>
        </w:tc>
      </w:tr>
    </w:tbl>
    <w:p w:rsidR="00000000" w:rsidDel="00000000" w:rsidP="00000000" w:rsidRDefault="00000000" w:rsidRPr="00000000" w14:paraId="0000005B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ahoma" w:cs="Tahoma" w:eastAsia="Tahoma" w:hAnsi="Tahoma"/>
          <w:b w:val="1"/>
          <w:color w:val="800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ahoma" w:cs="Tahoma" w:eastAsia="Tahoma" w:hAnsi="Tahoma"/>
          <w:b w:val="1"/>
          <w:color w:val="0000ff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color w:val="0000ff"/>
          <w:sz w:val="24"/>
          <w:szCs w:val="24"/>
          <w:rtl w:val="0"/>
        </w:rPr>
        <w:t xml:space="preserve">* OBIETTIVI SPECIFICI 2021 :</w:t>
      </w:r>
    </w:p>
    <w:p w:rsidR="00000000" w:rsidDel="00000000" w:rsidP="00000000" w:rsidRDefault="00000000" w:rsidRPr="00000000" w14:paraId="0000005E">
      <w:pPr>
        <w:ind w:left="0" w:right="315" w:firstLine="0"/>
        <w:jc w:val="both"/>
        <w:rPr>
          <w:rFonts w:ascii="Tahoma" w:cs="Tahoma" w:eastAsia="Tahoma" w:hAnsi="Tahoma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15.0" w:type="dxa"/>
        <w:jc w:val="left"/>
        <w:tblInd w:w="-10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515"/>
        <w:tblGridChange w:id="0">
          <w:tblGrid>
            <w:gridCol w:w="8515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Patrimonio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regolamento per utilizzo struttura pressostatica per Associazioni e Privati e verifica costi gestione a suo tempo stimati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acquisizione fabbricato via Cairoli da Terremoto 1979 (in collaborazione con Ufficio Tecnico)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acquisizioni aree lottizzazioni Montedoro, Carucci (2), Lombrici, Casino Cammeresi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/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Asta vendita stalle e scuole residue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consegna immobili emergenza realizzati da Pro Civ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Presa in consegna da Ufficio Pianificazione procedura per acquisizione aree espropri Sisma (entro il 31/12).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Presa in consegna da Ufficio Pianificazione procedura per acquisizione aree Lottizzazione Montedoro (entro il 31/12).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Presa in consegna da Ufficio Pianificazione procedura per acquisizione aree Vecchia e Nuova Lottizzazione Carucci (entro il 31/12).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Presa in consegna da Ufficio Pianificazione procedura per acquisizione aree Lottizzazione V.le Lombrici (entro il 31/12).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tabs>
                <w:tab w:val="left" w:pos="1080"/>
              </w:tabs>
              <w:ind w:left="72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Presa in consegna da Ufficio Pianificazione procedura per acquisizione aree Lottizzazione Loc. Casino Cammeresi (entro il 31/12).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SIT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Collaborazione con Ufficio Aree Interne per avvio “Progetto SIT”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Avvio “Progetto Nuova Toponomastica” e Numerazione Civica (in collaborazione con Ufficio Demografico). Cartografia con indicazione “codici strada” e, ove possibile, civici esistenti. Intitolazione vie laddove non ancora codificate.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Emissione Bando SIT e Supporto ad Ufficio Aree Interne </w:t>
            </w:r>
          </w:p>
        </w:tc>
      </w:tr>
      <w:t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tabs>
                <w:tab w:val="left" w:pos="1080"/>
              </w:tabs>
              <w:ind w:left="0" w:right="315" w:firstLine="0"/>
              <w:jc w:val="both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Varie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tabs>
                <w:tab w:val="left" w:pos="1080"/>
              </w:tabs>
              <w:ind w:left="540" w:right="315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Definizione principi di funzionamento delle procedure informatiche in uso all'ufficio</w:t>
            </w:r>
          </w:p>
          <w:p w:rsidR="00000000" w:rsidDel="00000000" w:rsidP="00000000" w:rsidRDefault="00000000" w:rsidRPr="00000000" w14:paraId="00000070">
            <w:pPr>
              <w:tabs>
                <w:tab w:val="left" w:pos="1080"/>
              </w:tabs>
              <w:ind w:left="720" w:right="31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widowControl w:val="1"/>
        <w:shd w:fill="ffffff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1134" w:top="1701" w:left="226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widowControl w:val="1"/>
      <w:numPr>
        <w:ilvl w:val="0"/>
        <w:numId w:val="2"/>
      </w:numPr>
      <w:shd w:fill="ffffff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numPr>
        <w:ilvl w:val="0"/>
        <w:numId w:val="2"/>
      </w:numPr>
      <w:shd w:fill="ffffff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Pagina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0"/>
        <w:i w:val="0"/>
        <w:smallCaps w:val="0"/>
        <w:strike w:val="0"/>
        <w:color w:val="000000"/>
        <w:sz w:val="16"/>
        <w:szCs w:val="16"/>
        <w:u w:val="none"/>
        <w:vertAlign w:val="baseline"/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numPr>
        <w:ilvl w:val="0"/>
        <w:numId w:val="2"/>
      </w:numPr>
      <w:shd w:fill="ffffff" w:val="clear"/>
      <w:tabs>
        <w:tab w:val="center" w:pos="4819"/>
        <w:tab w:val="right" w:pos="9638"/>
      </w:tabs>
      <w:ind w:left="432"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4648200</wp:posOffset>
          </wp:positionH>
          <wp:positionV relativeFrom="paragraph">
            <wp:posOffset>-219074</wp:posOffset>
          </wp:positionV>
          <wp:extent cx="436191" cy="592773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6191" cy="5927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2638425</wp:posOffset>
              </wp:positionH>
              <wp:positionV relativeFrom="paragraph">
                <wp:posOffset>-209549</wp:posOffset>
              </wp:positionV>
              <wp:extent cx="1800225" cy="571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 txBox="1"/>
                    <wps:cNvPr id="2" name="Shape 2"/>
                    <wps:spPr>
                      <a:xfrm>
                        <a:off x="3915725" y="1509800"/>
                        <a:ext cx="1782300" cy="5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Comune di Norcia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Piano Esecutivo di Gestione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PEG 2021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2638425</wp:posOffset>
              </wp:positionH>
              <wp:positionV relativeFrom="paragraph">
                <wp:posOffset>-209549</wp:posOffset>
              </wp:positionV>
              <wp:extent cx="1800225" cy="571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225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54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80" w:lineRule="auto"/>
    </w:pPr>
    <w:rPr>
      <w:rFonts w:ascii="Times New Roman" w:cs="Times New Roman" w:eastAsia="Times New Roman" w:hAnsi="Times New Roman"/>
      <w:b w:val="1"/>
      <w:color w:val="ff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360" w:lineRule="auto"/>
      <w:jc w:val="both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Rule="auto"/>
      <w:jc w:val="both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Rule="auto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Rule="auto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