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right="31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15.0" w:type="dxa"/>
        <w:jc w:val="left"/>
        <w:tblInd w:w="-108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8515"/>
        <w:tblGridChange w:id="0">
          <w:tblGrid>
            <w:gridCol w:w="8515"/>
          </w:tblGrid>
        </w:tblGridChange>
      </w:tblGrid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02">
            <w:pPr>
              <w:shd w:fill="ffff99" w:val="clear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7. SETTORE VIGILANZA (G)    </w:t>
            </w:r>
          </w:p>
          <w:p w:rsidR="00000000" w:rsidDel="00000000" w:rsidP="00000000" w:rsidRDefault="00000000" w:rsidRPr="00000000" w14:paraId="00000003">
            <w:pPr>
              <w:shd w:fill="ffff99" w:val="clear"/>
              <w:jc w:val="center"/>
              <w:rPr>
                <w:rFonts w:ascii="Tahoma" w:cs="Tahoma" w:eastAsia="Tahoma" w:hAnsi="Tahom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Responsabile Samuel Rosati </w:t>
            </w:r>
          </w:p>
        </w:tc>
      </w:tr>
    </w:tbl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ahoma" w:cs="Tahoma" w:eastAsia="Tahoma" w:hAnsi="Tahoma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ahoma" w:cs="Tahoma" w:eastAsia="Tahoma" w:hAnsi="Tahoma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z w:val="24"/>
          <w:szCs w:val="24"/>
          <w:u w:val="single"/>
          <w:rtl w:val="0"/>
        </w:rPr>
        <w:t xml:space="preserve">RISORSE UMANE e SERVIZI AFFIDATI</w:t>
      </w:r>
    </w:p>
    <w:p w:rsidR="00000000" w:rsidDel="00000000" w:rsidP="00000000" w:rsidRDefault="00000000" w:rsidRPr="00000000" w14:paraId="00000007">
      <w:pPr>
        <w:jc w:val="center"/>
        <w:rPr>
          <w:rFonts w:ascii="Tahoma" w:cs="Tahoma" w:eastAsia="Tahoma" w:hAnsi="Tahoma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z w:val="24"/>
          <w:szCs w:val="24"/>
          <w:u w:val="single"/>
          <w:rtl w:val="0"/>
        </w:rPr>
        <w:t xml:space="preserve">vedi DGM n. 35 del 01/03/2021 e successivi adempimenti</w:t>
      </w:r>
    </w:p>
    <w:p w:rsidR="00000000" w:rsidDel="00000000" w:rsidP="00000000" w:rsidRDefault="00000000" w:rsidRPr="00000000" w14:paraId="00000008">
      <w:pPr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Ufficio Amministrativo e Contenzioso (G1)</w:t>
      </w:r>
    </w:p>
    <w:p w:rsidR="00000000" w:rsidDel="00000000" w:rsidP="00000000" w:rsidRDefault="00000000" w:rsidRPr="00000000" w14:paraId="0000000B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Tahoma" w:cs="Tahoma" w:eastAsia="Tahoma" w:hAnsi="Tahoma"/>
          <w:b w:val="1"/>
          <w:color w:val="80008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800080"/>
          <w:sz w:val="24"/>
          <w:szCs w:val="24"/>
          <w:rtl w:val="0"/>
        </w:rPr>
        <w:t xml:space="preserve">* OBIETTIVI GENERALI 2021 :</w:t>
      </w:r>
    </w:p>
    <w:p w:rsidR="00000000" w:rsidDel="00000000" w:rsidP="00000000" w:rsidRDefault="00000000" w:rsidRPr="00000000" w14:paraId="0000000E">
      <w:pPr>
        <w:jc w:val="both"/>
        <w:rPr>
          <w:rFonts w:ascii="Tahoma" w:cs="Tahoma" w:eastAsia="Tahoma" w:hAnsi="Tahoma"/>
          <w:b w:val="1"/>
          <w:color w:val="80008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29.0" w:type="dxa"/>
        <w:jc w:val="left"/>
        <w:tblInd w:w="-108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8529"/>
        <w:tblGridChange w:id="0">
          <w:tblGrid>
            <w:gridCol w:w="8529"/>
          </w:tblGrid>
        </w:tblGridChange>
      </w:tblGrid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0F">
            <w:pPr>
              <w:numPr>
                <w:ilvl w:val="0"/>
                <w:numId w:val="2"/>
              </w:numPr>
              <w:ind w:left="720" w:right="0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Gestione ordinaria funzioni affidate all'Ufficio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2"/>
              </w:numPr>
              <w:tabs>
                <w:tab w:val="left" w:pos="1080"/>
              </w:tabs>
              <w:ind w:left="720" w:right="315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Definizione Modello di Report Numerico per Relazione alla Giunta attività ordinarie entro il 30/06/2021</w:t>
            </w:r>
          </w:p>
        </w:tc>
      </w:tr>
    </w:tbl>
    <w:p w:rsidR="00000000" w:rsidDel="00000000" w:rsidP="00000000" w:rsidRDefault="00000000" w:rsidRPr="00000000" w14:paraId="00000011">
      <w:pPr>
        <w:jc w:val="both"/>
        <w:rPr>
          <w:rFonts w:ascii="Tahoma" w:cs="Tahoma" w:eastAsia="Tahoma" w:hAnsi="Tahoma"/>
          <w:b w:val="1"/>
          <w:color w:val="800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Tahoma" w:cs="Tahoma" w:eastAsia="Tahoma" w:hAnsi="Tahoma"/>
          <w:b w:val="1"/>
          <w:color w:val="800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Tahoma" w:cs="Tahoma" w:eastAsia="Tahoma" w:hAnsi="Tahoma"/>
          <w:b w:val="1"/>
          <w:color w:val="0000ff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00ff"/>
          <w:sz w:val="24"/>
          <w:szCs w:val="24"/>
          <w:rtl w:val="0"/>
        </w:rPr>
        <w:t xml:space="preserve">* OBIETTIVI SPECIFICI 2021 :</w:t>
      </w:r>
    </w:p>
    <w:p w:rsidR="00000000" w:rsidDel="00000000" w:rsidP="00000000" w:rsidRDefault="00000000" w:rsidRPr="00000000" w14:paraId="00000014">
      <w:pPr>
        <w:ind w:left="0" w:right="315" w:firstLine="0"/>
        <w:jc w:val="both"/>
        <w:rPr>
          <w:rFonts w:ascii="Tahoma" w:cs="Tahoma" w:eastAsia="Tahoma" w:hAnsi="Tahoma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515.0" w:type="dxa"/>
        <w:jc w:val="left"/>
        <w:tblInd w:w="-108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8515"/>
        <w:tblGridChange w:id="0">
          <w:tblGrid>
            <w:gridCol w:w="8515"/>
          </w:tblGrid>
        </w:tblGridChange>
      </w:tblGrid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15">
            <w:pPr>
              <w:tabs>
                <w:tab w:val="left" w:pos="1080"/>
              </w:tabs>
              <w:ind w:left="0" w:right="315" w:firstLine="0"/>
              <w:jc w:val="both"/>
              <w:rPr/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Controllo del Territorio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(in collaborazione con Affari Generali)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5"/>
              </w:numPr>
              <w:tabs>
                <w:tab w:val="left" w:pos="1080"/>
              </w:tabs>
              <w:ind w:left="540" w:right="315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Installazione varco controllo accessi centro storico incrocio Corso Sertorio/Via Foscolo entro il 31/07/2021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5"/>
              </w:numPr>
              <w:tabs>
                <w:tab w:val="left" w:pos="1080"/>
              </w:tabs>
              <w:ind w:left="540" w:right="315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Procedure per riavvio parcheggi strisce blu. Eliminare Stalli intorno alla Castellina </w:t>
            </w:r>
          </w:p>
        </w:tc>
      </w:tr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18">
            <w:pPr>
              <w:tabs>
                <w:tab w:val="left" w:pos="1080"/>
              </w:tabs>
              <w:ind w:left="0" w:right="315" w:firstLine="0"/>
              <w:jc w:val="both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Attività Amministrativa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tabs>
                <w:tab w:val="left" w:pos="1080"/>
              </w:tabs>
              <w:ind w:left="720" w:right="315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Supporto per definizione strumenti con Enti Sovraordinati per “governo viabilità Castelluccio”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tabs>
                <w:tab w:val="left" w:pos="1080"/>
              </w:tabs>
              <w:ind w:left="720" w:right="315" w:hanging="360"/>
              <w:jc w:val="both"/>
              <w:rPr/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Miglioramento attività messi comunali mediante report per la Giunta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tabs>
                <w:tab w:val="left" w:pos="1080"/>
              </w:tabs>
              <w:ind w:left="720" w:right="315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Supporto a verifiche occupazione suolo pubblico a seguito nuove disposizioni e regolamenti (anche su nuovo Piano Arredo Urbano ed in collaborazione con Ufficio commercio ed Urbanistica). 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tabs>
                <w:tab w:val="left" w:pos="1080"/>
              </w:tabs>
              <w:ind w:left="720" w:right="315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Utilizzo risorse “riservate da norme vigenti” . Acquisto e-bike 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tabs>
                <w:tab w:val="left" w:pos="1080"/>
              </w:tabs>
              <w:ind w:left="720" w:right="315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Selezione personale a tempo determinato così come assegnato dal Piano di Fabbisogno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tabs>
                <w:tab w:val="left" w:pos="1080"/>
              </w:tabs>
              <w:ind w:left="720" w:right="315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Revisione permessi temporanei per accesso alla ZTL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tabs>
                <w:tab w:val="left" w:pos="1080"/>
              </w:tabs>
              <w:ind w:left="720" w:right="315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Relazione alla Giunta sulla Custodia cani </w:t>
            </w: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r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andagi</w:t>
            </w:r>
          </w:p>
        </w:tc>
      </w:tr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20">
            <w:pPr>
              <w:tabs>
                <w:tab w:val="left" w:pos="1080"/>
              </w:tabs>
              <w:ind w:left="0" w:right="315" w:firstLine="0"/>
              <w:jc w:val="both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Varie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5"/>
              </w:numPr>
              <w:tabs>
                <w:tab w:val="left" w:pos="1080"/>
              </w:tabs>
              <w:ind w:left="540" w:right="315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Definizione principi di funzionamento delle procedure informatiche in uso all'ufficio</w:t>
            </w:r>
          </w:p>
        </w:tc>
      </w:tr>
    </w:tbl>
    <w:p w:rsidR="00000000" w:rsidDel="00000000" w:rsidP="00000000" w:rsidRDefault="00000000" w:rsidRPr="00000000" w14:paraId="00000022">
      <w:pPr>
        <w:ind w:left="0" w:right="315" w:firstLine="0"/>
        <w:jc w:val="both"/>
        <w:rPr>
          <w:rFonts w:ascii="Tahoma" w:cs="Tahoma" w:eastAsia="Tahoma" w:hAnsi="Tahoma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right="315" w:firstLine="0"/>
        <w:jc w:val="both"/>
        <w:rPr>
          <w:rFonts w:ascii="Tahoma" w:cs="Tahoma" w:eastAsia="Tahoma" w:hAnsi="Tahoma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right="315" w:firstLine="0"/>
        <w:jc w:val="both"/>
        <w:rPr>
          <w:rFonts w:ascii="Tahoma" w:cs="Tahoma" w:eastAsia="Tahoma" w:hAnsi="Tahoma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right="315" w:firstLine="0"/>
        <w:jc w:val="both"/>
        <w:rPr>
          <w:rFonts w:ascii="Tahoma" w:cs="Tahoma" w:eastAsia="Tahoma" w:hAnsi="Tahoma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right="315" w:firstLine="0"/>
        <w:jc w:val="both"/>
        <w:rPr>
          <w:rFonts w:ascii="Tahoma" w:cs="Tahoma" w:eastAsia="Tahoma" w:hAnsi="Tahoma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right="315" w:firstLine="0"/>
        <w:jc w:val="both"/>
        <w:rPr>
          <w:rFonts w:ascii="Tahoma" w:cs="Tahoma" w:eastAsia="Tahoma" w:hAnsi="Tahoma"/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Ufficio Polizia Municipale (G2)</w:t>
      </w:r>
    </w:p>
    <w:p w:rsidR="00000000" w:rsidDel="00000000" w:rsidP="00000000" w:rsidRDefault="00000000" w:rsidRPr="00000000" w14:paraId="00000029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Tahoma" w:cs="Tahoma" w:eastAsia="Tahoma" w:hAnsi="Tahoma"/>
          <w:b w:val="1"/>
          <w:color w:val="80008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800080"/>
          <w:sz w:val="24"/>
          <w:szCs w:val="24"/>
          <w:rtl w:val="0"/>
        </w:rPr>
        <w:t xml:space="preserve">* OBIETTIVI GENERALI 2021 :</w:t>
      </w:r>
    </w:p>
    <w:p w:rsidR="00000000" w:rsidDel="00000000" w:rsidP="00000000" w:rsidRDefault="00000000" w:rsidRPr="00000000" w14:paraId="0000002C">
      <w:pPr>
        <w:jc w:val="both"/>
        <w:rPr>
          <w:rFonts w:ascii="Tahoma" w:cs="Tahoma" w:eastAsia="Tahoma" w:hAnsi="Tahoma"/>
          <w:b w:val="1"/>
          <w:color w:val="80008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529.0" w:type="dxa"/>
        <w:jc w:val="left"/>
        <w:tblInd w:w="-108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8529"/>
        <w:tblGridChange w:id="0">
          <w:tblGrid>
            <w:gridCol w:w="8529"/>
          </w:tblGrid>
        </w:tblGridChange>
      </w:tblGrid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2D">
            <w:pPr>
              <w:numPr>
                <w:ilvl w:val="0"/>
                <w:numId w:val="2"/>
              </w:numPr>
              <w:ind w:left="720" w:right="0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Gestione ordinaria funzioni affidate all'Ufficio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2"/>
              </w:numPr>
              <w:tabs>
                <w:tab w:val="left" w:pos="1080"/>
              </w:tabs>
              <w:ind w:left="720" w:right="315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Definizione Modello di Report Numerico per Relazione alla Giunta attività ordinarie entro il 30/06/2021</w:t>
            </w:r>
          </w:p>
        </w:tc>
      </w:tr>
    </w:tbl>
    <w:p w:rsidR="00000000" w:rsidDel="00000000" w:rsidP="00000000" w:rsidRDefault="00000000" w:rsidRPr="00000000" w14:paraId="0000002F">
      <w:pPr>
        <w:jc w:val="both"/>
        <w:rPr>
          <w:rFonts w:ascii="Tahoma" w:cs="Tahoma" w:eastAsia="Tahoma" w:hAnsi="Tahoma"/>
          <w:b w:val="1"/>
          <w:color w:val="800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Tahoma" w:cs="Tahoma" w:eastAsia="Tahoma" w:hAnsi="Tahoma"/>
          <w:b w:val="1"/>
          <w:color w:val="8000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Tahoma" w:cs="Tahoma" w:eastAsia="Tahoma" w:hAnsi="Tahoma"/>
          <w:b w:val="1"/>
          <w:color w:val="0000ff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00ff"/>
          <w:sz w:val="24"/>
          <w:szCs w:val="24"/>
          <w:rtl w:val="0"/>
        </w:rPr>
        <w:t xml:space="preserve">* OBIETTIVI SPECIFICI 2021 :</w:t>
      </w:r>
    </w:p>
    <w:p w:rsidR="00000000" w:rsidDel="00000000" w:rsidP="00000000" w:rsidRDefault="00000000" w:rsidRPr="00000000" w14:paraId="00000032">
      <w:pPr>
        <w:ind w:left="0" w:right="315" w:firstLine="0"/>
        <w:jc w:val="both"/>
        <w:rPr>
          <w:rFonts w:ascii="Tahoma" w:cs="Tahoma" w:eastAsia="Tahoma" w:hAnsi="Tahoma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515.0" w:type="dxa"/>
        <w:jc w:val="left"/>
        <w:tblInd w:w="-108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8515"/>
        <w:tblGridChange w:id="0">
          <w:tblGrid>
            <w:gridCol w:w="8515"/>
          </w:tblGrid>
        </w:tblGridChange>
      </w:tblGrid>
      <w:tr>
        <w:trPr>
          <w:trHeight w:val="645" w:hRule="atLeast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33">
            <w:pPr>
              <w:tabs>
                <w:tab w:val="left" w:pos="1080"/>
              </w:tabs>
              <w:ind w:left="0" w:right="315" w:firstLine="0"/>
              <w:jc w:val="both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Controllo del Territorio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5"/>
              </w:numPr>
              <w:tabs>
                <w:tab w:val="left" w:pos="1080"/>
              </w:tabs>
              <w:ind w:left="540" w:right="315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Riavvio servizio Parcheggio su strisce blu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5"/>
              </w:numPr>
              <w:tabs>
                <w:tab w:val="left" w:pos="1080"/>
              </w:tabs>
              <w:ind w:left="540" w:right="315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Utilizzo nuove risorse di personale per azioni di pattugliamento e presidio 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5"/>
              </w:numPr>
              <w:tabs>
                <w:tab w:val="left" w:pos="1080"/>
              </w:tabs>
              <w:ind w:left="540" w:right="315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Verifiche occupazione suolo pubblico a seguito nuove disposizioni e regolamenti (anche su nuovo Piano Arredo Urbano ed in collaborazione con Ufficio commercio ed Urbanistica). 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5"/>
              </w:numPr>
              <w:tabs>
                <w:tab w:val="left" w:pos="1080"/>
              </w:tabs>
              <w:ind w:left="540" w:right="315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Controlli occupazione licenze commerciali (in collaborazione con Ufficio Commercio)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5"/>
              </w:numPr>
              <w:tabs>
                <w:tab w:val="left" w:pos="1080"/>
              </w:tabs>
              <w:ind w:left="540" w:right="315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Controllo Area Castelluccio per Viabilità e Commercio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5"/>
              </w:numPr>
              <w:tabs>
                <w:tab w:val="left" w:pos="1080"/>
              </w:tabs>
              <w:ind w:left="540" w:right="315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Controlli occupazione licenze commerciali (in collaborazione con Ufficio Commercio)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5"/>
              </w:numPr>
              <w:tabs>
                <w:tab w:val="left" w:pos="1080"/>
              </w:tabs>
              <w:ind w:left="540" w:right="315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Consolidamento Servizio Controllo Velocità lungo Viale della Stazione ed avvio pattugliamento su SP Norcia Preci 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5"/>
              </w:numPr>
              <w:tabs>
                <w:tab w:val="left" w:pos="1080"/>
              </w:tabs>
              <w:ind w:left="540" w:right="315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Controllo servizio parcheggio su strisce blu e scassettamento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5"/>
              </w:numPr>
              <w:tabs>
                <w:tab w:val="left" w:pos="1080"/>
              </w:tabs>
              <w:ind w:left="540" w:right="315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Proposta di Sostituzione segnaletica e quantificazione economica alla giunta entro il 30/06/2021</w:t>
            </w:r>
          </w:p>
        </w:tc>
      </w:tr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3D">
            <w:pPr>
              <w:tabs>
                <w:tab w:val="left" w:pos="1080"/>
              </w:tabs>
              <w:ind w:left="720" w:right="315" w:hanging="360"/>
              <w:jc w:val="both"/>
              <w:rPr/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Operazioni post sisma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4"/>
              </w:numPr>
              <w:tabs>
                <w:tab w:val="left" w:pos="1080"/>
              </w:tabs>
              <w:ind w:left="720" w:right="315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Verifica a campione CAS e SAE ai sensi dell'art.lo 1 comma 6 OCDPC 614/2019 (in collaborazione con Ufficio Servizi Sociali). Report trimestrale alla Giunta</w:t>
            </w:r>
          </w:p>
        </w:tc>
      </w:tr>
      <w:t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3F">
            <w:pPr>
              <w:tabs>
                <w:tab w:val="left" w:pos="1080"/>
              </w:tabs>
              <w:ind w:left="0" w:right="315" w:firstLine="0"/>
              <w:jc w:val="both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Varie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5"/>
              </w:numPr>
              <w:tabs>
                <w:tab w:val="left" w:pos="1080"/>
              </w:tabs>
              <w:ind w:left="540" w:right="315" w:hanging="360"/>
              <w:jc w:val="both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Definizione principi di funzionamento delle procedure informatiche in uso all'ufficio</w:t>
            </w:r>
          </w:p>
        </w:tc>
      </w:tr>
    </w:tbl>
    <w:p w:rsidR="00000000" w:rsidDel="00000000" w:rsidP="00000000" w:rsidRDefault="00000000" w:rsidRPr="00000000" w14:paraId="00000041">
      <w:pPr>
        <w:ind w:left="0" w:right="315" w:firstLine="0"/>
        <w:jc w:val="both"/>
        <w:rPr>
          <w:rFonts w:ascii="Tahoma" w:cs="Tahoma" w:eastAsia="Tahoma" w:hAnsi="Tahoma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shd w:fill="ffffff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Si specifica che le previsioni e le tempistiche previste dal presente PEG, in procedimenti amministrativi sottoposti a pareri di Enti sovraordinati, sono subordinati al rilascio dei nulla osta degli stessi.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shd w:fill="ffffff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shd w:fill="ffffff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Si specifica inoltre che le previsioni del presente PEG sono state elaborate sulla base della attuale dotazione organica e dei collaboratori specificati per ciascun ufficio e chiaramente dovranno essere rideterminate nel caso di modifiche al personale.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ab/>
        <w:tab/>
        <w:tab/>
        <w:tab/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even"/>
      <w:footerReference r:id="rId8" w:type="default"/>
      <w:footerReference r:id="rId9" w:type="even"/>
      <w:pgSz w:h="16838" w:w="11906" w:orient="portrait"/>
      <w:pgMar w:bottom="1134" w:top="1701" w:left="2268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keepNext w:val="0"/>
      <w:keepLines w:val="0"/>
      <w:widowControl w:val="1"/>
      <w:numPr>
        <w:ilvl w:val="0"/>
        <w:numId w:val="3"/>
      </w:numPr>
      <w:shd w:fill="ffffff" w:val="clear"/>
      <w:spacing w:after="0" w:before="0" w:line="240" w:lineRule="auto"/>
      <w:ind w:left="7200" w:right="0" w:firstLine="0"/>
      <w:jc w:val="left"/>
      <w:rPr/>
    </w:pPr>
    <w:r w:rsidDel="00000000" w:rsidR="00000000" w:rsidRPr="00000000">
      <w:rPr>
        <w:b w:val="0"/>
        <w:i w:val="0"/>
        <w:smallCaps w:val="0"/>
        <w:strike w:val="0"/>
        <w:color w:val="000000"/>
        <w:sz w:val="16"/>
        <w:szCs w:val="16"/>
        <w:u w:val="none"/>
        <w:vertAlign w:val="baseline"/>
        <w:rtl w:val="0"/>
      </w:rPr>
      <w:t xml:space="preserve">Pagina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b w:val="0"/>
        <w:i w:val="0"/>
        <w:smallCaps w:val="0"/>
        <w:strike w:val="0"/>
        <w:color w:val="000000"/>
        <w:sz w:val="16"/>
        <w:szCs w:val="16"/>
        <w:u w:val="none"/>
        <w:vertAlign w:val="baseline"/>
        <w:rtl w:val="0"/>
      </w:rPr>
      <w:t xml:space="preserve"> di </w:t>
    </w:r>
    <w:r w:rsidDel="00000000" w:rsidR="00000000" w:rsidRPr="00000000">
      <w:rPr/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keepNext w:val="0"/>
      <w:keepLines w:val="0"/>
      <w:widowControl w:val="1"/>
      <w:numPr>
        <w:ilvl w:val="0"/>
        <w:numId w:val="3"/>
      </w:numPr>
      <w:shd w:fill="ffffff" w:val="clear"/>
      <w:tabs>
        <w:tab w:val="center" w:pos="4819"/>
        <w:tab w:val="right" w:pos="9638"/>
      </w:tabs>
      <w:spacing w:after="0" w:before="0" w:line="240" w:lineRule="auto"/>
      <w:ind w:left="7200" w:right="0" w:firstLine="0"/>
      <w:jc w:val="right"/>
      <w:rPr/>
    </w:pPr>
    <w:r w:rsidDel="00000000" w:rsidR="00000000" w:rsidRPr="00000000">
      <w:rPr>
        <w:b w:val="0"/>
        <w:i w:val="0"/>
        <w:smallCaps w:val="0"/>
        <w:strike w:val="0"/>
        <w:color w:val="000000"/>
        <w:sz w:val="16"/>
        <w:szCs w:val="16"/>
        <w:u w:val="none"/>
        <w:vertAlign w:val="baseline"/>
        <w:rtl w:val="0"/>
      </w:rPr>
      <w:t xml:space="preserve">Pagina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b w:val="0"/>
        <w:i w:val="0"/>
        <w:smallCaps w:val="0"/>
        <w:strike w:val="0"/>
        <w:color w:val="000000"/>
        <w:sz w:val="16"/>
        <w:szCs w:val="16"/>
        <w:u w:val="none"/>
        <w:vertAlign w:val="baseline"/>
        <w:rtl w:val="0"/>
      </w:rPr>
      <w:t xml:space="preserve"> di </w:t>
    </w:r>
    <w:r w:rsidDel="00000000" w:rsidR="00000000" w:rsidRPr="00000000">
      <w:rPr/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tabs>
        <w:tab w:val="center" w:pos="4819"/>
        <w:tab w:val="right" w:pos="9638"/>
      </w:tabs>
      <w:ind w:right="315"/>
      <w:jc w:val="both"/>
      <w:rPr/>
    </w:pPr>
    <w:r w:rsidDel="00000000" w:rsidR="00000000" w:rsidRPr="00000000">
      <w:rPr/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page">
                <wp:posOffset>4688205</wp:posOffset>
              </wp:positionH>
              <wp:positionV relativeFrom="page">
                <wp:posOffset>145415</wp:posOffset>
              </wp:positionV>
              <wp:extent cx="1504950" cy="571500"/>
              <wp:effectExtent b="0" l="0" r="0" t="0"/>
              <wp:wrapSquare wrapText="bothSides" distB="114300" distT="114300" distL="114300" distR="114300"/>
              <wp:docPr id="1" name=""/>
              <a:graphic>
                <a:graphicData uri="http://schemas.microsoft.com/office/word/2010/wordprocessingShape">
                  <wps:wsp>
                    <wps:cNvSpPr txBox="1"/>
                    <wps:cNvPr id="2" name="Shape 2"/>
                    <wps:spPr>
                      <a:xfrm>
                        <a:off x="3302075" y="798725"/>
                        <a:ext cx="1490100" cy="554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Comune di Norcia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Piano Esecutivo di Gestione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PEG 2021</w:t>
                          </w:r>
                        </w:p>
                      </w:txbxContent>
                    </wps:txbx>
                    <wps:bodyPr anchorCtr="0" anchor="t" bIns="91425" lIns="91425" spcFirstLastPara="1" rIns="91425" wrap="square" tIns="91425">
                      <a:sp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page">
                <wp:posOffset>4688205</wp:posOffset>
              </wp:positionH>
              <wp:positionV relativeFrom="page">
                <wp:posOffset>145415</wp:posOffset>
              </wp:positionV>
              <wp:extent cx="1504950" cy="571500"/>
              <wp:effectExtent b="0" l="0" r="0" t="0"/>
              <wp:wrapSquare wrapText="bothSides" distB="114300" distT="11430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04950" cy="5715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3352800</wp:posOffset>
          </wp:positionH>
          <wp:positionV relativeFrom="paragraph">
            <wp:posOffset>38100</wp:posOffset>
          </wp:positionV>
          <wp:extent cx="1832760" cy="456480"/>
          <wp:effectExtent b="0" l="0" r="0" t="0"/>
          <wp:wrapSquare wrapText="bothSides" distB="0" distT="0" distL="0" distR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32760" cy="4564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2686050</wp:posOffset>
          </wp:positionH>
          <wp:positionV relativeFrom="paragraph">
            <wp:posOffset>-323849</wp:posOffset>
          </wp:positionV>
          <wp:extent cx="485775" cy="611823"/>
          <wp:effectExtent b="0" l="0" r="0" t="0"/>
          <wp:wrapSquare wrapText="bothSides" distB="114300" distT="114300" distL="114300" distR="11430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5775" cy="61182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sz w:val="20"/>
        <w:szCs w:val="20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sz w:val="20"/>
        <w:szCs w:val="20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sz w:val="20"/>
        <w:szCs w:val="20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sz w:val="20"/>
        <w:szCs w:val="20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sz w:val="20"/>
        <w:szCs w:val="20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sz w:val="20"/>
        <w:szCs w:val="20"/>
        <w:vertAlign w:val="baseline"/>
      </w:rPr>
    </w:lvl>
  </w:abstractNum>
  <w:abstractNum w:abstractNumId="3">
    <w:lvl w:ilvl="0">
      <w:start w:val="1"/>
      <w:numFmt w:val="decimal"/>
      <w:lvlText w:val=""/>
      <w:lvlJc w:val="left"/>
      <w:pPr>
        <w:ind w:left="7632" w:hanging="432"/>
      </w:pPr>
      <w:rPr/>
    </w:lvl>
    <w:lvl w:ilvl="1">
      <w:start w:val="1"/>
      <w:numFmt w:val="decimal"/>
      <w:lvlText w:val=""/>
      <w:lvlJc w:val="left"/>
      <w:pPr>
        <w:ind w:left="7776" w:hanging="576"/>
      </w:pPr>
      <w:rPr/>
    </w:lvl>
    <w:lvl w:ilvl="2">
      <w:start w:val="1"/>
      <w:numFmt w:val="decimal"/>
      <w:lvlText w:val=""/>
      <w:lvlJc w:val="left"/>
      <w:pPr>
        <w:ind w:left="7920" w:hanging="720"/>
      </w:pPr>
      <w:rPr/>
    </w:lvl>
    <w:lvl w:ilvl="3">
      <w:start w:val="1"/>
      <w:numFmt w:val="decimal"/>
      <w:lvlText w:val=""/>
      <w:lvlJc w:val="left"/>
      <w:pPr>
        <w:ind w:left="8064" w:hanging="864"/>
      </w:pPr>
      <w:rPr/>
    </w:lvl>
    <w:lvl w:ilvl="4">
      <w:start w:val="1"/>
      <w:numFmt w:val="decimal"/>
      <w:lvlText w:val=""/>
      <w:lvlJc w:val="left"/>
      <w:pPr>
        <w:ind w:left="8208" w:hanging="1008"/>
      </w:pPr>
      <w:rPr/>
    </w:lvl>
    <w:lvl w:ilvl="5">
      <w:start w:val="1"/>
      <w:numFmt w:val="decimal"/>
      <w:lvlText w:val=""/>
      <w:lvlJc w:val="left"/>
      <w:pPr>
        <w:ind w:left="8352" w:hanging="1152"/>
      </w:pPr>
      <w:rPr/>
    </w:lvl>
    <w:lvl w:ilvl="6">
      <w:start w:val="1"/>
      <w:numFmt w:val="decimal"/>
      <w:lvlText w:val=""/>
      <w:lvlJc w:val="left"/>
      <w:pPr>
        <w:ind w:left="8496" w:hanging="1296"/>
      </w:pPr>
      <w:rPr/>
    </w:lvl>
    <w:lvl w:ilvl="7">
      <w:start w:val="1"/>
      <w:numFmt w:val="decimal"/>
      <w:lvlText w:val=""/>
      <w:lvlJc w:val="left"/>
      <w:pPr>
        <w:ind w:left="8640" w:hanging="1440"/>
      </w:pPr>
      <w:rPr/>
    </w:lvl>
    <w:lvl w:ilvl="8">
      <w:start w:val="1"/>
      <w:numFmt w:val="decimal"/>
      <w:lvlText w:val=""/>
      <w:lvlJc w:val="left"/>
      <w:pPr>
        <w:ind w:left="8784" w:hanging="1584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sz w:val="20"/>
        <w:szCs w:val="20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sz w:val="20"/>
        <w:szCs w:val="20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sz w:val="20"/>
        <w:szCs w:val="20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sz w:val="20"/>
        <w:szCs w:val="20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540" w:hanging="360"/>
      </w:pPr>
      <w:rPr>
        <w:sz w:val="20"/>
        <w:szCs w:val="20"/>
        <w:vertAlign w:val="baseline"/>
      </w:rPr>
    </w:lvl>
    <w:lvl w:ilvl="1">
      <w:start w:val="1"/>
      <w:numFmt w:val="bullet"/>
      <w:lvlText w:val="◦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◦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▪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◦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▪"/>
      <w:lvlJc w:val="left"/>
      <w:pPr>
        <w:ind w:left="0" w:firstLine="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spacing w:after="120" w:before="480" w:lineRule="auto"/>
    </w:pPr>
    <w:rPr>
      <w:rFonts w:ascii="Times New Roman" w:cs="Times New Roman" w:eastAsia="Times New Roman" w:hAnsi="Times New Roman"/>
      <w:b w:val="1"/>
      <w:color w:val="ff0000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spacing w:after="80" w:before="360" w:lineRule="auto"/>
      <w:jc w:val="both"/>
    </w:pPr>
    <w:rPr>
      <w:rFonts w:ascii="Times New Roman" w:cs="Times New Roman" w:eastAsia="Times New Roman" w:hAnsi="Times New Roman"/>
      <w:b w:val="1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spacing w:after="80" w:before="280" w:lineRule="auto"/>
      <w:jc w:val="both"/>
    </w:pPr>
    <w:rPr>
      <w:rFonts w:ascii="Times New Roman" w:cs="Times New Roman" w:eastAsia="Times New Roman" w:hAnsi="Times New Roman"/>
      <w:b w:val="1"/>
      <w:sz w:val="28"/>
      <w:szCs w:val="28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spacing w:after="40" w:before="240" w:lineRule="auto"/>
      <w:jc w:val="center"/>
    </w:pPr>
    <w:rPr>
      <w:rFonts w:ascii="Times New Roman" w:cs="Times New Roman" w:eastAsia="Times New Roman" w:hAnsi="Times New Roman"/>
      <w:b w:val="1"/>
      <w:sz w:val="32"/>
      <w:szCs w:val="32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spacing w:after="40" w:before="220" w:lineRule="auto"/>
    </w:pPr>
    <w:rPr>
      <w:rFonts w:ascii="Times New Roman" w:cs="Times New Roman" w:eastAsia="Times New Roman" w:hAnsi="Times New Roman"/>
      <w:b w:val="1"/>
      <w:sz w:val="28"/>
      <w:szCs w:val="28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spacing w:after="40" w:before="200" w:lineRule="auto"/>
      <w:jc w:val="center"/>
    </w:pPr>
    <w:rPr>
      <w:rFonts w:ascii="Times New Roman" w:cs="Times New Roman" w:eastAsia="Times New Roman" w:hAnsi="Times New Roman"/>
      <w:b w:val="1"/>
      <w:sz w:val="28"/>
      <w:szCs w:val="28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