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hd w:fill="ffff99" w:val="clear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1. SETTORE SERVIZI SOCIALI SCUOLA E SPORT (A)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-1080134</wp:posOffset>
                  </wp:positionV>
                  <wp:extent cx="1832760" cy="456480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760" cy="456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hd w:fill="ffff99" w:val="clear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sz w:val="28"/>
                <w:szCs w:val="28"/>
                <w:rtl w:val="0"/>
              </w:rPr>
              <w:t xml:space="preserve">Responsabile Tiziana Balzana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RISORSE UMANE e SERVIZI AFFIDATI</w:t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vedi DGM n. 35 del 01/03/2021 e successivi adempimenti</w:t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Servizi Sociali, Scuola e Politiche dello Sport (A1)</w:t>
      </w:r>
    </w:p>
    <w:p w:rsidR="00000000" w:rsidDel="00000000" w:rsidP="00000000" w:rsidRDefault="00000000" w:rsidRPr="00000000" w14:paraId="0000000B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0E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</w:p>
    <w:p w:rsidR="00000000" w:rsidDel="00000000" w:rsidP="00000000" w:rsidRDefault="00000000" w:rsidRPr="00000000" w14:paraId="00000014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rPr>
          <w:trHeight w:val="6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Servizi Sociali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Verifica attuazione nuova disciplina CAS. Verifica della modulistica e fornitura liste evidenza entro 30/06/2021. Gestione sportello 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Verifica a campione CAS e SAE ai sensi dell'art.lo 1 comma 6 OCDPC 614/2019 (in collaborazione con Polizia Locale)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Monitoraggio nuovo Regolamento Accesso Prestazioni ai Servizi Sociali. Consegna evidenze e eventuali necessarie modifiche entro il 30/09/2021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alla Progettazione nuovo Ospedale (in collaborazione con ufficio Urbanistica e LLPP)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Consolidamento Gestione Reddito di Cittadinanza. Definizione procedure per utilizzo risorse in struttura Comunale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Progetti Federica Piccolo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Progetto Massimo Porzi- contatti già avviati 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Scuola 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alla Progettazione nuovo Polo Scolastico (in collaborazione con ufficio Urbanistica e LLPP)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Presentare alla Giunta Ipotesi di riorganizzazione e/o conferma modello gestione Asilo Nido entro il 30/06/2021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Presentare alla Giunta “scheda modello gestione” del trasporto scolastico, così come oggi organizzato, per uso progetto “Aree Interne” entro il 31/08/2021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Presentare alla Giunta “scheda modello gestione” Mensa Scolastica, così come oggi organizzata, con analisi delle criticità entro il 31/08/2021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Indizione Borse di studio anno 2021/2022 entro il 31/08/2021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Predisporre approvazione Nuovo Statuto Consiglio Comunale dei Giovani entro il 31/08/2021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Sport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Masterplan delocalizzazione impianti sportivi (in collaborazione con LLPP)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Assicurare modalità apertura piscina scoperta per stagione 2021. Presentare alla Giunta ipotesi lavoro per stagione 2022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</w:tc>
      </w:tr>
    </w:tbl>
    <w:p w:rsidR="00000000" w:rsidDel="00000000" w:rsidP="00000000" w:rsidRDefault="00000000" w:rsidRPr="00000000" w14:paraId="0000002B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del Piano - Zona Sociale (A2)</w:t>
      </w:r>
    </w:p>
    <w:p w:rsidR="00000000" w:rsidDel="00000000" w:rsidP="00000000" w:rsidRDefault="00000000" w:rsidRPr="00000000" w14:paraId="0000002F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32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35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</w:p>
    <w:p w:rsidR="00000000" w:rsidDel="00000000" w:rsidP="00000000" w:rsidRDefault="00000000" w:rsidRPr="00000000" w14:paraId="00000038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Progetti d’Area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Monitoraggio nuovo Regolamento Accesso Prestazioni ai Servizi Sociali nei comuni della Zona Sociale. Consegna evidenze e eventuali necessarie modifiche entro il 30/09/2021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Organizzazione operatività Ufficio di Piano e servizi connessi. Consegna evidenze e proposte entro il 30/06/2021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progetti approvati dall'Assemblea dei Sindaci Zona Sociale. Consegna scheda monitoraggio entro il 30/09/2021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Richiesta Regione Umbria per redistribuzione Risorse Economiche. Report entro il 30/06/2021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Organizzazione lavori Conferenza dei Sindaci. Invio preventivo dei documenti. Verbalizzazione ed invio verbali.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Introduzione sistema di monitoraggio decisioni Assemblea dei Sindaci. Report trimestrale.  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tabs>
                <w:tab w:val="left" w:pos="1080"/>
              </w:tabs>
              <w:ind w:left="0" w:right="31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  <w:tab/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701" w:left="226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numPr>
        <w:ilvl w:val="0"/>
        <w:numId w:val="1"/>
      </w:numPr>
      <w:shd w:fill="ffffff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numPr>
        <w:ilvl w:val="0"/>
        <w:numId w:val="1"/>
      </w:numPr>
      <w:shd w:fill="ffffff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numPr>
        <w:ilvl w:val="0"/>
        <w:numId w:val="1"/>
      </w:numPr>
      <w:tabs>
        <w:tab w:val="center" w:pos="4819"/>
        <w:tab w:val="right" w:pos="9638"/>
      </w:tabs>
      <w:ind w:left="432"/>
      <w:jc w:val="center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4657725</wp:posOffset>
          </wp:positionH>
          <wp:positionV relativeFrom="paragraph">
            <wp:posOffset>-252141</wp:posOffset>
          </wp:positionV>
          <wp:extent cx="480765" cy="649923"/>
          <wp:effectExtent b="0" l="0" r="0" t="0"/>
          <wp:wrapSquare wrapText="bothSides" distB="0" distT="0" distL="0" distR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0765" cy="6499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2743200</wp:posOffset>
              </wp:positionH>
              <wp:positionV relativeFrom="paragraph">
                <wp:posOffset>-209549</wp:posOffset>
              </wp:positionV>
              <wp:extent cx="1733550" cy="571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5084600" y="1081200"/>
                        <a:ext cx="1714200" cy="5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Comune di Norcia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Piano Esecutivo di Gestione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PEG 2021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2743200</wp:posOffset>
              </wp:positionH>
              <wp:positionV relativeFrom="paragraph">
                <wp:posOffset>-209549</wp:posOffset>
              </wp:positionV>
              <wp:extent cx="1733550" cy="571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0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54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Rule="auto"/>
    </w:pPr>
    <w:rPr>
      <w:rFonts w:ascii="Times New Roman" w:cs="Times New Roman" w:eastAsia="Times New Roman" w:hAnsi="Times New Roman"/>
      <w:b w:val="1"/>
      <w:color w:val="ff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Rule="auto"/>
      <w:jc w:val="both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Rule="auto"/>
      <w:jc w:val="both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Rule="auto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Rule="auto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