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15.0" w:type="dxa"/>
        <w:jc w:val="left"/>
        <w:tblInd w:w="0.0" w:type="dxa"/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99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SETTORE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RAGIONERIA, TRIBUTI E COMMERCIO (E)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99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esponsabile Sara Di Bernardini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RISORSE UMANE e SERVIZI AFFIDATI</w:t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vedi DGM n. 35 del 01/03/2021 e successivi adempimenti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Ragioneria (E1)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* OBIETTIVI GENERALI 202</w:t>
      </w: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9.0" w:type="dxa"/>
        <w:jc w:val="left"/>
        <w:tblInd w:w="0.0" w:type="dxa"/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Gestione ordinaria funzioni affidate all'Ufficio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* OBIETTIVI SPECIFICI 202</w:t>
      </w: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315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15.0" w:type="dxa"/>
        <w:jc w:val="left"/>
        <w:tblInd w:w="0.0" w:type="dxa"/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0" w:right="315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Ragioneria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540" w:right="315" w:hanging="36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1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Approvazione Giunta Conto Consuntivo 20</w:t>
            </w:r>
            <w:r w:rsidDel="00000000" w:rsidR="00000000" w:rsidRPr="00000000">
              <w:rPr>
                <w:rFonts w:ascii="Tahoma" w:cs="Tahoma" w:eastAsia="Tahoma" w:hAnsi="Tahoma"/>
                <w:strike w:val="1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entro </w:t>
            </w:r>
            <w:r w:rsidDel="00000000" w:rsidR="00000000" w:rsidRPr="00000000">
              <w:rPr>
                <w:rFonts w:ascii="Tahoma" w:cs="Tahoma" w:eastAsia="Tahoma" w:hAnsi="Tahoma"/>
                <w:strike w:val="1"/>
                <w:sz w:val="24"/>
                <w:szCs w:val="24"/>
                <w:rtl w:val="0"/>
              </w:rPr>
              <w:t xml:space="preserve">il mese di Aprile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Tahoma" w:cs="Tahoma" w:eastAsia="Tahoma" w:hAnsi="Tahoma"/>
                <w:strike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540" w:right="315" w:hanging="36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1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Approvazione Bilancio Preventivo 2021-2023 entro il mese di Aprile 2021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Riclassificazione capitoli di Bilancio per Missione e verifica destinazione PEG entro data approvazione Bilancio Preventivo 2022-2024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Approvazione Bilancio Preventivo 2022-2024 entro il 20 dicembre   2021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540" w:right="315" w:hanging="36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Riduzione del debito commerciale del comune del 10% secondo quanto disposto dalla legge di Bilancio 2020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540" w:right="315" w:hanging="36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Rispetto tempi di pagamento di cui all'art.lo 4 Dlgs 231/2002 (30gg – casi particolari 60 gg)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540" w:right="315" w:hanging="36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Certificazione dell'indicatore di cui sopra, attraverso la piattaforma crediti commerciali evitando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l'obbligo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 accantonamento al 28 febbraio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540" w:right="315" w:hanging="36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allineamento piattaforma crediti commerciali alle scritture contabili entro il 31/12/202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540" w:right="31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utilizzo somme con destinazione specifica per limitare anticipazioni di cassa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540" w:right="31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Devoluzione Mutui in collaborazione con Ing. Maurizio Rotondi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540" w:right="31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540" w:right="31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0" w:right="315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720" w:right="31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principi di funzionamento delle procedure informatiche in uso all'ufficio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Tributi (E2)</w:t>
      </w:r>
    </w:p>
    <w:p w:rsidR="00000000" w:rsidDel="00000000" w:rsidP="00000000" w:rsidRDefault="00000000" w:rsidRPr="00000000" w14:paraId="00000028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2B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29.0" w:type="dxa"/>
        <w:jc w:val="left"/>
        <w:tblInd w:w="0.0" w:type="dxa"/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15.0" w:type="dxa"/>
        <w:jc w:val="left"/>
        <w:tblInd w:w="0.0" w:type="dxa"/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rPr>
          <w:trHeight w:val="6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Tributi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Approvazione Piano dei Valori delle Aree Fabbricabili e conseguente azione di accertamento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Completamento liquidazione ed accertamento annualità IMU, TARI e TASI in scadenza al 31/12/2021 con raggiungimento degli obiettivi economici fissati dal Bilancio di Previsione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Verifica situazione su riscossione coattiva. Relazione alla Giunta entro il 31/10/2021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Revisione proposte di regolamenti ritenute necessarie entro il 31/10/2021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Emissione Ruolo Tari 2021 comprensivo del conguaglio 2020 nei termini previsti dalle vigenti norme 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firstLine="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Commercio, Artigianato, Agricoltura (E3)</w:t>
      </w:r>
    </w:p>
    <w:p w:rsidR="00000000" w:rsidDel="00000000" w:rsidP="00000000" w:rsidRDefault="00000000" w:rsidRPr="00000000" w14:paraId="00000041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44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29.0" w:type="dxa"/>
        <w:jc w:val="left"/>
        <w:tblInd w:w="0.0" w:type="dxa"/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15.0" w:type="dxa"/>
        <w:jc w:val="left"/>
        <w:tblInd w:w="0.0" w:type="dxa"/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Commercio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Passaggio consegne al nuovo “Settore Bandi” del bando sostegno imprese Comune di Norcia già pubblicato a firma della precedente PO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Verifiche occupazione suolo pubblico a seguito nuove disposizioni e regolamenti (anche su nuovo Piano Arredo Urbano ed in collaborazione con Ufficio Polizia Locale ed Urbanistica).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Ridefinizione spazi per “licenze di tipo A - Zona Castelluccio” entro la fioritura 2021. Se i tempi non lo consentissero, concessione proroga fino al 31/12/2021 ai titolari e definizione adempimenti entro stessa data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Controlli occupazione licenze commerciali (in collaborazione con Ufficio Polizia Locale)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Controlli occupazione licenze commerciali (in collaborazione con Polizia Locale)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Completamento Data Base Mostra Mercato (in collaborazione con Ufficio Tecnico)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Conclusione percorso di verifica licenze NCC e relativi, conseguenti, adempimenti entro il 31/12/2021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134" w:top="1701" w:left="226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371475" cy="508635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5086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3175000</wp:posOffset>
              </wp:positionH>
              <wp:positionV relativeFrom="paragraph">
                <wp:posOffset>25400</wp:posOffset>
              </wp:positionV>
              <wp:extent cx="1842770" cy="466725"/>
              <wp:effectExtent b="0" l="0" r="0" t="0"/>
              <wp:wrapSquare wrapText="bothSides" distB="0" distT="0" distL="0" distR="0"/>
              <wp:docPr id="103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8903" y="3560925"/>
                        <a:ext cx="181419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Comune di Norcia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Piano Esecutivo di Gestione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81.99999809265137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PEG</w:t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2021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3175000</wp:posOffset>
              </wp:positionH>
              <wp:positionV relativeFrom="paragraph">
                <wp:posOffset>25400</wp:posOffset>
              </wp:positionV>
              <wp:extent cx="1842770" cy="466725"/>
              <wp:effectExtent b="0" l="0" r="0" t="0"/>
              <wp:wrapSquare wrapText="bothSides" distB="0" distT="0" distL="0" distR="0"/>
              <wp:docPr id="10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2770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 1"/>
    <w:basedOn w:val="Predefinito"/>
    <w:next w:val="Predefinit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ff0000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2">
    <w:name w:val="Intestazione 2"/>
    <w:basedOn w:val="Predefinito"/>
    <w:next w:val="Predefinito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3">
    <w:name w:val="Intestazione 3"/>
    <w:basedOn w:val="Predefinito"/>
    <w:next w:val="Predefinito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4">
    <w:name w:val="Intestazione 4"/>
    <w:basedOn w:val="Predefinito"/>
    <w:next w:val="Predefinito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5">
    <w:name w:val="Intestazione 5"/>
    <w:basedOn w:val="Predefinito"/>
    <w:next w:val="Predefinito"/>
    <w:autoRedefine w:val="0"/>
    <w:hidden w:val="0"/>
    <w:qFormat w:val="0"/>
    <w:pPr>
      <w:keepNext w:val="1"/>
      <w:widowControl w:val="1"/>
      <w:numPr>
        <w:ilvl w:val="4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6">
    <w:name w:val="Intestazione 6"/>
    <w:basedOn w:val="Predefinito"/>
    <w:next w:val="Predefinito"/>
    <w:autoRedefine w:val="0"/>
    <w:hidden w:val="0"/>
    <w:qFormat w:val="0"/>
    <w:pPr>
      <w:keepNext w:val="1"/>
      <w:widowControl w:val="1"/>
      <w:numPr>
        <w:ilvl w:val="5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7">
    <w:name w:val="Intestazione 7"/>
    <w:basedOn w:val="Predefinito"/>
    <w:next w:val="Predefinito"/>
    <w:autoRedefine w:val="0"/>
    <w:hidden w:val="0"/>
    <w:qFormat w:val="0"/>
    <w:pPr>
      <w:keepNext w:val="1"/>
      <w:widowControl w:val="1"/>
      <w:numPr>
        <w:ilvl w:val="6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8">
    <w:name w:val="Intestazione 8"/>
    <w:basedOn w:val="Predefinito"/>
    <w:next w:val="Predefinito"/>
    <w:autoRedefine w:val="0"/>
    <w:hidden w:val="0"/>
    <w:qFormat w:val="0"/>
    <w:pPr>
      <w:keepNext w:val="1"/>
      <w:widowControl w:val="1"/>
      <w:numPr>
        <w:ilvl w:val="7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Tahoma" w:cs="Tahoma" w:eastAsia="Times New Roman" w:hAnsi="Tahoma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9">
    <w:name w:val="Intestazione 9"/>
    <w:basedOn w:val="Predefinito"/>
    <w:next w:val="Predefinito"/>
    <w:autoRedefine w:val="0"/>
    <w:hidden w:val="0"/>
    <w:qFormat w:val="0"/>
    <w:pPr>
      <w:keepNext w:val="1"/>
      <w:widowControl w:val="1"/>
      <w:numPr>
        <w:ilvl w:val="8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8"/>
    </w:pPr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basedOn w:val="Car.predefinitoparagrafo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umerodipagina">
    <w:name w:val="Numero di pagina"/>
    <w:basedOn w:val="Car.predefinitoparagrafo"/>
    <w:next w:val="Numero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Mangal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Predefinito"/>
    <w:next w:val="Corpodeltesto2"/>
    <w:autoRedefine w:val="0"/>
    <w:hidden w:val="0"/>
    <w:qFormat w:val="0"/>
    <w:pPr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hd w:color="auto" w:fill="e6e6e6" w:val="clear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Predefinito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Predefinito"/>
    <w:next w:val="Corpodeltesto3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32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delblocco">
    <w:name w:val="Testo del blocco"/>
    <w:basedOn w:val="Predefinito"/>
    <w:next w:val="Testodelblocco"/>
    <w:autoRedefine w:val="0"/>
    <w:hidden w:val="0"/>
    <w:qFormat w:val="0"/>
    <w:pPr>
      <w:widowControl w:val="1"/>
      <w:pBdr>
        <w:top w:color="000000" w:space="1" w:sz="1" w:val="double"/>
        <w:left w:color="000000" w:space="20" w:sz="1" w:val="double"/>
        <w:bottom w:color="000000" w:space="1" w:sz="1" w:val="double"/>
        <w:right w:color="000000" w:space="15" w:sz="1" w:val="double"/>
      </w:pBdr>
      <w:suppressAutoHyphens w:val="0"/>
      <w:bidi w:val="0"/>
      <w:spacing w:line="1" w:lineRule="atLeast"/>
      <w:ind w:left="360" w:right="315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Predefinito"/>
    <w:next w:val="Rientrocorpodeltesto"/>
    <w:autoRedefine w:val="0"/>
    <w:hidden w:val="0"/>
    <w:qFormat w:val="0"/>
    <w:pPr>
      <w:widowControl w:val="1"/>
      <w:pBdr>
        <w:top w:color="000000" w:space="1" w:sz="1" w:val="double"/>
        <w:left w:color="000000" w:space="4" w:sz="1" w:val="double"/>
        <w:bottom w:color="000000" w:space="1" w:sz="1" w:val="double"/>
        <w:right w:color="000000" w:space="4" w:sz="1" w:val="double"/>
      </w:pBdr>
      <w:suppressAutoHyphens w:val="0"/>
      <w:bidi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gad'intestazione">
    <w:name w:val="Riga d'intestazione"/>
    <w:basedOn w:val="Predefinito"/>
    <w:next w:val="Rigad'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Predefinito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Testonormale">
    <w:name w:val="Testo normale"/>
    <w:basedOn w:val="Predefinito"/>
    <w:next w:val="Testonormal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2">
    <w:name w:val="Elenco 2"/>
    <w:basedOn w:val="Predefinito"/>
    <w:next w:val="Elenco2"/>
    <w:autoRedefine w:val="0"/>
    <w:hidden w:val="0"/>
    <w:qFormat w:val="0"/>
    <w:pPr>
      <w:widowControl w:val="1"/>
      <w:suppressAutoHyphens w:val="0"/>
      <w:bidi w:val="0"/>
      <w:spacing w:line="1" w:lineRule="atLeast"/>
      <w:ind w:left="566" w:right="0" w:leftChars="-1" w:rightChars="0" w:hanging="283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Predefinito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xVKFXH6lKCHyHTR3PJ8sBBy/pA==">AMUW2mW9SfyhRizyD3BLEr8H1j58/33q8nY/u35E95UQFs0ioPMFnXyri/EV23rKmNB0n9o7q4psWdcaSRvN2SpjAQfyktwiNNjBrI1XLUh9FFtTPuRmsis=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2012-05-07T07:58:00Z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